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C" w:rsidRDefault="00A83421" w:rsidP="00A83421">
      <w:pPr>
        <w:jc w:val="center"/>
        <w:rPr>
          <w:b/>
          <w:sz w:val="32"/>
          <w:szCs w:val="32"/>
        </w:rPr>
      </w:pPr>
      <w:r w:rsidRPr="00A83421">
        <w:rPr>
          <w:b/>
          <w:sz w:val="32"/>
          <w:szCs w:val="32"/>
        </w:rPr>
        <w:t xml:space="preserve">Mutagenicity of water samples in strain TA100 of </w:t>
      </w:r>
      <w:r w:rsidRPr="00A83421">
        <w:rPr>
          <w:b/>
          <w:i/>
          <w:sz w:val="32"/>
          <w:szCs w:val="32"/>
        </w:rPr>
        <w:t>Salmonella</w:t>
      </w:r>
      <w:r w:rsidRPr="00A83421">
        <w:rPr>
          <w:b/>
          <w:sz w:val="32"/>
          <w:szCs w:val="32"/>
          <w:vertAlign w:val="superscript"/>
        </w:rPr>
        <w:t>a</w:t>
      </w:r>
    </w:p>
    <w:p w:rsidR="006C6727" w:rsidRPr="006C6727" w:rsidRDefault="006C6727" w:rsidP="006C6727">
      <w:r>
        <w:t xml:space="preserve">Data are expressed as revertants (rev/) per plate in the presence of absence of S9, which is the supernatant of a 9,000 x </w:t>
      </w:r>
      <w:r>
        <w:rPr>
          <w:i/>
        </w:rPr>
        <w:t>g</w:t>
      </w:r>
      <w:r>
        <w:t xml:space="preserve"> centrifugation of homogenized rat liver plus cofactors to provide some mammalian metabolism to the bacteria.  The slope (rev/L-eq) was generated from the linear portion of the dose-response curve determined by the rev/plate versus dose (L-equivalent/plate).  These data and details of the sample preparation and data analyses are in the published paper, which is Open Access and freely available to anyone with an Internet connection.</w:t>
      </w:r>
      <w:bookmarkStart w:id="0" w:name="_GoBack"/>
      <w:bookmarkEnd w:id="0"/>
    </w:p>
    <w:p w:rsidR="00A83421" w:rsidRDefault="00A834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1440"/>
        <w:gridCol w:w="900"/>
        <w:gridCol w:w="810"/>
        <w:gridCol w:w="45"/>
        <w:gridCol w:w="855"/>
        <w:gridCol w:w="1975"/>
      </w:tblGrid>
      <w:tr w:rsidR="00A83421" w:rsidRPr="00A83421" w:rsidTr="00026D07">
        <w:trPr>
          <w:tblHeader/>
        </w:trPr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A83421" w:rsidRPr="00A83421" w:rsidDel="00394D82" w:rsidRDefault="00A83421" w:rsidP="00026D07">
            <w:pPr>
              <w:contextualSpacing/>
              <w:rPr>
                <w:b/>
              </w:rPr>
            </w:pPr>
          </w:p>
        </w:tc>
        <w:tc>
          <w:tcPr>
            <w:tcW w:w="2610" w:type="dxa"/>
            <w:gridSpan w:val="4"/>
          </w:tcPr>
          <w:p w:rsidR="00A83421" w:rsidRPr="00A83421" w:rsidDel="00394D82" w:rsidRDefault="00A83421" w:rsidP="00026D07">
            <w:pPr>
              <w:contextualSpacing/>
              <w:jc w:val="center"/>
              <w:rPr>
                <w:b/>
              </w:rPr>
            </w:pPr>
            <w:r w:rsidRPr="00A83421">
              <w:rPr>
                <w:b/>
              </w:rPr>
              <w:t>Rev/plate</w:t>
            </w:r>
          </w:p>
        </w:tc>
        <w:tc>
          <w:tcPr>
            <w:tcW w:w="1975" w:type="dxa"/>
          </w:tcPr>
          <w:p w:rsidR="00A83421" w:rsidRPr="00A83421" w:rsidDel="00394D82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>Mean slope ± SE</w:t>
            </w:r>
          </w:p>
        </w:tc>
      </w:tr>
      <w:tr w:rsidR="00A83421" w:rsidRPr="00A83421" w:rsidTr="00026D07">
        <w:trPr>
          <w:tblHeader/>
        </w:trPr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  <w:jc w:val="center"/>
              <w:rPr>
                <w:b/>
              </w:rPr>
            </w:pPr>
            <w:r w:rsidRPr="00A83421">
              <w:rPr>
                <w:b/>
              </w:rPr>
              <w:t>Dose</w:t>
            </w:r>
          </w:p>
        </w:tc>
        <w:tc>
          <w:tcPr>
            <w:tcW w:w="1710" w:type="dxa"/>
            <w:gridSpan w:val="2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 xml:space="preserve">          -S9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 xml:space="preserve"> +S9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 xml:space="preserve">    (Rev/L-eq)</w:t>
            </w:r>
          </w:p>
        </w:tc>
      </w:tr>
      <w:tr w:rsidR="00A83421" w:rsidRPr="00A83421" w:rsidTr="00026D07">
        <w:trPr>
          <w:tblHeader/>
        </w:trPr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>Sample and Collection Date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>(L-eq/plate)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>Exp 1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 xml:space="preserve">Exp 2  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  <w:r w:rsidRPr="00A83421">
              <w:rPr>
                <w:b/>
              </w:rPr>
              <w:t>Exp 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  <w:rPr>
                <w:b/>
              </w:rPr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vertAlign w:val="superscript"/>
              </w:rPr>
            </w:pPr>
            <w:r w:rsidRPr="00A83421">
              <w:t>1-Raw 9-15-11</w:t>
            </w:r>
            <w:r w:rsidRPr="00A83421">
              <w:rPr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113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146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109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135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126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131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156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130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146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166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119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127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156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161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111</w:t>
            </w:r>
          </w:p>
        </w:tc>
        <w:tc>
          <w:tcPr>
            <w:tcW w:w="810" w:type="dxa"/>
          </w:tcPr>
          <w:p w:rsidR="00A83421" w:rsidRPr="00A83421" w:rsidRDefault="00A83421" w:rsidP="00026D07">
            <w:pPr>
              <w:contextualSpacing/>
            </w:pPr>
            <w:r w:rsidRPr="00A83421">
              <w:t>125</w:t>
            </w:r>
          </w:p>
        </w:tc>
        <w:tc>
          <w:tcPr>
            <w:tcW w:w="900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  <w:vAlign w:val="bottom"/>
          </w:tcPr>
          <w:p w:rsidR="00A83421" w:rsidRPr="00A83421" w:rsidRDefault="00A83421" w:rsidP="00026D07">
            <w:pPr>
              <w:contextualSpacing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0 (-S9), 0 (+S9)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Finished 9-15-11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201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271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299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336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345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577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356.0 ± 43.0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Tap 9-16-11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196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160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230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199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334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315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433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614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547.5 ± 34.5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Average Use Pool 9-16-11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187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165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242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197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280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294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392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496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596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430.5 ± 29.5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Clean Pool 1-3-12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136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189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186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230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310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422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993.9 ± 55.4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Heavily Used Pool 11-2-11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316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170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277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231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410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452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634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637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821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1208.3 ± 129.9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Clean Spa 9-17-11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217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273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309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510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470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720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993.2 ± 107.0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1-Cl Heavily Used Spa 11-2-11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209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279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355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461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589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863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3071.7 ± 308.6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vertAlign w:val="superscript"/>
              </w:rPr>
            </w:pPr>
            <w:r w:rsidRPr="00A83421">
              <w:t>2-Raw 11-15-11</w:t>
            </w:r>
            <w:r w:rsidRPr="00A83421">
              <w:rPr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122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132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129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143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157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99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132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136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117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137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137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143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157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132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156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147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158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212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161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0 (-S9), 0 (+S9)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2-Cl Finished 11-15-11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214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179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234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261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310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382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474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589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714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872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1137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915.2 ± 52.5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2-Cl Tap 11-16-11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137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191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244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362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381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489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623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743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951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907.2 ± 55.6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2-Br Average Use Pool 11-16-11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224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246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314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538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2021.5 ± 85.0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2-Br Average Use Spa 11-16-11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289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289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471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359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3038.5 ± 276.4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2-Br Clean Pool 1-5-12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172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189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400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335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544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735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608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1179.9 ± 57.9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2-Br Clean Spa 1-6-12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201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206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266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254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526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499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790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662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1984.4 ± 98.5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2-Br Heavily Used Spa 1-5-12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131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243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277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1725.6 ± 219.7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3-Cl Pool 10-21-11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169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201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253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278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415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365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472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596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740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919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854.2 ± 72.1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3-Cl Spa 10-21-11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247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346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225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516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418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692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1406.8 ± 243.7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vertAlign w:val="superscript"/>
              </w:rPr>
            </w:pPr>
            <w:r w:rsidRPr="00A83421">
              <w:t>4-Raw 11-8-11</w:t>
            </w:r>
            <w:r w:rsidRPr="00A83421">
              <w:rPr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111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127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156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95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145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119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136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118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130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149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102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135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165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180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127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174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855" w:type="dxa"/>
            <w:gridSpan w:val="2"/>
          </w:tcPr>
          <w:p w:rsidR="00A83421" w:rsidRPr="00A83421" w:rsidRDefault="00A83421" w:rsidP="00026D07">
            <w:pPr>
              <w:contextualSpacing/>
            </w:pPr>
            <w:r w:rsidRPr="00A83421">
              <w:t>130</w:t>
            </w:r>
          </w:p>
        </w:tc>
        <w:tc>
          <w:tcPr>
            <w:tcW w:w="855" w:type="dxa"/>
          </w:tcPr>
          <w:p w:rsidR="00A83421" w:rsidRPr="00A83421" w:rsidRDefault="00A83421" w:rsidP="00026D07">
            <w:pPr>
              <w:contextualSpacing/>
            </w:pPr>
            <w:r w:rsidRPr="00A83421">
              <w:t>163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0 (-S9), 0 (+S9)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4-Cl Finished 11-8-11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147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184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182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195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227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237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253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343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371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254.1 ± 17.1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4-Cl Tap 11-9-11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159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161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171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215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275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274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300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337.4 ± 33.5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4-Cl Spa 11-9-11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139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147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185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182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217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238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254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342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430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525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361.3 ± 21.6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5-Cl Tap 2-7-12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147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203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231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256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420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345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485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453.0 ± 23.6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5-Br Spa 2-7-12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140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244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248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2894.6 ± 119.6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6-O</w:t>
            </w:r>
            <w:r w:rsidRPr="00A83421">
              <w:rPr>
                <w:vertAlign w:val="subscript"/>
              </w:rPr>
              <w:t>3</w:t>
            </w:r>
            <w:r w:rsidRPr="00A83421">
              <w:t>-Cl Tap 12-22-11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106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148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178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145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229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193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108.1 ± 9.6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  <w:r w:rsidRPr="00A83421">
              <w:t>6-O</w:t>
            </w:r>
            <w:r w:rsidRPr="00A83421">
              <w:rPr>
                <w:vertAlign w:val="subscript"/>
              </w:rPr>
              <w:t>3</w:t>
            </w:r>
            <w:r w:rsidRPr="00A83421">
              <w:t>-Cl Pool 12-22-11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86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164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175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260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150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295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287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513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520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811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1359.1 ± 65.9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vertAlign w:val="superscript"/>
              </w:rPr>
            </w:pPr>
            <w:r w:rsidRPr="00A83421">
              <w:t>7-Tap-Ground Water 12-20-11</w:t>
            </w:r>
            <w:r w:rsidRPr="00A83421">
              <w:rPr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88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99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126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128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rPr>
                <w:vertAlign w:val="superscript"/>
              </w:rPr>
            </w:pPr>
            <w:r w:rsidRPr="00A83421">
              <w:t>7-O</w:t>
            </w:r>
            <w:r w:rsidRPr="00A83421">
              <w:rPr>
                <w:vertAlign w:val="subscript"/>
              </w:rPr>
              <w:t>3</w:t>
            </w:r>
            <w:r w:rsidRPr="00A83421">
              <w:t xml:space="preserve"> Spa 12-20-11</w:t>
            </w:r>
            <w:r w:rsidRPr="00A83421">
              <w:rPr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103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105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85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0.05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99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0.1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90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0.2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100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122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0.3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114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0.5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122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104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  <w:r w:rsidRPr="00A83421">
              <w:t>1.0</w:t>
            </w: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  <w:r w:rsidRPr="00A83421">
              <w:t>124</w:t>
            </w: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  <w:r w:rsidRPr="00A83421">
              <w:t>71</w:t>
            </w: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</w:p>
        </w:tc>
      </w:tr>
      <w:tr w:rsidR="00A83421" w:rsidRPr="00A83421" w:rsidTr="00026D07">
        <w:tc>
          <w:tcPr>
            <w:tcW w:w="3325" w:type="dxa"/>
          </w:tcPr>
          <w:p w:rsidR="00A83421" w:rsidRPr="00A83421" w:rsidRDefault="00A83421" w:rsidP="00026D07">
            <w:pPr>
              <w:contextualSpacing/>
              <w:jc w:val="right"/>
            </w:pPr>
          </w:p>
        </w:tc>
        <w:tc>
          <w:tcPr>
            <w:tcW w:w="144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900" w:type="dxa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710" w:type="dxa"/>
            <w:gridSpan w:val="3"/>
          </w:tcPr>
          <w:p w:rsidR="00A83421" w:rsidRPr="00A83421" w:rsidRDefault="00A83421" w:rsidP="00026D07">
            <w:pPr>
              <w:contextualSpacing/>
            </w:pPr>
          </w:p>
        </w:tc>
        <w:tc>
          <w:tcPr>
            <w:tcW w:w="1975" w:type="dxa"/>
          </w:tcPr>
          <w:p w:rsidR="00A83421" w:rsidRPr="00A83421" w:rsidRDefault="00A83421" w:rsidP="00026D07">
            <w:pPr>
              <w:contextualSpacing/>
            </w:pPr>
            <w:r w:rsidRPr="00A83421">
              <w:t>0</w:t>
            </w:r>
          </w:p>
        </w:tc>
      </w:tr>
    </w:tbl>
    <w:p w:rsidR="00A83421" w:rsidRDefault="00A83421"/>
    <w:p w:rsidR="00A83421" w:rsidRPr="00A83421" w:rsidRDefault="00A83421" w:rsidP="00A83421">
      <w:pPr>
        <w:spacing w:after="0" w:line="240" w:lineRule="auto"/>
        <w:contextualSpacing/>
      </w:pPr>
      <w:r w:rsidRPr="00A83421">
        <w:rPr>
          <w:vertAlign w:val="superscript"/>
        </w:rPr>
        <w:t>a</w:t>
      </w:r>
      <w:r w:rsidRPr="00A83421">
        <w:t>For controls (0 dose) 3 plates were used, and the average rev/plate is shown for these controls in the table.  In the absence of S9 (-S9), the mean ± SE values for the DMSO and positive controls were:  DMSO –S9 (12 plates) 117.9 ± 8.3, sodium azide at 3 µg/plate (10 plates) 674.7 ± 64.1.  In the presence of S9 (S9), the mean ± SE values for the DMSO and positive controls were:  DMSO +S9 (3 plates) 128.0 ± 7.4, 2-aminoanthracene at 0.5 µg/plate (2 plates) 885.0 ± 9.9.  Medium and S9 were checked for sterility and ability to support production of the expected number of rev/plate for each strain.  TA100 was checked for the presence of the pKM101 plasmid by showing growth in the presence of ampicillin.  The cell-wall (deep rough) mutation was confirmed by the killing of cells in the presence of crystal violet.  The DNA excision-repair mutation (</w:t>
      </w:r>
      <w:r w:rsidRPr="00A83421">
        <w:rPr>
          <w:i/>
        </w:rPr>
        <w:t>uvrB</w:t>
      </w:r>
      <w:r w:rsidRPr="00A83421">
        <w:t xml:space="preserve">) was confirmed by increased sensitivity to killing of the cells by uv light.   </w:t>
      </w:r>
    </w:p>
    <w:p w:rsidR="00A83421" w:rsidRPr="00A83421" w:rsidRDefault="00A83421" w:rsidP="00A83421">
      <w:pPr>
        <w:spacing w:after="0" w:line="240" w:lineRule="auto"/>
        <w:contextualSpacing/>
        <w:rPr>
          <w:vertAlign w:val="superscript"/>
        </w:rPr>
      </w:pPr>
    </w:p>
    <w:p w:rsidR="00A83421" w:rsidRDefault="00A83421" w:rsidP="00A83421">
      <w:pPr>
        <w:spacing w:after="0" w:line="240" w:lineRule="auto"/>
        <w:contextualSpacing/>
      </w:pPr>
      <w:r w:rsidRPr="00A83421">
        <w:rPr>
          <w:vertAlign w:val="superscript"/>
        </w:rPr>
        <w:t>b</w:t>
      </w:r>
      <w:r w:rsidRPr="00A83421">
        <w:t xml:space="preserve">These samples did not produce a number of rev/plate that reached a twofold increase relative to the DMSO control.  Thus, they were not mutagenic and were assigned mutagenic potency of 0 rev/L-eq.  </w:t>
      </w:r>
    </w:p>
    <w:sectPr w:rsidR="00A8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50B"/>
    <w:multiLevelType w:val="hybridMultilevel"/>
    <w:tmpl w:val="AA80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42B"/>
    <w:multiLevelType w:val="hybridMultilevel"/>
    <w:tmpl w:val="B1B0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F1"/>
    <w:rsid w:val="006C6727"/>
    <w:rsid w:val="00A83421"/>
    <w:rsid w:val="00BA683C"/>
    <w:rsid w:val="00D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328A-9967-4E19-B061-DED38EAB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3421"/>
  </w:style>
  <w:style w:type="character" w:styleId="CommentReference">
    <w:name w:val="annotation reference"/>
    <w:basedOn w:val="DefaultParagraphFont"/>
    <w:uiPriority w:val="99"/>
    <w:semiHidden/>
    <w:unhideWhenUsed/>
    <w:rsid w:val="00A83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421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421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42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42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42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42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342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834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421"/>
    <w:rPr>
      <w:rFonts w:asciiTheme="minorHAnsi" w:hAnsiTheme="minorHAnsi" w:cstheme="minorBidi"/>
      <w:b/>
      <w:bCs/>
      <w:sz w:val="20"/>
      <w:szCs w:val="20"/>
    </w:rPr>
  </w:style>
  <w:style w:type="paragraph" w:customStyle="1" w:styleId="font5">
    <w:name w:val="font5"/>
    <w:basedOn w:val="Normal"/>
    <w:rsid w:val="00A83421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8342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u w:val="single"/>
    </w:rPr>
  </w:style>
  <w:style w:type="paragraph" w:customStyle="1" w:styleId="xl65">
    <w:name w:val="xl65"/>
    <w:basedOn w:val="Normal"/>
    <w:rsid w:val="00A8342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66">
    <w:name w:val="xl66"/>
    <w:basedOn w:val="Normal"/>
    <w:rsid w:val="00A83421"/>
    <w:pP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0">
    <w:name w:val="xl70"/>
    <w:basedOn w:val="Normal"/>
    <w:rsid w:val="00A8342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/>
    </w:rPr>
  </w:style>
  <w:style w:type="paragraph" w:customStyle="1" w:styleId="xl71">
    <w:name w:val="xl71"/>
    <w:basedOn w:val="Normal"/>
    <w:rsid w:val="00A8342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A8342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/>
    </w:rPr>
  </w:style>
  <w:style w:type="paragraph" w:customStyle="1" w:styleId="xl73">
    <w:name w:val="xl73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76">
    <w:name w:val="xl76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78">
    <w:name w:val="xl78"/>
    <w:basedOn w:val="Normal"/>
    <w:rsid w:val="00A83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79">
    <w:name w:val="xl79"/>
    <w:basedOn w:val="Normal"/>
    <w:rsid w:val="00A83421"/>
    <w:pPr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81">
    <w:name w:val="xl81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Normal"/>
    <w:rsid w:val="00A83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834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421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83421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databold">
    <w:name w:val="data_bold"/>
    <w:basedOn w:val="DefaultParagraphFont"/>
    <w:rsid w:val="00A83421"/>
  </w:style>
  <w:style w:type="numbering" w:customStyle="1" w:styleId="NoList11">
    <w:name w:val="No List11"/>
    <w:next w:val="NoList"/>
    <w:uiPriority w:val="99"/>
    <w:semiHidden/>
    <w:unhideWhenUsed/>
    <w:rsid w:val="00A83421"/>
  </w:style>
  <w:style w:type="table" w:customStyle="1" w:styleId="TableGrid1">
    <w:name w:val="Table Grid1"/>
    <w:basedOn w:val="TableNormal"/>
    <w:next w:val="TableGrid"/>
    <w:uiPriority w:val="39"/>
    <w:rsid w:val="00A834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83421"/>
  </w:style>
  <w:style w:type="numbering" w:customStyle="1" w:styleId="NoList3">
    <w:name w:val="No List3"/>
    <w:next w:val="NoList"/>
    <w:uiPriority w:val="99"/>
    <w:semiHidden/>
    <w:unhideWhenUsed/>
    <w:rsid w:val="00A83421"/>
  </w:style>
  <w:style w:type="paragraph" w:styleId="Revision">
    <w:name w:val="Revision"/>
    <w:hidden/>
    <w:uiPriority w:val="99"/>
    <w:semiHidden/>
    <w:rsid w:val="00A8342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DeMarini, David</dc:creator>
  <cp:keywords/>
  <dc:description/>
  <cp:lastModifiedBy>DeMarini, David</cp:lastModifiedBy>
  <cp:revision>3</cp:revision>
  <dcterms:created xsi:type="dcterms:W3CDTF">2016-07-13T13:52:00Z</dcterms:created>
  <dcterms:modified xsi:type="dcterms:W3CDTF">2016-07-13T14:19:00Z</dcterms:modified>
</cp:coreProperties>
</file>