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AA" w:rsidRDefault="006907AA" w:rsidP="006907AA">
      <w:pPr>
        <w:autoSpaceDE w:val="0"/>
        <w:autoSpaceDN w:val="0"/>
        <w:adjustRightInd w:val="0"/>
        <w:spacing w:after="0" w:line="240" w:lineRule="auto"/>
        <w:rPr>
          <w:rFonts w:ascii="AdvOTd3a5f740" w:hAnsi="AdvOTd3a5f740" w:cs="AdvOTd3a5f740"/>
          <w:sz w:val="10"/>
          <w:szCs w:val="10"/>
        </w:rPr>
      </w:pPr>
      <w:r>
        <w:rPr>
          <w:rFonts w:ascii="AdvOT2c8ce45a" w:hAnsi="AdvOT2c8ce45a" w:cs="AdvOT2c8ce45a"/>
          <w:sz w:val="15"/>
          <w:szCs w:val="15"/>
        </w:rPr>
        <w:t xml:space="preserve">Fig. 6 </w:t>
      </w:r>
      <w:r>
        <w:rPr>
          <w:rFonts w:ascii="AdvOTd3a5f740" w:hAnsi="AdvOTd3a5f740" w:cs="AdvOTd3a5f740"/>
          <w:sz w:val="15"/>
          <w:szCs w:val="15"/>
        </w:rPr>
        <w:t>Fluorescent and dark-field microscopy images (60</w:t>
      </w:r>
      <w:r>
        <w:rPr>
          <w:rFonts w:ascii="AdvTT281d44c8" w:hAnsi="AdvTT281d44c8" w:cs="AdvTT281d44c8"/>
          <w:sz w:val="15"/>
          <w:szCs w:val="15"/>
        </w:rPr>
        <w:t>×</w:t>
      </w:r>
      <w:r>
        <w:rPr>
          <w:rFonts w:ascii="AdvOTd3a5f740" w:hAnsi="AdvOTd3a5f740" w:cs="AdvOTd3a5f740"/>
          <w:sz w:val="15"/>
          <w:szCs w:val="15"/>
        </w:rPr>
        <w:t xml:space="preserve">) for ARPE-19 cells treated with P25 (A), un-aged </w:t>
      </w:r>
      <w:proofErr w:type="spellStart"/>
      <w:r>
        <w:rPr>
          <w:rFonts w:ascii="AdvOTd3a5f740" w:hAnsi="AdvOTd3a5f740" w:cs="AdvOTd3a5f740"/>
          <w:sz w:val="15"/>
          <w:szCs w:val="15"/>
        </w:rPr>
        <w:t>Al</w:t>
      </w:r>
      <w:r>
        <w:rPr>
          <w:rFonts w:ascii="AdvOTa62778a7+01" w:eastAsia="AdvOTa62778a7+01" w:hAnsi="AdvOT2c8ce45a" w:cs="AdvOTa62778a7+01" w:hint="eastAsia"/>
          <w:sz w:val="15"/>
          <w:szCs w:val="15"/>
        </w:rPr>
        <w:t>Ĳ</w:t>
      </w:r>
      <w:r>
        <w:rPr>
          <w:rFonts w:ascii="AdvOTd3a5f740" w:hAnsi="AdvOTd3a5f740" w:cs="AdvOTd3a5f740"/>
          <w:sz w:val="15"/>
          <w:szCs w:val="15"/>
        </w:rPr>
        <w:t>OH</w:t>
      </w:r>
      <w:proofErr w:type="spellEnd"/>
      <w:proofErr w:type="gramStart"/>
      <w:r>
        <w:rPr>
          <w:rFonts w:ascii="AdvOTd3a5f740" w:hAnsi="AdvOTd3a5f740" w:cs="AdvOTd3a5f740"/>
          <w:sz w:val="15"/>
          <w:szCs w:val="15"/>
        </w:rPr>
        <w:t>)</w:t>
      </w:r>
      <w:r>
        <w:rPr>
          <w:rFonts w:ascii="AdvOTd3a5f740" w:hAnsi="AdvOTd3a5f740" w:cs="AdvOTd3a5f740"/>
          <w:sz w:val="10"/>
          <w:szCs w:val="10"/>
        </w:rPr>
        <w:t>3</w:t>
      </w:r>
      <w:proofErr w:type="gramEnd"/>
      <w:r>
        <w:rPr>
          <w:rFonts w:ascii="AdvTT281d44c8" w:hAnsi="AdvTT281d44c8" w:cs="AdvTT281d44c8"/>
          <w:sz w:val="15"/>
          <w:szCs w:val="15"/>
        </w:rPr>
        <w:t>·</w:t>
      </w:r>
      <w:r>
        <w:rPr>
          <w:rFonts w:ascii="AdvOTd3a5f740" w:hAnsi="AdvOTd3a5f740" w:cs="AdvOTd3a5f740"/>
          <w:sz w:val="15"/>
          <w:szCs w:val="15"/>
        </w:rPr>
        <w:t>TiO</w:t>
      </w:r>
      <w:r>
        <w:rPr>
          <w:rFonts w:ascii="AdvOTd3a5f740" w:hAnsi="AdvOTd3a5f740" w:cs="AdvOTd3a5f740"/>
          <w:sz w:val="10"/>
          <w:szCs w:val="10"/>
        </w:rPr>
        <w:t xml:space="preserve">2 </w:t>
      </w:r>
      <w:r>
        <w:rPr>
          <w:rFonts w:ascii="AdvOTd3a5f740" w:hAnsi="AdvOTd3a5f740" w:cs="AdvOTd3a5f740"/>
          <w:sz w:val="15"/>
          <w:szCs w:val="15"/>
        </w:rPr>
        <w:t>ENM (B) and Al(OH)</w:t>
      </w:r>
      <w:r>
        <w:rPr>
          <w:rFonts w:ascii="AdvOTd3a5f740" w:hAnsi="AdvOTd3a5f740" w:cs="AdvOTd3a5f740"/>
          <w:sz w:val="10"/>
          <w:szCs w:val="10"/>
        </w:rPr>
        <w:t>3</w:t>
      </w:r>
      <w:r>
        <w:rPr>
          <w:rFonts w:ascii="AdvTT281d44c8" w:hAnsi="AdvTT281d44c8" w:cs="AdvTT281d44c8"/>
          <w:sz w:val="15"/>
          <w:szCs w:val="15"/>
        </w:rPr>
        <w:t>·</w:t>
      </w:r>
      <w:r>
        <w:rPr>
          <w:rFonts w:ascii="AdvOTd3a5f740" w:hAnsi="AdvOTd3a5f740" w:cs="AdvOTd3a5f740"/>
          <w:sz w:val="15"/>
          <w:szCs w:val="15"/>
        </w:rPr>
        <w:t>TiO</w:t>
      </w:r>
      <w:r>
        <w:rPr>
          <w:rFonts w:ascii="AdvOTd3a5f740" w:hAnsi="AdvOTd3a5f740" w:cs="AdvOTd3a5f740"/>
          <w:sz w:val="10"/>
          <w:szCs w:val="10"/>
        </w:rPr>
        <w:t>2</w:t>
      </w:r>
    </w:p>
    <w:p w:rsidR="006907AA" w:rsidRDefault="006907AA" w:rsidP="006907AA">
      <w:pPr>
        <w:autoSpaceDE w:val="0"/>
        <w:autoSpaceDN w:val="0"/>
        <w:adjustRightInd w:val="0"/>
        <w:spacing w:after="0" w:line="240" w:lineRule="auto"/>
        <w:rPr>
          <w:rFonts w:ascii="AdvOTd3a5f740" w:hAnsi="AdvOTd3a5f740" w:cs="AdvOTd3a5f740"/>
          <w:sz w:val="15"/>
          <w:szCs w:val="15"/>
        </w:rPr>
      </w:pPr>
      <w:r>
        <w:rPr>
          <w:rFonts w:ascii="AdvOTd3a5f740" w:hAnsi="AdvOTd3a5f740" w:cs="AdvOTd3a5f740"/>
          <w:sz w:val="15"/>
          <w:szCs w:val="15"/>
        </w:rPr>
        <w:t>ENM aged in SPW for 1 day (C), 3 days (D), 10 days (E), and 14 days (F). ENM appear white, mitochondria appear green (GFP), cell membrane appears</w:t>
      </w:r>
    </w:p>
    <w:p w:rsidR="006907AA" w:rsidRDefault="006907AA" w:rsidP="006907AA">
      <w:pPr>
        <w:autoSpaceDE w:val="0"/>
        <w:autoSpaceDN w:val="0"/>
        <w:adjustRightInd w:val="0"/>
        <w:spacing w:after="0" w:line="240" w:lineRule="auto"/>
        <w:rPr>
          <w:rFonts w:ascii="AdvOTd3a5f740" w:hAnsi="AdvOTd3a5f740" w:cs="AdvOTd3a5f740"/>
          <w:sz w:val="15"/>
          <w:szCs w:val="15"/>
        </w:rPr>
      </w:pPr>
      <w:proofErr w:type="gramStart"/>
      <w:r>
        <w:rPr>
          <w:rFonts w:ascii="AdvOTd3a5f740" w:hAnsi="AdvOTd3a5f740" w:cs="AdvOTd3a5f740"/>
          <w:sz w:val="15"/>
          <w:szCs w:val="15"/>
        </w:rPr>
        <w:t>red</w:t>
      </w:r>
      <w:proofErr w:type="gramEnd"/>
      <w:r>
        <w:rPr>
          <w:rFonts w:ascii="AdvOTd3a5f740" w:hAnsi="AdvOTd3a5f740" w:cs="AdvOTd3a5f740"/>
          <w:sz w:val="15"/>
          <w:szCs w:val="15"/>
        </w:rPr>
        <w:t xml:space="preserve"> (CMO), and nuclei appear blue (DAPI). Images A</w:t>
      </w:r>
      <w:r>
        <w:rPr>
          <w:rFonts w:ascii="AdvTT281d44c8+20" w:hAnsi="AdvTT281d44c8+20" w:cs="AdvTT281d44c8+20"/>
          <w:sz w:val="15"/>
          <w:szCs w:val="15"/>
        </w:rPr>
        <w:t>–</w:t>
      </w:r>
      <w:r>
        <w:rPr>
          <w:rFonts w:ascii="AdvOTd3a5f740" w:hAnsi="AdvOTd3a5f740" w:cs="AdvOTd3a5f740"/>
          <w:sz w:val="15"/>
          <w:szCs w:val="15"/>
        </w:rPr>
        <w:t>F show that internalized ENM are co-localized with the mitochondria and endoplasmic</w:t>
      </w:r>
    </w:p>
    <w:p w:rsidR="00716E61" w:rsidRDefault="006907AA" w:rsidP="006907AA">
      <w:pPr>
        <w:rPr>
          <w:rFonts w:ascii="AdvOTd3a5f740" w:hAnsi="AdvOTd3a5f740" w:cs="AdvOTd3a5f740"/>
          <w:sz w:val="15"/>
          <w:szCs w:val="15"/>
        </w:rPr>
      </w:pPr>
      <w:proofErr w:type="gramStart"/>
      <w:r>
        <w:rPr>
          <w:rFonts w:ascii="AdvOTd3a5f740" w:hAnsi="AdvOTd3a5f740" w:cs="AdvOTd3a5f740"/>
          <w:sz w:val="15"/>
          <w:szCs w:val="15"/>
        </w:rPr>
        <w:t>reticulum</w:t>
      </w:r>
      <w:proofErr w:type="gramEnd"/>
      <w:r>
        <w:rPr>
          <w:rFonts w:ascii="AdvOTd3a5f740" w:hAnsi="AdvOTd3a5f740" w:cs="AdvOTd3a5f740"/>
          <w:sz w:val="15"/>
          <w:szCs w:val="15"/>
        </w:rPr>
        <w:t>. ENM do not appear to enter the nuclei.</w:t>
      </w:r>
    </w:p>
    <w:p w:rsidR="006907AA" w:rsidRDefault="006907AA" w:rsidP="006907AA">
      <w:pPr>
        <w:rPr>
          <w:rFonts w:ascii="AdvOTd3a5f740" w:hAnsi="AdvOTd3a5f740" w:cs="AdvOTd3a5f740"/>
          <w:sz w:val="15"/>
          <w:szCs w:val="15"/>
        </w:rPr>
      </w:pPr>
    </w:p>
    <w:p w:rsidR="006907AA" w:rsidRDefault="006907AA" w:rsidP="006907AA">
      <w:r w:rsidRPr="006907AA">
        <w:rPr>
          <w:noProof/>
        </w:rPr>
        <w:drawing>
          <wp:inline distT="0" distB="0" distL="0" distR="0">
            <wp:extent cx="5943600" cy="29616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AA" w:rsidRDefault="006907AA" w:rsidP="006907AA"/>
    <w:p w:rsidR="006907AA" w:rsidRDefault="006907AA" w:rsidP="006907AA">
      <w:r>
        <w:t>These are images.</w:t>
      </w:r>
      <w:bookmarkStart w:id="0" w:name="_GoBack"/>
      <w:bookmarkEnd w:id="0"/>
    </w:p>
    <w:p w:rsidR="006907AA" w:rsidRDefault="006907AA" w:rsidP="006907AA"/>
    <w:p w:rsidR="006907AA" w:rsidRPr="006907AA" w:rsidRDefault="006907AA" w:rsidP="006907AA">
      <w:pPr>
        <w:rPr>
          <w:sz w:val="24"/>
          <w:szCs w:val="24"/>
        </w:rPr>
      </w:pPr>
    </w:p>
    <w:sectPr w:rsidR="006907AA" w:rsidRPr="00690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OTd3a5f74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2c8ce45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281d44c8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a62778a7+01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T281d44c8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3B"/>
    <w:rsid w:val="006907AA"/>
    <w:rsid w:val="00706A3B"/>
    <w:rsid w:val="0071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1AEF1-11E9-41B2-90A6-4D3C397B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Degn, Laura</dc:creator>
  <cp:keywords/>
  <dc:description/>
  <cp:lastModifiedBy>Degn, Laura</cp:lastModifiedBy>
  <cp:revision>2</cp:revision>
  <dcterms:created xsi:type="dcterms:W3CDTF">2016-09-12T12:32:00Z</dcterms:created>
  <dcterms:modified xsi:type="dcterms:W3CDTF">2016-09-12T12:33:00Z</dcterms:modified>
</cp:coreProperties>
</file>