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5910E6" w:rsidP="0060507F" w:rsidRDefault="005910E6" w14:paraId="731B5C66" w14:textId="5FA49630">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Readme file for the spreadsheet Damage_Values_application-v6-2025.06.11.xlsx</w:t>
      </w:r>
    </w:p>
    <w:p w:rsidR="00F85849" w:rsidP="00F85849" w:rsidRDefault="00F85849" w14:paraId="635FB37F" w14:textId="77777777">
      <w:pPr>
        <w:rPr>
          <w:rFonts w:ascii="Calibri" w:hAnsi="Calibri" w:eastAsia="Times New Roman" w:cs="Calibri"/>
          <w:i/>
          <w:iCs/>
          <w:color w:val="000000"/>
          <w:kern w:val="0"/>
          <w:sz w:val="22"/>
          <w:szCs w:val="22"/>
          <w14:ligatures w14:val="none"/>
        </w:rPr>
      </w:pPr>
    </w:p>
    <w:p w:rsidRPr="003C351F" w:rsidR="00F85849" w:rsidP="00F85849" w:rsidRDefault="00F85849" w14:paraId="28E8CC10" w14:textId="27C8064F">
      <w:pPr>
        <w:rPr>
          <w:rFonts w:ascii="Calibri" w:hAnsi="Calibri" w:eastAsia="Times New Roman" w:cs="Calibri"/>
          <w:i/>
          <w:iCs/>
          <w:color w:val="156082" w:themeColor="accent1"/>
          <w:kern w:val="0"/>
          <w:sz w:val="22"/>
          <w:szCs w:val="22"/>
          <w14:ligatures w14:val="none"/>
        </w:rPr>
      </w:pPr>
      <w:r w:rsidRPr="003C351F">
        <w:rPr>
          <w:rFonts w:ascii="Calibri" w:hAnsi="Calibri" w:eastAsia="Times New Roman" w:cs="Calibri"/>
          <w:i/>
          <w:iCs/>
          <w:color w:val="156082" w:themeColor="accent1"/>
          <w:kern w:val="0"/>
          <w:sz w:val="22"/>
          <w:szCs w:val="22"/>
          <w14:ligatures w14:val="none"/>
        </w:rPr>
        <w:t>Disclaimer: While this spreadsheet has been cleared by the U.S. EPA, users should note that the intent is to provide an example of how air</w:t>
      </w:r>
      <w:r w:rsidRPr="003C351F">
        <w:rPr>
          <w:rFonts w:ascii="Calibri" w:hAnsi="Calibri" w:eastAsia="Times New Roman" w:cs="Calibri"/>
          <w:i/>
          <w:iCs/>
          <w:color w:val="156082" w:themeColor="accent1"/>
          <w:kern w:val="0"/>
          <w:sz w:val="22"/>
          <w:szCs w:val="22"/>
          <w14:ligatures w14:val="none"/>
        </w:rPr>
        <w:t xml:space="preserve"> </w:t>
      </w:r>
      <w:r w:rsidRPr="003C351F">
        <w:rPr>
          <w:rFonts w:ascii="Calibri" w:hAnsi="Calibri" w:eastAsia="Times New Roman" w:cs="Calibri"/>
          <w:i/>
          <w:iCs/>
          <w:color w:val="156082" w:themeColor="accent1"/>
          <w:kern w:val="0"/>
          <w:sz w:val="22"/>
          <w:szCs w:val="22"/>
          <w14:ligatures w14:val="none"/>
        </w:rPr>
        <w:t>quality</w:t>
      </w:r>
      <w:r w:rsidRPr="003C351F">
        <w:rPr>
          <w:rFonts w:ascii="Calibri" w:hAnsi="Calibri" w:eastAsia="Times New Roman" w:cs="Calibri"/>
          <w:i/>
          <w:iCs/>
          <w:color w:val="156082" w:themeColor="accent1"/>
          <w:kern w:val="0"/>
          <w:sz w:val="22"/>
          <w:szCs w:val="22"/>
          <w14:ligatures w14:val="none"/>
        </w:rPr>
        <w:t>-</w:t>
      </w:r>
      <w:r w:rsidRPr="003C351F">
        <w:rPr>
          <w:rFonts w:ascii="Calibri" w:hAnsi="Calibri" w:eastAsia="Times New Roman" w:cs="Calibri"/>
          <w:i/>
          <w:iCs/>
          <w:color w:val="156082" w:themeColor="accent1"/>
          <w:kern w:val="0"/>
          <w:sz w:val="22"/>
          <w:szCs w:val="22"/>
          <w14:ligatures w14:val="none"/>
        </w:rPr>
        <w:t xml:space="preserve">related </w:t>
      </w:r>
      <w:r w:rsidRPr="003C351F">
        <w:rPr>
          <w:rFonts w:ascii="Calibri" w:hAnsi="Calibri" w:eastAsia="Times New Roman" w:cs="Calibri"/>
          <w:i/>
          <w:iCs/>
          <w:color w:val="156082" w:themeColor="accent1"/>
          <w:kern w:val="0"/>
          <w:sz w:val="22"/>
          <w:szCs w:val="22"/>
          <w14:ligatures w14:val="none"/>
        </w:rPr>
        <w:t>health d</w:t>
      </w:r>
      <w:r w:rsidRPr="003C351F">
        <w:rPr>
          <w:rFonts w:ascii="Calibri" w:hAnsi="Calibri" w:eastAsia="Times New Roman" w:cs="Calibri"/>
          <w:i/>
          <w:iCs/>
          <w:color w:val="156082" w:themeColor="accent1"/>
          <w:kern w:val="0"/>
          <w:sz w:val="22"/>
          <w:szCs w:val="22"/>
          <w14:ligatures w14:val="none"/>
        </w:rPr>
        <w:t xml:space="preserve">amage factors can be integrated into GCAM-USA. </w:t>
      </w:r>
      <w:r w:rsidRPr="003C351F" w:rsidR="009E288A">
        <w:rPr>
          <w:rFonts w:ascii="Calibri" w:hAnsi="Calibri" w:eastAsia="Times New Roman" w:cs="Calibri"/>
          <w:i/>
          <w:iCs/>
          <w:color w:val="156082" w:themeColor="accent1"/>
          <w:kern w:val="0"/>
          <w:sz w:val="22"/>
          <w:szCs w:val="22"/>
          <w14:ligatures w14:val="none"/>
        </w:rPr>
        <w:t xml:space="preserve">These damage factors represent complex nonlinear atmospheric transport and chemistry processes with linear damage values. As a result, these factors are intended to be used for research and screening purposes. Applications using these factors should be adequately caveated. </w:t>
      </w:r>
      <w:r w:rsidRPr="003C351F">
        <w:rPr>
          <w:rFonts w:ascii="Calibri" w:hAnsi="Calibri" w:eastAsia="Times New Roman" w:cs="Calibri"/>
          <w:i/>
          <w:iCs/>
          <w:color w:val="156082" w:themeColor="accent1"/>
          <w:kern w:val="0"/>
          <w:sz w:val="22"/>
          <w:szCs w:val="22"/>
          <w14:ligatures w14:val="none"/>
        </w:rPr>
        <w:t xml:space="preserve">Users are responsible for </w:t>
      </w:r>
      <w:r w:rsidRPr="003C351F" w:rsidR="009E288A">
        <w:rPr>
          <w:rFonts w:ascii="Calibri" w:hAnsi="Calibri" w:eastAsia="Times New Roman" w:cs="Calibri"/>
          <w:i/>
          <w:iCs/>
          <w:color w:val="156082" w:themeColor="accent1"/>
          <w:kern w:val="0"/>
          <w:sz w:val="22"/>
          <w:szCs w:val="22"/>
          <w14:ligatures w14:val="none"/>
        </w:rPr>
        <w:t>determining</w:t>
      </w:r>
      <w:r w:rsidRPr="003C351F">
        <w:rPr>
          <w:rFonts w:ascii="Calibri" w:hAnsi="Calibri" w:eastAsia="Times New Roman" w:cs="Calibri"/>
          <w:i/>
          <w:iCs/>
          <w:color w:val="156082" w:themeColor="accent1"/>
          <w:kern w:val="0"/>
          <w:sz w:val="22"/>
          <w:szCs w:val="22"/>
          <w14:ligatures w14:val="none"/>
        </w:rPr>
        <w:t xml:space="preserve"> the utility of this spreadsheet for their own applications and ensuring coverage of damage factors across technologies. Neither the U.S. EPA nor the spreadsheet authors can assume responsibility for modification, content, output, or usage. </w:t>
      </w:r>
    </w:p>
    <w:p w:rsidR="004227CD" w:rsidP="0060507F" w:rsidRDefault="004227CD" w14:paraId="660556DB" w14:textId="77777777">
      <w:pPr>
        <w:spacing w:after="0" w:line="240" w:lineRule="auto"/>
        <w:rPr>
          <w:rFonts w:ascii="Calibri" w:hAnsi="Calibri" w:eastAsia="Times New Roman" w:cs="Calibri"/>
          <w:color w:val="000000"/>
          <w:kern w:val="0"/>
          <w:sz w:val="22"/>
          <w:szCs w:val="22"/>
          <w14:ligatures w14:val="none"/>
        </w:rPr>
      </w:pPr>
    </w:p>
    <w:p w:rsidR="005910E6" w:rsidP="0060507F" w:rsidRDefault="0060507F" w14:paraId="06BF86EE" w14:textId="51F5C13D">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The purpose of this spreadsheet is to demonstrate the transformation of health damage factors derived from the U.S. EPA's CO-Benefits Risk Assessment (COBRA) tool into the</w:t>
      </w:r>
      <w:r w:rsidR="005910E6">
        <w:rPr>
          <w:rFonts w:ascii="Calibri" w:hAnsi="Calibri" w:eastAsia="Times New Roman" w:cs="Calibri"/>
          <w:color w:val="000000"/>
          <w:kern w:val="0"/>
          <w:sz w:val="22"/>
          <w:szCs w:val="22"/>
          <w14:ligatures w14:val="none"/>
        </w:rPr>
        <w:t xml:space="preserve"> format needed </w:t>
      </w:r>
      <w:r w:rsidR="003C351F">
        <w:rPr>
          <w:rFonts w:ascii="Calibri" w:hAnsi="Calibri" w:eastAsia="Times New Roman" w:cs="Calibri"/>
          <w:color w:val="000000"/>
          <w:kern w:val="0"/>
          <w:sz w:val="22"/>
          <w:szCs w:val="22"/>
          <w14:ligatures w14:val="none"/>
        </w:rPr>
        <w:t>to be used with</w:t>
      </w:r>
      <w:r w:rsidR="005910E6">
        <w:rPr>
          <w:rFonts w:ascii="Calibri" w:hAnsi="Calibri" w:eastAsia="Times New Roman" w:cs="Calibri"/>
          <w:color w:val="000000"/>
          <w:kern w:val="0"/>
          <w:sz w:val="22"/>
          <w:szCs w:val="22"/>
          <w14:ligatures w14:val="none"/>
        </w:rPr>
        <w:t xml:space="preserve"> the </w:t>
      </w:r>
      <w:r w:rsidRPr="0060507F">
        <w:rPr>
          <w:rFonts w:ascii="Calibri" w:hAnsi="Calibri" w:eastAsia="Times New Roman" w:cs="Calibri"/>
          <w:color w:val="000000"/>
          <w:kern w:val="0"/>
          <w:sz w:val="22"/>
          <w:szCs w:val="22"/>
          <w14:ligatures w14:val="none"/>
        </w:rPr>
        <w:t xml:space="preserve">Global Change Analysis Model USA (GCAM-USA) versions 7.0 and 7.1. </w:t>
      </w:r>
    </w:p>
    <w:p w:rsidR="005910E6" w:rsidP="0060507F" w:rsidRDefault="005910E6" w14:paraId="5429DB84" w14:textId="77777777">
      <w:pPr>
        <w:spacing w:after="0" w:line="240" w:lineRule="auto"/>
        <w:rPr>
          <w:rFonts w:ascii="Calibri" w:hAnsi="Calibri" w:eastAsia="Times New Roman" w:cs="Calibri"/>
          <w:color w:val="000000"/>
          <w:kern w:val="0"/>
          <w:sz w:val="22"/>
          <w:szCs w:val="22"/>
          <w14:ligatures w14:val="none"/>
        </w:rPr>
      </w:pPr>
    </w:p>
    <w:p w:rsidR="004227CD" w:rsidP="004227CD" w:rsidRDefault="0060507F" w14:paraId="7B6F89EC" w14:textId="62942432">
      <w:pPr>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 "Damage_Values" </w:t>
      </w:r>
      <w:r w:rsidR="003C351F">
        <w:rPr>
          <w:rFonts w:ascii="Calibri" w:hAnsi="Calibri" w:eastAsia="Times New Roman" w:cs="Calibri"/>
          <w:color w:val="000000"/>
          <w:kern w:val="0"/>
          <w:sz w:val="22"/>
          <w:szCs w:val="22"/>
          <w14:ligatures w14:val="none"/>
        </w:rPr>
        <w:t xml:space="preserve">tab </w:t>
      </w:r>
      <w:r w:rsidRPr="0060507F">
        <w:rPr>
          <w:rFonts w:ascii="Calibri" w:hAnsi="Calibri" w:eastAsia="Times New Roman" w:cs="Calibri"/>
          <w:color w:val="000000"/>
          <w:kern w:val="0"/>
          <w:sz w:val="22"/>
          <w:szCs w:val="22"/>
          <w14:ligatures w14:val="none"/>
        </w:rPr>
        <w:t xml:space="preserve">includes state-, emissions source category-, and pollutant-specific air pollutant-related health damage coefficients, in units of (1990$s/tonne). </w:t>
      </w:r>
      <w:r w:rsidR="009E288A">
        <w:rPr>
          <w:rFonts w:ascii="Calibri" w:hAnsi="Calibri" w:eastAsia="Times New Roman" w:cs="Calibri"/>
          <w:color w:val="000000"/>
          <w:kern w:val="0"/>
          <w:sz w:val="22"/>
          <w:szCs w:val="22"/>
          <w14:ligatures w14:val="none"/>
        </w:rPr>
        <w:t>An</w:t>
      </w:r>
      <w:r w:rsidRPr="004227CD" w:rsidR="004227CD">
        <w:rPr>
          <w:rFonts w:ascii="Calibri" w:hAnsi="Calibri" w:eastAsia="Times New Roman" w:cs="Calibri"/>
          <w:color w:val="000000"/>
          <w:kern w:val="0"/>
          <w:sz w:val="22"/>
          <w:szCs w:val="22"/>
          <w14:ligatures w14:val="none"/>
        </w:rPr>
        <w:t xml:space="preserve"> emission source category</w:t>
      </w:r>
      <w:r w:rsidR="009E288A">
        <w:rPr>
          <w:rFonts w:ascii="Calibri" w:hAnsi="Calibri" w:eastAsia="Times New Roman" w:cs="Calibri"/>
          <w:color w:val="000000"/>
          <w:kern w:val="0"/>
          <w:sz w:val="22"/>
          <w:szCs w:val="22"/>
          <w14:ligatures w14:val="none"/>
        </w:rPr>
        <w:t xml:space="preserve"> (also referred to as a source category below)</w:t>
      </w:r>
      <w:r w:rsidRPr="004227CD" w:rsidR="004227CD">
        <w:rPr>
          <w:rFonts w:ascii="Calibri" w:hAnsi="Calibri" w:eastAsia="Times New Roman" w:cs="Calibri"/>
          <w:color w:val="000000"/>
          <w:kern w:val="0"/>
          <w:sz w:val="22"/>
          <w:szCs w:val="22"/>
          <w14:ligatures w14:val="none"/>
        </w:rPr>
        <w:t xml:space="preserve"> is a grouping of technologies assumed to have similar impacts because of emissions intensity and characteristics of their release (low vs. elevated) that may</w:t>
      </w:r>
      <w:r w:rsidR="004227CD">
        <w:rPr>
          <w:rFonts w:ascii="Calibri" w:hAnsi="Calibri" w:eastAsia="Times New Roman" w:cs="Calibri"/>
          <w:color w:val="000000"/>
          <w:kern w:val="0"/>
          <w:sz w:val="22"/>
          <w:szCs w:val="22"/>
          <w14:ligatures w14:val="none"/>
        </w:rPr>
        <w:t xml:space="preserve"> impact human exposure. </w:t>
      </w:r>
    </w:p>
    <w:p w:rsidRPr="0060507F" w:rsidR="0060507F" w:rsidP="0060507F" w:rsidRDefault="0060507F" w14:paraId="27C5F360" w14:textId="75E20891">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 source categories used in this analysis include: </w:t>
      </w:r>
    </w:p>
    <w:p w:rsidRPr="004227CD" w:rsidR="0060507F" w:rsidP="004227CD" w:rsidRDefault="0060507F" w14:paraId="2897EBFB" w14:textId="026135E9">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''EGU Coal" - coal-fired electric generating units that have relatively high emissions intensity and release emissions via a tall stack</w:t>
      </w:r>
    </w:p>
    <w:p w:rsidRPr="004227CD" w:rsidR="0060507F" w:rsidP="004227CD" w:rsidRDefault="0060507F" w14:paraId="579D11CA" w14:textId="755B9143">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"EGU Other" - gas-, fuel oil-, and other electric generating units, including turbines, which may be smaller in size and emissions than coal-fired EGUs</w:t>
      </w:r>
    </w:p>
    <w:p w:rsidRPr="004227CD" w:rsidR="0060507F" w:rsidP="004227CD" w:rsidRDefault="0060507F" w14:paraId="5F4D1FA5" w14:textId="451991B9">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"Fuels" - emission sources associated with oil and gas production and refining</w:t>
      </w:r>
    </w:p>
    <w:p w:rsidRPr="004227CD" w:rsidR="0060507F" w:rsidP="004227CD" w:rsidRDefault="0060507F" w14:paraId="030B01F9" w14:textId="2A511A76">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"Building" - emission sources associated with residential, commercial, and institutional buildings</w:t>
      </w:r>
    </w:p>
    <w:p w:rsidRPr="004227CD" w:rsidR="0060507F" w:rsidP="004227CD" w:rsidRDefault="0060507F" w14:paraId="23C3756E" w14:textId="7AA1591B">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"Industry" - Large industrial sources, including manufacturing, chemical production, etc.</w:t>
      </w:r>
    </w:p>
    <w:p w:rsidRPr="004227CD" w:rsidR="0060507F" w:rsidP="004227CD" w:rsidRDefault="0060507F" w14:paraId="17302595" w14:textId="263DAD36">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"Highway" - Onroad passenger and freight vehicles</w:t>
      </w:r>
    </w:p>
    <w:p w:rsidRPr="004227CD" w:rsidR="0060507F" w:rsidP="004227CD" w:rsidRDefault="0060507F" w14:paraId="2982A910" w14:textId="7510F680">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"Off-highway" - Air, locomotive, marine, construction, and agricultural vehicles</w:t>
      </w:r>
    </w:p>
    <w:p w:rsidRPr="004227CD" w:rsidR="0060507F" w:rsidP="004227CD" w:rsidRDefault="0060507F" w14:paraId="4BD17D30" w14:textId="4538218E">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"Other Point" -Other large emission sources that do not fall within the categories above</w:t>
      </w:r>
    </w:p>
    <w:p w:rsidRPr="004227CD" w:rsidR="0060507F" w:rsidP="004227CD" w:rsidRDefault="0060507F" w14:paraId="37E45385" w14:textId="727D4590">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4227CD">
        <w:rPr>
          <w:rFonts w:ascii="Calibri" w:hAnsi="Calibri" w:eastAsia="Times New Roman" w:cs="Calibri"/>
          <w:color w:val="000000"/>
          <w:kern w:val="0"/>
          <w:sz w:val="22"/>
          <w:szCs w:val="22"/>
          <w14:ligatures w14:val="none"/>
        </w:rPr>
        <w:t>"Other Area" -Other small emission sources that do not fall within the categories above</w:t>
      </w:r>
    </w:p>
    <w:p w:rsidR="004227CD" w:rsidP="0060507F" w:rsidRDefault="004227CD" w14:paraId="08958D19" w14:textId="77777777">
      <w:pPr>
        <w:spacing w:after="0" w:line="240" w:lineRule="auto"/>
      </w:pPr>
    </w:p>
    <w:p w:rsidRPr="0060507F" w:rsidR="0060507F" w:rsidP="0060507F" w:rsidRDefault="0060507F" w14:paraId="1AEA4213" w14:textId="34C0FCC9">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 </w:t>
      </w:r>
      <w:r w:rsidR="009E288A">
        <w:rPr>
          <w:rFonts w:ascii="Calibri" w:hAnsi="Calibri" w:eastAsia="Times New Roman" w:cs="Calibri"/>
          <w:color w:val="000000"/>
          <w:kern w:val="0"/>
          <w:sz w:val="22"/>
          <w:szCs w:val="22"/>
          <w14:ligatures w14:val="none"/>
        </w:rPr>
        <w:t>state-, pollutant-, and source-category-</w:t>
      </w:r>
      <w:r w:rsidR="003C351F">
        <w:rPr>
          <w:rFonts w:ascii="Calibri" w:hAnsi="Calibri" w:eastAsia="Times New Roman" w:cs="Calibri"/>
          <w:color w:val="000000"/>
          <w:kern w:val="0"/>
          <w:sz w:val="22"/>
          <w:szCs w:val="22"/>
          <w14:ligatures w14:val="none"/>
        </w:rPr>
        <w:t>specific</w:t>
      </w:r>
      <w:r w:rsidR="009E288A">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 xml:space="preserve">damage values </w:t>
      </w:r>
      <w:r w:rsidR="009E288A">
        <w:rPr>
          <w:rFonts w:ascii="Calibri" w:hAnsi="Calibri" w:eastAsia="Times New Roman" w:cs="Calibri"/>
          <w:color w:val="000000"/>
          <w:kern w:val="0"/>
          <w:sz w:val="22"/>
          <w:szCs w:val="22"/>
          <w14:ligatures w14:val="none"/>
        </w:rPr>
        <w:t xml:space="preserve">on the tab </w:t>
      </w:r>
      <w:r w:rsidRPr="0060507F">
        <w:rPr>
          <w:rFonts w:ascii="Calibri" w:hAnsi="Calibri" w:eastAsia="Times New Roman" w:cs="Calibri"/>
          <w:color w:val="000000"/>
          <w:kern w:val="0"/>
          <w:sz w:val="22"/>
          <w:szCs w:val="22"/>
          <w14:ligatures w14:val="none"/>
        </w:rPr>
        <w:t>were created in several steps</w:t>
      </w:r>
      <w:r w:rsidR="003C351F">
        <w:rPr>
          <w:rFonts w:ascii="Calibri" w:hAnsi="Calibri" w:eastAsia="Times New Roman" w:cs="Calibri"/>
          <w:color w:val="000000"/>
          <w:kern w:val="0"/>
          <w:sz w:val="22"/>
          <w:szCs w:val="22"/>
          <w14:ligatures w14:val="none"/>
        </w:rPr>
        <w:t xml:space="preserve"> performed upstream of the application of this </w:t>
      </w:r>
      <w:r w:rsidR="007B6EE5">
        <w:rPr>
          <w:rFonts w:ascii="Calibri" w:hAnsi="Calibri" w:eastAsia="Times New Roman" w:cs="Calibri"/>
          <w:color w:val="000000"/>
          <w:kern w:val="0"/>
          <w:sz w:val="22"/>
          <w:szCs w:val="22"/>
          <w14:ligatures w14:val="none"/>
        </w:rPr>
        <w:t>spreadsheet but</w:t>
      </w:r>
      <w:r w:rsidR="003C351F">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summarized here</w:t>
      </w:r>
      <w:r w:rsidR="004227CD">
        <w:rPr>
          <w:rFonts w:ascii="Calibri" w:hAnsi="Calibri" w:eastAsia="Times New Roman" w:cs="Calibri"/>
          <w:color w:val="000000"/>
          <w:kern w:val="0"/>
          <w:sz w:val="22"/>
          <w:szCs w:val="22"/>
          <w14:ligatures w14:val="none"/>
        </w:rPr>
        <w:t>. A</w:t>
      </w:r>
      <w:r w:rsidRPr="004227CD">
        <w:rPr>
          <w:rFonts w:ascii="Calibri" w:hAnsi="Calibri" w:eastAsia="Times New Roman" w:cs="Calibri"/>
          <w:color w:val="000000"/>
          <w:kern w:val="0"/>
          <w:sz w:val="22"/>
          <w:szCs w:val="22"/>
          <w14:ligatures w14:val="none"/>
        </w:rPr>
        <w:t xml:space="preserve"> 2023 emission inventory is embedded in desktop COBRA v5.2</w:t>
      </w:r>
      <w:r w:rsidR="004227CD">
        <w:rPr>
          <w:rFonts w:ascii="Calibri" w:hAnsi="Calibri" w:eastAsia="Times New Roman" w:cs="Calibri"/>
          <w:color w:val="000000"/>
          <w:kern w:val="0"/>
          <w:sz w:val="22"/>
          <w:szCs w:val="22"/>
          <w14:ligatures w14:val="none"/>
        </w:rPr>
        <w:t>. Emission sources in that inventory</w:t>
      </w:r>
      <w:r w:rsidRPr="004227CD">
        <w:rPr>
          <w:rFonts w:ascii="Calibri" w:hAnsi="Calibri" w:eastAsia="Times New Roman" w:cs="Calibri"/>
          <w:color w:val="000000"/>
          <w:kern w:val="0"/>
          <w:sz w:val="22"/>
          <w:szCs w:val="22"/>
          <w14:ligatures w14:val="none"/>
        </w:rPr>
        <w:t xml:space="preserve"> were assigned </w:t>
      </w:r>
      <w:r w:rsidR="004227CD">
        <w:rPr>
          <w:rFonts w:ascii="Calibri" w:hAnsi="Calibri" w:eastAsia="Times New Roman" w:cs="Calibri"/>
          <w:color w:val="000000"/>
          <w:kern w:val="0"/>
          <w:sz w:val="22"/>
          <w:szCs w:val="22"/>
          <w14:ligatures w14:val="none"/>
        </w:rPr>
        <w:t>to the</w:t>
      </w:r>
      <w:r w:rsidRPr="004227CD">
        <w:rPr>
          <w:rFonts w:ascii="Calibri" w:hAnsi="Calibri" w:eastAsia="Times New Roman" w:cs="Calibri"/>
          <w:color w:val="000000"/>
          <w:kern w:val="0"/>
          <w:sz w:val="22"/>
          <w:szCs w:val="22"/>
          <w14:ligatures w14:val="none"/>
        </w:rPr>
        <w:t xml:space="preserve"> categories</w:t>
      </w:r>
      <w:r w:rsidR="004227CD">
        <w:rPr>
          <w:rFonts w:ascii="Calibri" w:hAnsi="Calibri" w:eastAsia="Times New Roman" w:cs="Calibri"/>
          <w:color w:val="000000"/>
          <w:kern w:val="0"/>
          <w:sz w:val="22"/>
          <w:szCs w:val="22"/>
          <w14:ligatures w14:val="none"/>
        </w:rPr>
        <w:t xml:space="preserve"> listed above</w:t>
      </w:r>
      <w:r w:rsidRPr="004227CD">
        <w:rPr>
          <w:rFonts w:ascii="Calibri" w:hAnsi="Calibri" w:eastAsia="Times New Roman" w:cs="Calibri"/>
          <w:color w:val="000000"/>
          <w:kern w:val="0"/>
          <w:sz w:val="22"/>
          <w:szCs w:val="22"/>
          <w14:ligatures w14:val="none"/>
        </w:rPr>
        <w:t>.</w:t>
      </w:r>
      <w:r w:rsidR="004227CD">
        <w:rPr>
          <w:rFonts w:ascii="Calibri" w:hAnsi="Calibri" w:eastAsia="Times New Roman" w:cs="Calibri"/>
          <w:color w:val="000000"/>
          <w:kern w:val="0"/>
          <w:sz w:val="22"/>
          <w:szCs w:val="22"/>
          <w14:ligatures w14:val="none"/>
        </w:rPr>
        <w:t xml:space="preserve"> </w:t>
      </w:r>
      <w:r w:rsidRPr="004227CD">
        <w:rPr>
          <w:rFonts w:ascii="Calibri" w:hAnsi="Calibri" w:eastAsia="Times New Roman" w:cs="Calibri"/>
          <w:color w:val="000000"/>
          <w:kern w:val="0"/>
          <w:sz w:val="22"/>
          <w:szCs w:val="22"/>
          <w14:ligatures w14:val="none"/>
        </w:rPr>
        <w:t xml:space="preserve">Next, a script was written </w:t>
      </w:r>
      <w:r w:rsidR="004227CD">
        <w:rPr>
          <w:rFonts w:ascii="Calibri" w:hAnsi="Calibri" w:eastAsia="Times New Roman" w:cs="Calibri"/>
          <w:color w:val="000000"/>
          <w:kern w:val="0"/>
          <w:sz w:val="22"/>
          <w:szCs w:val="22"/>
          <w14:ligatures w14:val="none"/>
        </w:rPr>
        <w:t>that</w:t>
      </w:r>
      <w:r w:rsidRPr="004227CD">
        <w:rPr>
          <w:rFonts w:ascii="Calibri" w:hAnsi="Calibri" w:eastAsia="Times New Roman" w:cs="Calibri"/>
          <w:color w:val="000000"/>
          <w:kern w:val="0"/>
          <w:sz w:val="22"/>
          <w:szCs w:val="22"/>
          <w14:ligatures w14:val="none"/>
        </w:rPr>
        <w:t xml:space="preserve"> generate</w:t>
      </w:r>
      <w:r w:rsidR="004227CD">
        <w:rPr>
          <w:rFonts w:ascii="Calibri" w:hAnsi="Calibri" w:eastAsia="Times New Roman" w:cs="Calibri"/>
          <w:color w:val="000000"/>
          <w:kern w:val="0"/>
          <w:sz w:val="22"/>
          <w:szCs w:val="22"/>
          <w14:ligatures w14:val="none"/>
        </w:rPr>
        <w:t>s</w:t>
      </w:r>
      <w:r w:rsidRPr="004227CD">
        <w:rPr>
          <w:rFonts w:ascii="Calibri" w:hAnsi="Calibri" w:eastAsia="Times New Roman" w:cs="Calibri"/>
          <w:color w:val="000000"/>
          <w:kern w:val="0"/>
          <w:sz w:val="22"/>
          <w:szCs w:val="22"/>
          <w14:ligatures w14:val="none"/>
        </w:rPr>
        <w:t xml:space="preserve"> a large set of </w:t>
      </w:r>
      <w:r w:rsidR="004227CD">
        <w:rPr>
          <w:rFonts w:ascii="Calibri" w:hAnsi="Calibri" w:eastAsia="Times New Roman" w:cs="Calibri"/>
          <w:color w:val="000000"/>
          <w:kern w:val="0"/>
          <w:sz w:val="22"/>
          <w:szCs w:val="22"/>
          <w14:ligatures w14:val="none"/>
        </w:rPr>
        <w:t xml:space="preserve">alternative emissions scenarios for use in </w:t>
      </w:r>
      <w:r w:rsidRPr="004227CD">
        <w:rPr>
          <w:rFonts w:ascii="Calibri" w:hAnsi="Calibri" w:eastAsia="Times New Roman" w:cs="Calibri"/>
          <w:color w:val="000000"/>
          <w:kern w:val="0"/>
          <w:sz w:val="22"/>
          <w:szCs w:val="22"/>
          <w14:ligatures w14:val="none"/>
        </w:rPr>
        <w:t>COBRA.</w:t>
      </w:r>
      <w:r w:rsidR="004227CD">
        <w:rPr>
          <w:rFonts w:ascii="Calibri" w:hAnsi="Calibri" w:eastAsia="Times New Roman" w:cs="Calibri"/>
          <w:color w:val="000000"/>
          <w:kern w:val="0"/>
          <w:sz w:val="22"/>
          <w:szCs w:val="22"/>
          <w14:ligatures w14:val="none"/>
        </w:rPr>
        <w:t xml:space="preserve"> These alternative scenarios each involve a 10% perturbation of the</w:t>
      </w:r>
      <w:r w:rsidRPr="004227CD">
        <w:rPr>
          <w:rFonts w:ascii="Calibri" w:hAnsi="Calibri" w:eastAsia="Times New Roman" w:cs="Calibri"/>
          <w:color w:val="000000"/>
          <w:kern w:val="0"/>
          <w:sz w:val="22"/>
          <w:szCs w:val="22"/>
          <w14:ligatures w14:val="none"/>
        </w:rPr>
        <w:t xml:space="preserve"> </w:t>
      </w:r>
      <w:r w:rsidR="004227CD">
        <w:rPr>
          <w:rFonts w:ascii="Calibri" w:hAnsi="Calibri" w:eastAsia="Times New Roman" w:cs="Calibri"/>
          <w:color w:val="000000"/>
          <w:kern w:val="0"/>
          <w:sz w:val="22"/>
          <w:szCs w:val="22"/>
          <w14:ligatures w14:val="none"/>
        </w:rPr>
        <w:t xml:space="preserve">one combination of state, pollutant (NOx, SO2, or </w:t>
      </w:r>
      <w:r w:rsidR="007B6EE5">
        <w:rPr>
          <w:rFonts w:ascii="Calibri" w:hAnsi="Calibri" w:eastAsia="Times New Roman" w:cs="Calibri"/>
          <w:color w:val="000000"/>
          <w:kern w:val="0"/>
          <w:sz w:val="22"/>
          <w:szCs w:val="22"/>
          <w14:ligatures w14:val="none"/>
        </w:rPr>
        <w:t>PM2.5</w:t>
      </w:r>
      <w:r w:rsidR="004227CD">
        <w:rPr>
          <w:rFonts w:ascii="Calibri" w:hAnsi="Calibri" w:eastAsia="Times New Roman" w:cs="Calibri"/>
          <w:color w:val="000000"/>
          <w:kern w:val="0"/>
          <w:sz w:val="22"/>
          <w:szCs w:val="22"/>
          <w14:ligatures w14:val="none"/>
        </w:rPr>
        <w:t xml:space="preserve">), source category, and analysis year (2030 to 2050 in 5-yr increments). The result was input emission files for over 6000 runs of COBRA, which were then performed using desktop COBRA’s batch function. COBRA predicted the monetized damages (or benefits) for each of these runs, compared to an unperturbed scenario. </w:t>
      </w:r>
      <w:r w:rsidRPr="0060507F" w:rsidR="004227CD">
        <w:rPr>
          <w:rFonts w:ascii="Calibri" w:hAnsi="Calibri" w:eastAsia="Times New Roman" w:cs="Calibri"/>
          <w:color w:val="000000"/>
          <w:kern w:val="0"/>
          <w:sz w:val="22"/>
          <w:szCs w:val="22"/>
          <w14:ligatures w14:val="none"/>
        </w:rPr>
        <w:t>For background information and a detailed description of the calculation of the damage values used here, please see the document "Description-Damage-Factor-Calculation-2025.06.10.pdf"</w:t>
      </w:r>
      <w:r w:rsidR="004227CD">
        <w:rPr>
          <w:rFonts w:ascii="Calibri" w:hAnsi="Calibri" w:eastAsia="Times New Roman" w:cs="Calibri"/>
          <w:color w:val="000000"/>
          <w:kern w:val="0"/>
          <w:sz w:val="22"/>
          <w:szCs w:val="22"/>
          <w14:ligatures w14:val="none"/>
        </w:rPr>
        <w:t xml:space="preserve"> </w:t>
      </w:r>
      <w:r w:rsidRPr="0060507F" w:rsidR="004227CD">
        <w:rPr>
          <w:rFonts w:ascii="Calibri" w:hAnsi="Calibri" w:eastAsia="Times New Roman" w:cs="Calibri"/>
          <w:color w:val="000000"/>
          <w:kern w:val="0"/>
          <w:sz w:val="22"/>
          <w:szCs w:val="22"/>
          <w14:ligatures w14:val="none"/>
        </w:rPr>
        <w:t>and the associated Readme file.</w:t>
      </w:r>
      <w:r w:rsidR="009E288A">
        <w:rPr>
          <w:rFonts w:ascii="Calibri" w:hAnsi="Calibri" w:eastAsia="Times New Roman" w:cs="Calibri"/>
          <w:color w:val="000000"/>
          <w:kern w:val="0"/>
          <w:sz w:val="22"/>
          <w:szCs w:val="22"/>
          <w14:ligatures w14:val="none"/>
        </w:rPr>
        <w:t xml:space="preserve"> W</w:t>
      </w:r>
      <w:r w:rsidRPr="0060507F">
        <w:rPr>
          <w:rFonts w:ascii="Calibri" w:hAnsi="Calibri" w:eastAsia="Times New Roman" w:cs="Calibri"/>
          <w:color w:val="000000"/>
          <w:kern w:val="0"/>
          <w:sz w:val="22"/>
          <w:szCs w:val="22"/>
          <w14:ligatures w14:val="none"/>
        </w:rPr>
        <w:t xml:space="preserve">e also need </w:t>
      </w:r>
      <w:r w:rsidR="004227CD">
        <w:rPr>
          <w:rFonts w:ascii="Calibri" w:hAnsi="Calibri" w:eastAsia="Times New Roman" w:cs="Calibri"/>
          <w:color w:val="000000"/>
          <w:kern w:val="0"/>
          <w:sz w:val="22"/>
          <w:szCs w:val="22"/>
          <w14:ligatures w14:val="none"/>
        </w:rPr>
        <w:lastRenderedPageBreak/>
        <w:t xml:space="preserve">damage </w:t>
      </w:r>
      <w:r w:rsidRPr="0060507F">
        <w:rPr>
          <w:rFonts w:ascii="Calibri" w:hAnsi="Calibri" w:eastAsia="Times New Roman" w:cs="Calibri"/>
          <w:color w:val="000000"/>
          <w:kern w:val="0"/>
          <w:sz w:val="22"/>
          <w:szCs w:val="22"/>
          <w14:ligatures w14:val="none"/>
        </w:rPr>
        <w:t>values for 2015 through 2025</w:t>
      </w:r>
      <w:r w:rsidR="004227CD">
        <w:rPr>
          <w:rFonts w:ascii="Calibri" w:hAnsi="Calibri" w:eastAsia="Times New Roman" w:cs="Calibri"/>
          <w:color w:val="000000"/>
          <w:kern w:val="0"/>
          <w:sz w:val="22"/>
          <w:szCs w:val="22"/>
          <w14:ligatures w14:val="none"/>
        </w:rPr>
        <w:t>, so the</w:t>
      </w:r>
      <w:r w:rsidRPr="0060507F">
        <w:rPr>
          <w:rFonts w:ascii="Calibri" w:hAnsi="Calibri" w:eastAsia="Times New Roman" w:cs="Calibri"/>
          <w:color w:val="000000"/>
          <w:kern w:val="0"/>
          <w:sz w:val="22"/>
          <w:szCs w:val="22"/>
          <w14:ligatures w14:val="none"/>
        </w:rPr>
        <w:t xml:space="preserve"> "Damage_Values" tab includes the calculations to extrapolate values for these years. </w:t>
      </w:r>
    </w:p>
    <w:p w:rsidRPr="0060507F" w:rsidR="0060507F" w:rsidP="0060507F" w:rsidRDefault="0060507F" w14:paraId="610E1DCC" w14:textId="1EB9F9A4">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 </w:t>
      </w:r>
    </w:p>
    <w:p w:rsidR="0060507F" w:rsidP="0060507F" w:rsidRDefault="009E288A" w14:paraId="0543FA8D" w14:textId="39EEFCC0">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 xml:space="preserve">There are eight categories of damage values in the table on the “Damage_Values” tab. Each is described briefly below. Values indicated with a “*” are directly output by COBRA and we refer users to the COBRA documentation for </w:t>
      </w:r>
      <w:r w:rsidR="00A207E7">
        <w:rPr>
          <w:rFonts w:ascii="Calibri" w:hAnsi="Calibri" w:eastAsia="Times New Roman" w:cs="Calibri"/>
          <w:color w:val="000000"/>
          <w:kern w:val="0"/>
          <w:sz w:val="22"/>
          <w:szCs w:val="22"/>
          <w14:ligatures w14:val="none"/>
        </w:rPr>
        <w:t>a more detailed definition and description of underlying assumptions.</w:t>
      </w:r>
    </w:p>
    <w:p w:rsidRPr="00A207E7" w:rsidR="0060507F" w:rsidP="00A207E7" w:rsidRDefault="0060507F" w14:paraId="2AAC0E12" w14:textId="424D16EA">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A207E7">
        <w:rPr>
          <w:rFonts w:ascii="Calibri" w:hAnsi="Calibri" w:eastAsia="Times New Roman" w:cs="Calibri"/>
          <w:color w:val="000000"/>
          <w:kern w:val="0"/>
          <w:sz w:val="22"/>
          <w:szCs w:val="22"/>
          <w14:ligatures w14:val="none"/>
        </w:rPr>
        <w:t>"dpt_</w:t>
      </w:r>
      <w:r w:rsidR="005924E0">
        <w:rPr>
          <w:rFonts w:ascii="Calibri" w:hAnsi="Calibri" w:eastAsia="Times New Roman" w:cs="Calibri"/>
          <w:color w:val="000000"/>
          <w:kern w:val="0"/>
          <w:sz w:val="22"/>
          <w:szCs w:val="22"/>
          <w14:ligatures w14:val="none"/>
        </w:rPr>
        <w:t>o3</w:t>
      </w:r>
      <w:r w:rsidRPr="00A207E7">
        <w:rPr>
          <w:rFonts w:ascii="Calibri" w:hAnsi="Calibri" w:eastAsia="Times New Roman" w:cs="Calibri"/>
          <w:color w:val="000000"/>
          <w:kern w:val="0"/>
          <w:sz w:val="22"/>
          <w:szCs w:val="22"/>
          <w14:ligatures w14:val="none"/>
        </w:rPr>
        <w:t>"</w:t>
      </w:r>
      <w:r w:rsidR="00E80606">
        <w:rPr>
          <w:rFonts w:ascii="Calibri" w:hAnsi="Calibri" w:eastAsia="Times New Roman" w:cs="Calibri"/>
          <w:color w:val="000000"/>
          <w:kern w:val="0"/>
          <w:sz w:val="22"/>
          <w:szCs w:val="22"/>
          <w14:ligatures w14:val="none"/>
        </w:rPr>
        <w:t>*</w:t>
      </w:r>
      <w:r w:rsidRPr="00A207E7">
        <w:rPr>
          <w:rFonts w:ascii="Calibri" w:hAnsi="Calibri" w:eastAsia="Times New Roman" w:cs="Calibri"/>
          <w:color w:val="000000"/>
          <w:kern w:val="0"/>
          <w:sz w:val="22"/>
          <w:szCs w:val="22"/>
          <w14:ligatures w14:val="none"/>
        </w:rPr>
        <w:t xml:space="preserve"> - mortality-related damages associated with ozone exposure</w:t>
      </w:r>
    </w:p>
    <w:p w:rsidRPr="00A207E7" w:rsidR="0060507F" w:rsidP="00A207E7" w:rsidRDefault="0060507F" w14:paraId="3D503135" w14:textId="2274E63A">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A207E7">
        <w:rPr>
          <w:rFonts w:ascii="Calibri" w:hAnsi="Calibri" w:eastAsia="Times New Roman" w:cs="Calibri"/>
          <w:color w:val="000000"/>
          <w:kern w:val="0"/>
          <w:sz w:val="22"/>
          <w:szCs w:val="22"/>
          <w14:ligatures w14:val="none"/>
        </w:rPr>
        <w:t>"dpt</w:t>
      </w:r>
      <w:r w:rsidR="005924E0">
        <w:rPr>
          <w:rFonts w:ascii="Calibri" w:hAnsi="Calibri" w:eastAsia="Times New Roman" w:cs="Calibri"/>
          <w:color w:val="000000"/>
          <w:kern w:val="0"/>
          <w:sz w:val="22"/>
          <w:szCs w:val="22"/>
          <w14:ligatures w14:val="none"/>
        </w:rPr>
        <w:t>_pm_lo</w:t>
      </w:r>
      <w:r w:rsidRPr="00A207E7">
        <w:rPr>
          <w:rFonts w:ascii="Calibri" w:hAnsi="Calibri" w:eastAsia="Times New Roman" w:cs="Calibri"/>
          <w:color w:val="000000"/>
          <w:kern w:val="0"/>
          <w:sz w:val="22"/>
          <w:szCs w:val="22"/>
          <w14:ligatures w14:val="none"/>
        </w:rPr>
        <w:t>"</w:t>
      </w:r>
      <w:r w:rsidR="00E80606">
        <w:rPr>
          <w:rFonts w:ascii="Calibri" w:hAnsi="Calibri" w:eastAsia="Times New Roman" w:cs="Calibri"/>
          <w:color w:val="000000"/>
          <w:kern w:val="0"/>
          <w:sz w:val="22"/>
          <w:szCs w:val="22"/>
          <w14:ligatures w14:val="none"/>
        </w:rPr>
        <w:t>*</w:t>
      </w:r>
      <w:r w:rsidRPr="00A207E7">
        <w:rPr>
          <w:rFonts w:ascii="Calibri" w:hAnsi="Calibri" w:eastAsia="Times New Roman" w:cs="Calibri"/>
          <w:color w:val="000000"/>
          <w:kern w:val="0"/>
          <w:sz w:val="22"/>
          <w:szCs w:val="22"/>
          <w14:ligatures w14:val="none"/>
        </w:rPr>
        <w:t xml:space="preserve"> - low estimate of mortality-related damages associated with exposure to PM2.5</w:t>
      </w:r>
    </w:p>
    <w:p w:rsidRPr="00A207E7" w:rsidR="0060507F" w:rsidP="00A207E7" w:rsidRDefault="0060507F" w14:paraId="3CE7B20D" w14:textId="79B10307">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A207E7">
        <w:rPr>
          <w:rFonts w:ascii="Calibri" w:hAnsi="Calibri" w:eastAsia="Times New Roman" w:cs="Calibri"/>
          <w:color w:val="000000"/>
          <w:kern w:val="0"/>
          <w:sz w:val="22"/>
          <w:szCs w:val="22"/>
          <w14:ligatures w14:val="none"/>
        </w:rPr>
        <w:t>"dpt_</w:t>
      </w:r>
      <w:r w:rsidR="005924E0">
        <w:rPr>
          <w:rFonts w:ascii="Calibri" w:hAnsi="Calibri" w:eastAsia="Times New Roman" w:cs="Calibri"/>
          <w:color w:val="000000"/>
          <w:kern w:val="0"/>
          <w:sz w:val="22"/>
          <w:szCs w:val="22"/>
          <w14:ligatures w14:val="none"/>
        </w:rPr>
        <w:t>pm_hi</w:t>
      </w:r>
      <w:r w:rsidRPr="00A207E7">
        <w:rPr>
          <w:rFonts w:ascii="Calibri" w:hAnsi="Calibri" w:eastAsia="Times New Roman" w:cs="Calibri"/>
          <w:color w:val="000000"/>
          <w:kern w:val="0"/>
          <w:sz w:val="22"/>
          <w:szCs w:val="22"/>
          <w14:ligatures w14:val="none"/>
        </w:rPr>
        <w:t>"</w:t>
      </w:r>
      <w:r w:rsidR="00E80606">
        <w:rPr>
          <w:rFonts w:ascii="Calibri" w:hAnsi="Calibri" w:eastAsia="Times New Roman" w:cs="Calibri"/>
          <w:color w:val="000000"/>
          <w:kern w:val="0"/>
          <w:sz w:val="22"/>
          <w:szCs w:val="22"/>
          <w14:ligatures w14:val="none"/>
        </w:rPr>
        <w:t>*</w:t>
      </w:r>
      <w:r w:rsidRPr="00A207E7">
        <w:rPr>
          <w:rFonts w:ascii="Calibri" w:hAnsi="Calibri" w:eastAsia="Times New Roman" w:cs="Calibri"/>
          <w:color w:val="000000"/>
          <w:kern w:val="0"/>
          <w:sz w:val="22"/>
          <w:szCs w:val="22"/>
          <w14:ligatures w14:val="none"/>
        </w:rPr>
        <w:t xml:space="preserve"> - high estimate of mortality-related damages associated with exposure to PM2.5</w:t>
      </w:r>
    </w:p>
    <w:p w:rsidRPr="00A207E7" w:rsidR="005924E0" w:rsidP="005924E0" w:rsidRDefault="005924E0" w14:paraId="248FF83C" w14:textId="4232DE1A">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A207E7">
        <w:rPr>
          <w:rFonts w:ascii="Calibri" w:hAnsi="Calibri" w:eastAsia="Times New Roman" w:cs="Calibri"/>
          <w:color w:val="000000"/>
          <w:kern w:val="0"/>
          <w:sz w:val="22"/>
          <w:szCs w:val="22"/>
          <w14:ligatures w14:val="none"/>
        </w:rPr>
        <w:t>"dpt_</w:t>
      </w:r>
      <w:r>
        <w:rPr>
          <w:rFonts w:ascii="Calibri" w:hAnsi="Calibri" w:eastAsia="Times New Roman" w:cs="Calibri"/>
          <w:color w:val="000000"/>
          <w:kern w:val="0"/>
          <w:sz w:val="22"/>
          <w:szCs w:val="22"/>
          <w14:ligatures w14:val="none"/>
        </w:rPr>
        <w:t>pm_avg</w:t>
      </w:r>
      <w:r w:rsidRPr="00A207E7">
        <w:rPr>
          <w:rFonts w:ascii="Calibri" w:hAnsi="Calibri" w:eastAsia="Times New Roman" w:cs="Calibri"/>
          <w:color w:val="000000"/>
          <w:kern w:val="0"/>
          <w:sz w:val="22"/>
          <w:szCs w:val="22"/>
          <w14:ligatures w14:val="none"/>
        </w:rPr>
        <w:t xml:space="preserve">" -average between the high and low PM estimates </w:t>
      </w:r>
    </w:p>
    <w:p w:rsidRPr="005924E0" w:rsidR="0060507F" w:rsidP="009046C4" w:rsidRDefault="0060507F" w14:paraId="359BA788" w14:textId="51698C5C">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sidRPr="005924E0">
        <w:rPr>
          <w:rFonts w:ascii="Calibri" w:hAnsi="Calibri" w:eastAsia="Times New Roman" w:cs="Calibri"/>
          <w:color w:val="000000"/>
          <w:kern w:val="0"/>
          <w:sz w:val="22"/>
          <w:szCs w:val="22"/>
          <w14:ligatures w14:val="none"/>
        </w:rPr>
        <w:t>"dpt_</w:t>
      </w:r>
      <w:r w:rsidRPr="005924E0" w:rsidR="005924E0">
        <w:rPr>
          <w:rFonts w:ascii="Calibri" w:hAnsi="Calibri" w:eastAsia="Times New Roman" w:cs="Calibri"/>
          <w:color w:val="000000"/>
          <w:kern w:val="0"/>
          <w:sz w:val="22"/>
          <w:szCs w:val="22"/>
          <w14:ligatures w14:val="none"/>
        </w:rPr>
        <w:t>mort_avg</w:t>
      </w:r>
      <w:r w:rsidRPr="005924E0">
        <w:rPr>
          <w:rFonts w:ascii="Calibri" w:hAnsi="Calibri" w:eastAsia="Times New Roman" w:cs="Calibri"/>
          <w:color w:val="000000"/>
          <w:kern w:val="0"/>
          <w:sz w:val="22"/>
          <w:szCs w:val="22"/>
          <w14:ligatures w14:val="none"/>
        </w:rPr>
        <w:t xml:space="preserve">" -sum of the </w:t>
      </w:r>
      <w:r w:rsidR="005924E0">
        <w:rPr>
          <w:rFonts w:ascii="Calibri" w:hAnsi="Calibri" w:eastAsia="Times New Roman" w:cs="Calibri"/>
          <w:color w:val="000000"/>
          <w:kern w:val="0"/>
          <w:sz w:val="22"/>
          <w:szCs w:val="22"/>
          <w14:ligatures w14:val="none"/>
        </w:rPr>
        <w:t>dpt_o3</w:t>
      </w:r>
      <w:r w:rsidRPr="005924E0">
        <w:rPr>
          <w:rFonts w:ascii="Calibri" w:hAnsi="Calibri" w:eastAsia="Times New Roman" w:cs="Calibri"/>
          <w:color w:val="000000"/>
          <w:kern w:val="0"/>
          <w:sz w:val="22"/>
          <w:szCs w:val="22"/>
          <w14:ligatures w14:val="none"/>
        </w:rPr>
        <w:t xml:space="preserve"> and dpt_</w:t>
      </w:r>
      <w:r w:rsidR="005924E0">
        <w:rPr>
          <w:rFonts w:ascii="Calibri" w:hAnsi="Calibri" w:eastAsia="Times New Roman" w:cs="Calibri"/>
          <w:color w:val="000000"/>
          <w:kern w:val="0"/>
          <w:sz w:val="22"/>
          <w:szCs w:val="22"/>
          <w14:ligatures w14:val="none"/>
        </w:rPr>
        <w:t>pm_avg</w:t>
      </w:r>
    </w:p>
    <w:p w:rsidR="005924E0" w:rsidP="00A207E7" w:rsidRDefault="005924E0" w14:paraId="6522BB7F" w14:textId="16CE1A15">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“dpt_total_lo”</w:t>
      </w:r>
      <w:r w:rsidR="00E80606">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 xml:space="preserve"> – estimate of total damages (mortality and non-mortality) for O3 and PM, assuming low PM estimates</w:t>
      </w:r>
    </w:p>
    <w:p w:rsidR="005924E0" w:rsidP="00A207E7" w:rsidRDefault="005924E0" w14:paraId="619F3E44" w14:textId="7BCB58E3">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“dpt_total_hi”</w:t>
      </w:r>
      <w:r w:rsidR="00E80606">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 xml:space="preserve"> </w:t>
      </w:r>
      <w:r>
        <w:rPr>
          <w:rFonts w:ascii="Calibri" w:hAnsi="Calibri" w:eastAsia="Times New Roman" w:cs="Calibri"/>
          <w:color w:val="000000"/>
          <w:kern w:val="0"/>
          <w:sz w:val="22"/>
          <w:szCs w:val="22"/>
          <w14:ligatures w14:val="none"/>
        </w:rPr>
        <w:t xml:space="preserve">– estimate of total damages (mortality and non-mortality) for O3 and PM, assuming </w:t>
      </w:r>
      <w:r>
        <w:rPr>
          <w:rFonts w:ascii="Calibri" w:hAnsi="Calibri" w:eastAsia="Times New Roman" w:cs="Calibri"/>
          <w:color w:val="000000"/>
          <w:kern w:val="0"/>
          <w:sz w:val="22"/>
          <w:szCs w:val="22"/>
          <w14:ligatures w14:val="none"/>
        </w:rPr>
        <w:t>high</w:t>
      </w:r>
      <w:r>
        <w:rPr>
          <w:rFonts w:ascii="Calibri" w:hAnsi="Calibri" w:eastAsia="Times New Roman" w:cs="Calibri"/>
          <w:color w:val="000000"/>
          <w:kern w:val="0"/>
          <w:sz w:val="22"/>
          <w:szCs w:val="22"/>
          <w14:ligatures w14:val="none"/>
        </w:rPr>
        <w:t xml:space="preserve"> PM estimates</w:t>
      </w:r>
    </w:p>
    <w:p w:rsidRPr="00A207E7" w:rsidR="005924E0" w:rsidP="00A207E7" w:rsidRDefault="005924E0" w14:paraId="281DADC4" w14:textId="4F1DC8D0">
      <w:pPr>
        <w:pStyle w:val="ListParagraph"/>
        <w:numPr>
          <w:ilvl w:val="0"/>
          <w:numId w:val="2"/>
        </w:num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 xml:space="preserve">“dpt_total_avg” </w:t>
      </w:r>
      <w:r>
        <w:rPr>
          <w:rFonts w:ascii="Calibri" w:hAnsi="Calibri" w:eastAsia="Times New Roman" w:cs="Calibri"/>
          <w:color w:val="000000"/>
          <w:kern w:val="0"/>
          <w:sz w:val="22"/>
          <w:szCs w:val="22"/>
          <w14:ligatures w14:val="none"/>
        </w:rPr>
        <w:t xml:space="preserve">– </w:t>
      </w:r>
      <w:r>
        <w:rPr>
          <w:rFonts w:ascii="Calibri" w:hAnsi="Calibri" w:eastAsia="Times New Roman" w:cs="Calibri"/>
          <w:color w:val="000000"/>
          <w:kern w:val="0"/>
          <w:sz w:val="22"/>
          <w:szCs w:val="22"/>
          <w14:ligatures w14:val="none"/>
        </w:rPr>
        <w:t>average between dpt_total_lo and dpt_total_hi</w:t>
      </w:r>
    </w:p>
    <w:p w:rsidR="0060507F" w:rsidRDefault="0060507F" w14:paraId="3050C930" w14:textId="77777777"/>
    <w:p w:rsidR="001C5F19" w:rsidP="0060507F" w:rsidRDefault="001C5F19" w14:paraId="0869F65D" w14:textId="41E174D5">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The remaining part of this Readme discusses how these costs are translated into inputs to GCAM-USA.</w:t>
      </w:r>
    </w:p>
    <w:p w:rsidRPr="0060507F" w:rsidR="0060507F" w:rsidP="0060507F" w:rsidRDefault="00E80606" w14:paraId="088E44B6" w14:textId="0EA450F6">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 xml:space="preserve">The damage factors are represented in the table as dollars-per-metric tonne (in 1990$s). </w:t>
      </w:r>
      <w:r w:rsidRPr="0060507F" w:rsidR="0060507F">
        <w:rPr>
          <w:rFonts w:ascii="Calibri" w:hAnsi="Calibri" w:eastAsia="Times New Roman" w:cs="Calibri"/>
          <w:color w:val="000000"/>
          <w:kern w:val="0"/>
          <w:sz w:val="22"/>
          <w:szCs w:val="22"/>
          <w14:ligatures w14:val="none"/>
        </w:rPr>
        <w:t xml:space="preserve">To apply the damage values within GCAM-USA, they must be converted to 1990$s per unit </w:t>
      </w:r>
      <w:r>
        <w:rPr>
          <w:rFonts w:ascii="Calibri" w:hAnsi="Calibri" w:eastAsia="Times New Roman" w:cs="Calibri"/>
          <w:color w:val="000000"/>
          <w:kern w:val="0"/>
          <w:sz w:val="22"/>
          <w:szCs w:val="22"/>
          <w14:ligatures w14:val="none"/>
        </w:rPr>
        <w:t xml:space="preserve">of technology </w:t>
      </w:r>
      <w:r w:rsidRPr="0060507F" w:rsidR="0060507F">
        <w:rPr>
          <w:rFonts w:ascii="Calibri" w:hAnsi="Calibri" w:eastAsia="Times New Roman" w:cs="Calibri"/>
          <w:color w:val="000000"/>
          <w:kern w:val="0"/>
          <w:sz w:val="22"/>
          <w:szCs w:val="22"/>
          <w14:ligatures w14:val="none"/>
        </w:rPr>
        <w:t>output</w:t>
      </w:r>
      <w:r>
        <w:rPr>
          <w:rFonts w:ascii="Calibri" w:hAnsi="Calibri" w:eastAsia="Times New Roman" w:cs="Calibri"/>
          <w:color w:val="000000"/>
          <w:kern w:val="0"/>
          <w:sz w:val="22"/>
          <w:szCs w:val="22"/>
          <w14:ligatures w14:val="none"/>
        </w:rPr>
        <w:t>, illustrated in Equation 1.</w:t>
      </w:r>
    </w:p>
    <w:p w:rsidR="0060507F" w:rsidRDefault="0060507F" w14:paraId="7FC7CC6B" w14:textId="77777777" w14:noSpellErr="1"/>
    <w:p w:rsidR="00E80606" w:rsidRDefault="00E80606" w14:paraId="32645C1B" w14:textId="3E78580F">
      <w:r w:rsidRPr="00E80606">
        <w:drawing>
          <wp:inline distT="0" distB="0" distL="0" distR="0" wp14:anchorId="29D706BA" wp14:editId="68879315">
            <wp:extent cx="5943600" cy="1214120"/>
            <wp:effectExtent l="0" t="0" r="0" b="5080"/>
            <wp:docPr id="1379844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844707" name=""/>
                    <pic:cNvPicPr/>
                  </pic:nvPicPr>
                  <pic:blipFill>
                    <a:blip r:embed="rId5"/>
                    <a:stretch>
                      <a:fillRect/>
                    </a:stretch>
                  </pic:blipFill>
                  <pic:spPr>
                    <a:xfrm>
                      <a:off x="0" y="0"/>
                      <a:ext cx="5943600" cy="1214120"/>
                    </a:xfrm>
                    <a:prstGeom prst="rect">
                      <a:avLst/>
                    </a:prstGeom>
                  </pic:spPr>
                </pic:pic>
              </a:graphicData>
            </a:graphic>
          </wp:inline>
        </w:drawing>
      </w:r>
    </w:p>
    <w:p w:rsidRPr="0060507F" w:rsidR="003C351F" w:rsidP="003C351F" w:rsidRDefault="003C351F" w14:paraId="35B57856" w14:textId="77777777">
      <w:pPr>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In most instances, the unit of output is exajoules (EJ)</w:t>
      </w:r>
      <w:r>
        <w:rPr>
          <w:rFonts w:ascii="Calibri" w:hAnsi="Calibri" w:eastAsia="Times New Roman" w:cs="Calibri"/>
          <w:color w:val="000000"/>
          <w:kern w:val="0"/>
          <w:sz w:val="22"/>
          <w:szCs w:val="22"/>
          <w14:ligatures w14:val="none"/>
        </w:rPr>
        <w:t>;</w:t>
      </w:r>
      <w:r w:rsidRPr="0060507F">
        <w:rPr>
          <w:rFonts w:ascii="Calibri" w:hAnsi="Calibri" w:eastAsia="Times New Roman" w:cs="Calibri"/>
          <w:color w:val="000000"/>
          <w:kern w:val="0"/>
          <w:sz w:val="22"/>
          <w:szCs w:val="22"/>
          <w14:ligatures w14:val="none"/>
        </w:rPr>
        <w:t xml:space="preserve"> however, </w:t>
      </w:r>
      <w:r>
        <w:rPr>
          <w:rFonts w:ascii="Calibri" w:hAnsi="Calibri" w:eastAsia="Times New Roman" w:cs="Calibri"/>
          <w:color w:val="000000"/>
          <w:kern w:val="0"/>
          <w:sz w:val="22"/>
          <w:szCs w:val="22"/>
          <w14:ligatures w14:val="none"/>
        </w:rPr>
        <w:t>output units</w:t>
      </w:r>
      <w:r w:rsidRPr="0060507F">
        <w:rPr>
          <w:rFonts w:ascii="Calibri" w:hAnsi="Calibri" w:eastAsia="Times New Roman" w:cs="Calibri"/>
          <w:color w:val="000000"/>
          <w:kern w:val="0"/>
          <w:sz w:val="22"/>
          <w:szCs w:val="22"/>
          <w14:ligatures w14:val="none"/>
        </w:rPr>
        <w:t xml:space="preserve"> can also vary by sector. For example, output of passenger vehicles is pass-km and output of clothes</w:t>
      </w:r>
      <w:r>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 xml:space="preserve">dryers is cycles. </w:t>
      </w:r>
    </w:p>
    <w:p w:rsidRPr="0060507F" w:rsidR="0060507F" w:rsidP="0060507F" w:rsidRDefault="0060507F" w14:paraId="4F14936C" w14:textId="269DC0FA">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GCAM does not automatically </w:t>
      </w:r>
      <w:r w:rsidR="003C351F">
        <w:rPr>
          <w:rFonts w:ascii="Calibri" w:hAnsi="Calibri" w:eastAsia="Times New Roman" w:cs="Calibri"/>
          <w:color w:val="000000"/>
          <w:kern w:val="0"/>
          <w:sz w:val="22"/>
          <w:szCs w:val="22"/>
          <w14:ligatures w14:val="none"/>
        </w:rPr>
        <w:t>report the</w:t>
      </w:r>
      <w:r w:rsidRPr="0060507F">
        <w:rPr>
          <w:rFonts w:ascii="Calibri" w:hAnsi="Calibri" w:eastAsia="Times New Roman" w:cs="Calibri"/>
          <w:color w:val="000000"/>
          <w:kern w:val="0"/>
          <w:sz w:val="22"/>
          <w:szCs w:val="22"/>
          <w14:ligatures w14:val="none"/>
        </w:rPr>
        <w:t xml:space="preserve"> emission factors</w:t>
      </w:r>
      <w:r w:rsidR="003C351F">
        <w:rPr>
          <w:rFonts w:ascii="Calibri" w:hAnsi="Calibri" w:eastAsia="Times New Roman" w:cs="Calibri"/>
          <w:color w:val="000000"/>
          <w:kern w:val="0"/>
          <w:sz w:val="22"/>
          <w:szCs w:val="22"/>
          <w14:ligatures w14:val="none"/>
        </w:rPr>
        <w:t xml:space="preserve"> it uses</w:t>
      </w:r>
      <w:r w:rsidRPr="0060507F">
        <w:rPr>
          <w:rFonts w:ascii="Calibri" w:hAnsi="Calibri" w:eastAsia="Times New Roman" w:cs="Calibri"/>
          <w:color w:val="000000"/>
          <w:kern w:val="0"/>
          <w:sz w:val="22"/>
          <w:szCs w:val="22"/>
          <w14:ligatures w14:val="none"/>
        </w:rPr>
        <w:t xml:space="preserve">. Instead, here we calculate output-based </w:t>
      </w:r>
      <w:r w:rsidR="00E80606">
        <w:rPr>
          <w:rFonts w:ascii="Calibri" w:hAnsi="Calibri" w:eastAsia="Times New Roman" w:cs="Calibri"/>
          <w:color w:val="000000"/>
          <w:kern w:val="0"/>
          <w:sz w:val="22"/>
          <w:szCs w:val="22"/>
          <w14:ligatures w14:val="none"/>
        </w:rPr>
        <w:t>e</w:t>
      </w:r>
      <w:r w:rsidRPr="0060507F">
        <w:rPr>
          <w:rFonts w:ascii="Calibri" w:hAnsi="Calibri" w:eastAsia="Times New Roman" w:cs="Calibri"/>
          <w:color w:val="000000"/>
          <w:kern w:val="0"/>
          <w:sz w:val="22"/>
          <w:szCs w:val="22"/>
          <w14:ligatures w14:val="none"/>
        </w:rPr>
        <w:t xml:space="preserve">mission factors by querying the model results for emissions by technology and vintage, then divide by output by technology and vintage. </w:t>
      </w:r>
      <w:r w:rsidR="00E80606">
        <w:rPr>
          <w:rFonts w:ascii="Calibri" w:hAnsi="Calibri" w:eastAsia="Times New Roman" w:cs="Calibri"/>
          <w:color w:val="000000"/>
          <w:kern w:val="0"/>
          <w:sz w:val="22"/>
          <w:szCs w:val="22"/>
          <w14:ligatures w14:val="none"/>
        </w:rPr>
        <w:t xml:space="preserve">Developing factors by vintage is important since emission factors can change by vintage, either based on exogenous assumptions (e.g., due to New Source Performance Standards) or endogenous calculations (e.g., application of controls determined by a marginal abatement curve). </w:t>
      </w:r>
    </w:p>
    <w:p w:rsidR="0060507F" w:rsidP="0060507F" w:rsidRDefault="0060507F" w14:paraId="167F0ECA" w14:textId="77777777">
      <w:pPr>
        <w:spacing w:after="0" w:line="240" w:lineRule="auto"/>
        <w:rPr>
          <w:rFonts w:ascii="Calibri" w:hAnsi="Calibri" w:eastAsia="Times New Roman" w:cs="Calibri"/>
          <w:color w:val="000000"/>
          <w:kern w:val="0"/>
          <w:sz w:val="22"/>
          <w:szCs w:val="22"/>
          <w14:ligatures w14:val="none"/>
        </w:rPr>
      </w:pPr>
    </w:p>
    <w:p w:rsidRPr="0060507F" w:rsidR="0060507F" w:rsidP="0060507F" w:rsidRDefault="0060507F" w14:paraId="30650D23" w14:textId="760D850F">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 queries used to develop these data are included in the "Main_queries_GLIMPSE-7p0.xml" </w:t>
      </w:r>
      <w:r w:rsidR="001C5F19">
        <w:rPr>
          <w:rFonts w:ascii="Calibri" w:hAnsi="Calibri" w:eastAsia="Times New Roman" w:cs="Calibri"/>
          <w:color w:val="000000"/>
          <w:kern w:val="0"/>
          <w:sz w:val="22"/>
          <w:szCs w:val="22"/>
          <w14:ligatures w14:val="none"/>
        </w:rPr>
        <w:t>and</w:t>
      </w:r>
      <w:r w:rsidRPr="0060507F">
        <w:rPr>
          <w:rFonts w:ascii="Calibri" w:hAnsi="Calibri" w:eastAsia="Times New Roman" w:cs="Calibri"/>
          <w:color w:val="000000"/>
          <w:kern w:val="0"/>
          <w:sz w:val="22"/>
          <w:szCs w:val="22"/>
          <w14:ligatures w14:val="none"/>
        </w:rPr>
        <w:t xml:space="preserve"> "Main_queries_GLIMPSE-7p1.xml" files</w:t>
      </w:r>
      <w:r w:rsidR="001C5F19">
        <w:rPr>
          <w:rFonts w:ascii="Calibri" w:hAnsi="Calibri" w:eastAsia="Times New Roman" w:cs="Calibri"/>
          <w:color w:val="000000"/>
          <w:kern w:val="0"/>
          <w:sz w:val="22"/>
          <w:szCs w:val="22"/>
          <w14:ligatures w14:val="none"/>
        </w:rPr>
        <w:t>, which are released with GLIMPSE</w:t>
      </w:r>
      <w:r w:rsidRPr="0060507F">
        <w:rPr>
          <w:rFonts w:ascii="Calibri" w:hAnsi="Calibri" w:eastAsia="Times New Roman" w:cs="Calibri"/>
          <w:color w:val="000000"/>
          <w:kern w:val="0"/>
          <w:sz w:val="22"/>
          <w:szCs w:val="22"/>
          <w14:ligatures w14:val="none"/>
        </w:rPr>
        <w:t xml:space="preserve">: </w:t>
      </w:r>
    </w:p>
    <w:p w:rsidRPr="00E80606" w:rsidR="0060507F" w:rsidP="00E80606" w:rsidRDefault="0060507F" w14:paraId="0D98038F" w14:textId="738166A6">
      <w:pPr>
        <w:pStyle w:val="ListParagraph"/>
        <w:numPr>
          <w:ilvl w:val="0"/>
          <w:numId w:val="5"/>
        </w:numPr>
        <w:spacing w:after="0" w:line="240" w:lineRule="auto"/>
        <w:rPr>
          <w:rFonts w:ascii="Calibri" w:hAnsi="Calibri" w:eastAsia="Times New Roman" w:cs="Calibri"/>
          <w:color w:val="000000"/>
          <w:kern w:val="0"/>
          <w:sz w:val="22"/>
          <w:szCs w:val="22"/>
          <w14:ligatures w14:val="none"/>
        </w:rPr>
      </w:pPr>
      <w:r w:rsidRPr="00E80606">
        <w:rPr>
          <w:rFonts w:ascii="Calibri" w:hAnsi="Calibri" w:eastAsia="Times New Roman" w:cs="Calibri"/>
          <w:color w:val="000000"/>
          <w:kern w:val="0"/>
          <w:sz w:val="22"/>
          <w:szCs w:val="22"/>
          <w14:ligatures w14:val="none"/>
        </w:rPr>
        <w:t>"GLIMPSE/GCAM-USA"&gt;"Other"&gt;"for damage analysis calculations"&gt;"Emissions by tech and vintage (excluding resource production)"</w:t>
      </w:r>
    </w:p>
    <w:p w:rsidRPr="00E80606" w:rsidR="0060507F" w:rsidP="00E80606" w:rsidRDefault="0060507F" w14:paraId="3D82D5AF" w14:textId="464BD57B">
      <w:pPr>
        <w:pStyle w:val="ListParagraph"/>
        <w:numPr>
          <w:ilvl w:val="0"/>
          <w:numId w:val="5"/>
        </w:numPr>
        <w:spacing w:after="0" w:line="240" w:lineRule="auto"/>
        <w:rPr>
          <w:rFonts w:ascii="Calibri" w:hAnsi="Calibri" w:eastAsia="Times New Roman" w:cs="Calibri"/>
          <w:color w:val="000000"/>
          <w:kern w:val="0"/>
          <w:sz w:val="22"/>
          <w:szCs w:val="22"/>
          <w14:ligatures w14:val="none"/>
        </w:rPr>
      </w:pPr>
      <w:r w:rsidRPr="00E80606">
        <w:rPr>
          <w:rFonts w:ascii="Calibri" w:hAnsi="Calibri" w:eastAsia="Times New Roman" w:cs="Calibri"/>
          <w:color w:val="000000"/>
          <w:kern w:val="0"/>
          <w:sz w:val="22"/>
          <w:szCs w:val="22"/>
          <w14:ligatures w14:val="none"/>
        </w:rPr>
        <w:t>"GLIMPSE/GCAM-USA"&gt;"Other"&gt;"for damage analysis calculations"&gt;"Primary outputs by tech and vintage"</w:t>
      </w:r>
    </w:p>
    <w:p w:rsidR="0060507F" w:rsidP="0060507F" w:rsidRDefault="0060507F" w14:paraId="36D18F66" w14:textId="77777777">
      <w:pPr>
        <w:spacing w:after="0" w:line="240" w:lineRule="auto"/>
        <w:rPr>
          <w:rFonts w:ascii="Calibri" w:hAnsi="Calibri" w:eastAsia="Times New Roman" w:cs="Calibri"/>
          <w:color w:val="000000"/>
          <w:kern w:val="0"/>
          <w:sz w:val="22"/>
          <w:szCs w:val="22"/>
          <w14:ligatures w14:val="none"/>
        </w:rPr>
      </w:pPr>
    </w:p>
    <w:p w:rsidR="0060507F" w:rsidP="0060507F" w:rsidRDefault="0060507F" w14:paraId="5F44E944" w14:textId="651F5E17">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These </w:t>
      </w:r>
      <w:r w:rsidR="001C5F19">
        <w:rPr>
          <w:rFonts w:ascii="Calibri" w:hAnsi="Calibri" w:eastAsia="Times New Roman" w:cs="Calibri"/>
          <w:color w:val="000000"/>
          <w:kern w:val="0"/>
          <w:sz w:val="22"/>
          <w:szCs w:val="22"/>
          <w14:ligatures w14:val="none"/>
        </w:rPr>
        <w:t xml:space="preserve">queries </w:t>
      </w:r>
      <w:r w:rsidRPr="0060507F">
        <w:rPr>
          <w:rFonts w:ascii="Calibri" w:hAnsi="Calibri" w:eastAsia="Times New Roman" w:cs="Calibri"/>
          <w:color w:val="000000"/>
          <w:kern w:val="0"/>
          <w:sz w:val="22"/>
          <w:szCs w:val="22"/>
          <w14:ligatures w14:val="none"/>
        </w:rPr>
        <w:t xml:space="preserve">were applied to the results of a decarbonization scenario in GCAM-USA 7.1. A decarbonization scenario was chosen since placing a price on carbon results in market shares for some technologies that are not available without a carbon-pricing incentive (e.g., carbon capture), resulting in </w:t>
      </w:r>
      <w:r w:rsidR="001C5F19">
        <w:rPr>
          <w:rFonts w:ascii="Calibri" w:hAnsi="Calibri" w:eastAsia="Times New Roman" w:cs="Calibri"/>
          <w:color w:val="000000"/>
          <w:kern w:val="0"/>
          <w:sz w:val="22"/>
          <w:szCs w:val="22"/>
          <w14:ligatures w14:val="none"/>
        </w:rPr>
        <w:t xml:space="preserve">a fuller listing of </w:t>
      </w:r>
      <w:r w:rsidRPr="0060507F">
        <w:rPr>
          <w:rFonts w:ascii="Calibri" w:hAnsi="Calibri" w:eastAsia="Times New Roman" w:cs="Calibri"/>
          <w:color w:val="000000"/>
          <w:kern w:val="0"/>
          <w:sz w:val="22"/>
          <w:szCs w:val="22"/>
          <w14:ligatures w14:val="none"/>
        </w:rPr>
        <w:t>technologies.</w:t>
      </w:r>
      <w:r w:rsidR="001C5F19">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 xml:space="preserve">Results from the queries are stored on the "EmissionsByVintage" and "PriOutputByVintage" tabs. Note that it is possible that some technologies are not included in these lists and thus will not have damage factors applied. </w:t>
      </w:r>
    </w:p>
    <w:p w:rsidR="00725F55" w:rsidP="0060507F" w:rsidRDefault="00725F55" w14:paraId="4F92BCBF" w14:textId="77777777">
      <w:pPr>
        <w:spacing w:after="0" w:line="240" w:lineRule="auto"/>
        <w:rPr>
          <w:rFonts w:ascii="Calibri" w:hAnsi="Calibri" w:eastAsia="Times New Roman" w:cs="Calibri"/>
          <w:color w:val="000000"/>
          <w:kern w:val="0"/>
          <w:sz w:val="22"/>
          <w:szCs w:val="22"/>
          <w14:ligatures w14:val="none"/>
        </w:rPr>
      </w:pPr>
    </w:p>
    <w:p w:rsidRPr="0060507F" w:rsidR="00725F55" w:rsidP="00725F55" w:rsidRDefault="00725F55" w14:paraId="7E655F3E" w14:textId="7B277E71">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If the data within the "Damage_Values", "EmissionsByVintage", or "PriOutputByVintage" tabs have been modified</w:t>
      </w:r>
      <w:r>
        <w:rPr>
          <w:rFonts w:ascii="Calibri" w:hAnsi="Calibri" w:eastAsia="Times New Roman" w:cs="Calibri"/>
          <w:color w:val="000000"/>
          <w:kern w:val="0"/>
          <w:sz w:val="22"/>
          <w:szCs w:val="22"/>
          <w14:ligatures w14:val="none"/>
        </w:rPr>
        <w:t xml:space="preserve"> (e.g., new scenario results have been pasted to those tabs)</w:t>
      </w:r>
      <w:r w:rsidRPr="0060507F">
        <w:rPr>
          <w:rFonts w:ascii="Calibri" w:hAnsi="Calibri" w:eastAsia="Times New Roman" w:cs="Calibri"/>
          <w:color w:val="000000"/>
          <w:kern w:val="0"/>
          <w:sz w:val="22"/>
          <w:szCs w:val="22"/>
          <w14:ligatures w14:val="none"/>
        </w:rPr>
        <w:t>, please refresh the data in "CalculatedDVs" tab by right-clicking on the pivot table (at the far left of "CalculatedDVs" and choosing "Refresh").</w:t>
      </w:r>
    </w:p>
    <w:p w:rsidR="0060507F" w:rsidP="0060507F" w:rsidRDefault="0060507F" w14:paraId="139F1DB3" w14:textId="77777777">
      <w:pPr>
        <w:spacing w:after="0" w:line="240" w:lineRule="auto"/>
        <w:rPr>
          <w:rFonts w:ascii="Calibri" w:hAnsi="Calibri" w:eastAsia="Times New Roman" w:cs="Calibri"/>
          <w:color w:val="000000"/>
          <w:kern w:val="0"/>
          <w:sz w:val="22"/>
          <w:szCs w:val="22"/>
          <w14:ligatures w14:val="none"/>
        </w:rPr>
      </w:pPr>
    </w:p>
    <w:p w:rsidRPr="0060507F" w:rsidR="0060507F" w:rsidP="0060507F" w:rsidRDefault="003C351F" w14:paraId="3DBA65EE" w14:textId="100D9107">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An important step in mapping these damage factors to emissions sources within GCAM is the development of a sector-to-category crosswalk.</w:t>
      </w:r>
      <w:r w:rsidRPr="0060507F" w:rsidR="0060507F">
        <w:rPr>
          <w:rFonts w:ascii="Calibri" w:hAnsi="Calibri" w:eastAsia="Times New Roman" w:cs="Calibri"/>
          <w:color w:val="000000"/>
          <w:kern w:val="0"/>
          <w:sz w:val="22"/>
          <w:szCs w:val="22"/>
          <w14:ligatures w14:val="none"/>
        </w:rPr>
        <w:t xml:space="preserve"> The "XWalk" </w:t>
      </w:r>
      <w:r>
        <w:rPr>
          <w:rFonts w:ascii="Calibri" w:hAnsi="Calibri" w:eastAsia="Times New Roman" w:cs="Calibri"/>
          <w:color w:val="000000"/>
          <w:kern w:val="0"/>
          <w:sz w:val="22"/>
          <w:szCs w:val="22"/>
          <w14:ligatures w14:val="none"/>
        </w:rPr>
        <w:t>includes this crosswalk, using the emission source categories listed above</w:t>
      </w:r>
      <w:r w:rsidRPr="0060507F" w:rsidR="0060507F">
        <w:rPr>
          <w:rFonts w:ascii="Calibri" w:hAnsi="Calibri" w:eastAsia="Times New Roman" w:cs="Calibri"/>
          <w:color w:val="000000"/>
          <w:kern w:val="0"/>
          <w:sz w:val="22"/>
          <w:szCs w:val="22"/>
          <w14:ligatures w14:val="none"/>
        </w:rPr>
        <w:t xml:space="preserve">.  </w:t>
      </w:r>
    </w:p>
    <w:p w:rsidR="0060507F" w:rsidP="0060507F" w:rsidRDefault="0060507F" w14:paraId="63A32794" w14:textId="77777777">
      <w:pPr>
        <w:spacing w:after="0" w:line="240" w:lineRule="auto"/>
        <w:rPr>
          <w:rFonts w:ascii="Calibri" w:hAnsi="Calibri" w:eastAsia="Times New Roman" w:cs="Calibri"/>
          <w:color w:val="000000"/>
          <w:kern w:val="0"/>
          <w:sz w:val="22"/>
          <w:szCs w:val="22"/>
          <w14:ligatures w14:val="none"/>
        </w:rPr>
      </w:pPr>
    </w:p>
    <w:p w:rsidRPr="0060507F" w:rsidR="0060507F" w:rsidP="0060507F" w:rsidRDefault="0060507F" w14:paraId="0C72C27B" w14:textId="77777777">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 xml:space="preserve">The "CalculatedDVs" is a tab on which state-, technology-, and pollutant-specific damage factors for use in GCAM are developed. Steps in this calculation include: </w:t>
      </w:r>
    </w:p>
    <w:p w:rsidRPr="00725F55" w:rsidR="0060507F" w:rsidP="00725F55" w:rsidRDefault="0060507F" w14:paraId="51A2BEE6" w14:textId="74B69EA9">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25F55">
        <w:rPr>
          <w:rFonts w:ascii="Calibri" w:hAnsi="Calibri" w:eastAsia="Times New Roman" w:cs="Calibri"/>
          <w:color w:val="000000"/>
          <w:kern w:val="0"/>
          <w:sz w:val="22"/>
          <w:szCs w:val="22"/>
          <w14:ligatures w14:val="none"/>
        </w:rPr>
        <w:t xml:space="preserve">dividing each technology vintage's emissions of NOx, PM2.5, and SO2 by its primary output to </w:t>
      </w:r>
      <w:r w:rsidRPr="00725F55" w:rsidR="001C5F19">
        <w:rPr>
          <w:rFonts w:ascii="Calibri" w:hAnsi="Calibri" w:eastAsia="Times New Roman" w:cs="Calibri"/>
          <w:color w:val="000000"/>
          <w:kern w:val="0"/>
          <w:sz w:val="22"/>
          <w:szCs w:val="22"/>
          <w14:ligatures w14:val="none"/>
        </w:rPr>
        <w:t>calculate vintage-specific</w:t>
      </w:r>
      <w:r w:rsidRPr="00725F55">
        <w:rPr>
          <w:rFonts w:ascii="Calibri" w:hAnsi="Calibri" w:eastAsia="Times New Roman" w:cs="Calibri"/>
          <w:color w:val="000000"/>
          <w:kern w:val="0"/>
          <w:sz w:val="22"/>
          <w:szCs w:val="22"/>
          <w14:ligatures w14:val="none"/>
        </w:rPr>
        <w:t xml:space="preserve"> emission factors</w:t>
      </w:r>
    </w:p>
    <w:p w:rsidRPr="00725F55" w:rsidR="0060507F" w:rsidP="00725F55" w:rsidRDefault="0060507F" w14:paraId="17817A92" w14:textId="076E935B">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25F55">
        <w:rPr>
          <w:rFonts w:ascii="Calibri" w:hAnsi="Calibri" w:eastAsia="Times New Roman" w:cs="Calibri"/>
          <w:color w:val="000000"/>
          <w:kern w:val="0"/>
          <w:sz w:val="22"/>
          <w:szCs w:val="22"/>
          <w14:ligatures w14:val="none"/>
        </w:rPr>
        <w:t>based on the technology's emission source category, extracting the associated damage value</w:t>
      </w:r>
      <w:r w:rsidRPr="00725F55" w:rsidR="001C5F19">
        <w:rPr>
          <w:rFonts w:ascii="Calibri" w:hAnsi="Calibri" w:eastAsia="Times New Roman" w:cs="Calibri"/>
          <w:color w:val="000000"/>
          <w:kern w:val="0"/>
          <w:sz w:val="22"/>
          <w:szCs w:val="22"/>
          <w14:ligatures w14:val="none"/>
        </w:rPr>
        <w:t>s</w:t>
      </w:r>
      <w:r w:rsidRPr="00725F55">
        <w:rPr>
          <w:rFonts w:ascii="Calibri" w:hAnsi="Calibri" w:eastAsia="Times New Roman" w:cs="Calibri"/>
          <w:color w:val="000000"/>
          <w:kern w:val="0"/>
          <w:sz w:val="22"/>
          <w:szCs w:val="22"/>
          <w14:ligatures w14:val="none"/>
        </w:rPr>
        <w:t xml:space="preserve"> from the "Damage_Values" tab</w:t>
      </w:r>
    </w:p>
    <w:p w:rsidRPr="00725F55" w:rsidR="0060507F" w:rsidP="00725F55" w:rsidRDefault="0060507F" w14:paraId="0AE90E3A" w14:textId="45257B33">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25F55">
        <w:rPr>
          <w:rFonts w:ascii="Calibri" w:hAnsi="Calibri" w:eastAsia="Times New Roman" w:cs="Calibri"/>
          <w:color w:val="000000"/>
          <w:kern w:val="0"/>
          <w:sz w:val="22"/>
          <w:szCs w:val="22"/>
          <w14:ligatures w14:val="none"/>
        </w:rPr>
        <w:t xml:space="preserve">multiplying the emission factor by the associated damage value, producing </w:t>
      </w:r>
      <w:r w:rsidRPr="00725F55" w:rsidR="001C5F19">
        <w:rPr>
          <w:rFonts w:ascii="Calibri" w:hAnsi="Calibri" w:eastAsia="Times New Roman" w:cs="Calibri"/>
          <w:color w:val="000000"/>
          <w:kern w:val="0"/>
          <w:sz w:val="22"/>
          <w:szCs w:val="22"/>
          <w14:ligatures w14:val="none"/>
        </w:rPr>
        <w:t xml:space="preserve">an output-based </w:t>
      </w:r>
      <w:r w:rsidRPr="00725F55">
        <w:rPr>
          <w:rFonts w:ascii="Calibri" w:hAnsi="Calibri" w:eastAsia="Times New Roman" w:cs="Calibri"/>
          <w:color w:val="000000"/>
          <w:kern w:val="0"/>
          <w:sz w:val="22"/>
          <w:szCs w:val="22"/>
          <w14:ligatures w14:val="none"/>
        </w:rPr>
        <w:t>damage factor (e.g., see equation 1)</w:t>
      </w:r>
    </w:p>
    <w:p w:rsidR="0060507F" w:rsidP="0060507F" w:rsidRDefault="0060507F" w14:paraId="1E741A0F" w14:textId="77777777">
      <w:pPr>
        <w:spacing w:after="0" w:line="240" w:lineRule="auto"/>
        <w:rPr>
          <w:rFonts w:ascii="Calibri" w:hAnsi="Calibri" w:eastAsia="Times New Roman" w:cs="Calibri"/>
          <w:color w:val="000000"/>
          <w:kern w:val="0"/>
          <w:sz w:val="22"/>
          <w:szCs w:val="22"/>
          <w14:ligatures w14:val="none"/>
        </w:rPr>
      </w:pPr>
    </w:p>
    <w:p w:rsidR="001C5F19" w:rsidP="0060507F" w:rsidRDefault="001C5F19" w14:paraId="6548DB61" w14:textId="020D10D1">
      <w:pPr>
        <w:spacing w:after="0" w:line="240" w:lineRule="auto"/>
        <w:rPr>
          <w:rFonts w:ascii="Calibri" w:hAnsi="Calibri" w:eastAsia="Times New Roman" w:cs="Calibri"/>
          <w:color w:val="000000"/>
          <w:kern w:val="0"/>
          <w:sz w:val="22"/>
          <w:szCs w:val="22"/>
          <w14:ligatures w14:val="none"/>
        </w:rPr>
      </w:pPr>
      <w:r>
        <w:rPr>
          <w:rFonts w:ascii="Calibri" w:hAnsi="Calibri" w:eastAsia="Times New Roman" w:cs="Calibri"/>
          <w:color w:val="000000"/>
          <w:kern w:val="0"/>
          <w:sz w:val="22"/>
          <w:szCs w:val="22"/>
          <w14:ligatures w14:val="none"/>
        </w:rPr>
        <w:t xml:space="preserve">While damage factors could be created for any of the 8 types of damages listed above, we have chosen to develop factors for only three: </w:t>
      </w:r>
      <w:r w:rsidR="007B6EE5">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dpt_o3</w:t>
      </w:r>
      <w:r w:rsidR="007B6EE5">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 xml:space="preserve">, </w:t>
      </w:r>
      <w:r w:rsidR="007B6EE5">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dpt_pm_avg</w:t>
      </w:r>
      <w:r w:rsidR="007B6EE5">
        <w:rPr>
          <w:rFonts w:ascii="Calibri" w:hAnsi="Calibri" w:eastAsia="Times New Roman" w:cs="Calibri"/>
          <w:color w:val="000000"/>
          <w:kern w:val="0"/>
          <w:sz w:val="22"/>
          <w:szCs w:val="22"/>
          <w14:ligatures w14:val="none"/>
        </w:rPr>
        <w:t>”</w:t>
      </w:r>
      <w:r>
        <w:rPr>
          <w:rFonts w:ascii="Calibri" w:hAnsi="Calibri" w:eastAsia="Times New Roman" w:cs="Calibri"/>
          <w:color w:val="000000"/>
          <w:kern w:val="0"/>
          <w:sz w:val="22"/>
          <w:szCs w:val="22"/>
          <w14:ligatures w14:val="none"/>
        </w:rPr>
        <w:t xml:space="preserve">, and </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dpt_total_avg</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 xml:space="preserve"> (corresponding to O3 mortality costs, PM</w:t>
      </w:r>
      <w:r w:rsidR="007B6EE5">
        <w:rPr>
          <w:rFonts w:ascii="Calibri" w:hAnsi="Calibri" w:eastAsia="Times New Roman" w:cs="Calibri"/>
          <w:color w:val="000000"/>
          <w:kern w:val="0"/>
          <w:sz w:val="22"/>
          <w:szCs w:val="22"/>
          <w14:ligatures w14:val="none"/>
        </w:rPr>
        <w:t>2.5</w:t>
      </w:r>
      <w:r w:rsidR="00725F55">
        <w:rPr>
          <w:rFonts w:ascii="Calibri" w:hAnsi="Calibri" w:eastAsia="Times New Roman" w:cs="Calibri"/>
          <w:color w:val="000000"/>
          <w:kern w:val="0"/>
          <w:sz w:val="22"/>
          <w:szCs w:val="22"/>
          <w14:ligatures w14:val="none"/>
        </w:rPr>
        <w:t xml:space="preserve"> mortality costs, and total mortality and non-mortality costs for O3 and PM</w:t>
      </w:r>
      <w:r w:rsidR="007B6EE5">
        <w:rPr>
          <w:rFonts w:ascii="Calibri" w:hAnsi="Calibri" w:eastAsia="Times New Roman" w:cs="Calibri"/>
          <w:color w:val="000000"/>
          <w:kern w:val="0"/>
          <w:sz w:val="22"/>
          <w:szCs w:val="22"/>
          <w14:ligatures w14:val="none"/>
        </w:rPr>
        <w:t>2.5</w:t>
      </w:r>
      <w:r w:rsidR="00725F55">
        <w:rPr>
          <w:rFonts w:ascii="Calibri" w:hAnsi="Calibri" w:eastAsia="Times New Roman" w:cs="Calibri"/>
          <w:color w:val="000000"/>
          <w:kern w:val="0"/>
          <w:sz w:val="22"/>
          <w:szCs w:val="22"/>
          <w14:ligatures w14:val="none"/>
        </w:rPr>
        <w:t xml:space="preserve"> combined.)</w:t>
      </w:r>
      <w:r w:rsidRPr="0060507F" w:rsidR="0060507F">
        <w:rPr>
          <w:rFonts w:ascii="Calibri" w:hAnsi="Calibri" w:eastAsia="Times New Roman" w:cs="Calibri"/>
          <w:color w:val="000000"/>
          <w:kern w:val="0"/>
          <w:sz w:val="22"/>
          <w:szCs w:val="22"/>
          <w14:ligatures w14:val="none"/>
        </w:rPr>
        <w:t xml:space="preserve"> </w:t>
      </w:r>
      <w:r w:rsidR="00725F55">
        <w:rPr>
          <w:rFonts w:ascii="Calibri" w:hAnsi="Calibri" w:eastAsia="Times New Roman" w:cs="Calibri"/>
          <w:color w:val="000000"/>
          <w:kern w:val="0"/>
          <w:sz w:val="22"/>
          <w:szCs w:val="22"/>
          <w14:ligatures w14:val="none"/>
        </w:rPr>
        <w:t xml:space="preserve">Column with these damage factors have the headers </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df_o3</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 xml:space="preserve">, </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df_pm_avg</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 xml:space="preserve">, and </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df_tot_avg</w:t>
      </w:r>
      <w:r w:rsidR="007B6EE5">
        <w:rPr>
          <w:rFonts w:ascii="Calibri" w:hAnsi="Calibri" w:eastAsia="Times New Roman" w:cs="Calibri"/>
          <w:color w:val="000000"/>
          <w:kern w:val="0"/>
          <w:sz w:val="22"/>
          <w:szCs w:val="22"/>
          <w14:ligatures w14:val="none"/>
        </w:rPr>
        <w:t>”</w:t>
      </w:r>
      <w:r w:rsidR="00725F55">
        <w:rPr>
          <w:rFonts w:ascii="Calibri" w:hAnsi="Calibri" w:eastAsia="Times New Roman" w:cs="Calibri"/>
          <w:color w:val="000000"/>
          <w:kern w:val="0"/>
          <w:sz w:val="22"/>
          <w:szCs w:val="22"/>
          <w14:ligatures w14:val="none"/>
        </w:rPr>
        <w:t>, respectively.</w:t>
      </w:r>
    </w:p>
    <w:p w:rsidR="001C5F19" w:rsidP="0060507F" w:rsidRDefault="001C5F19" w14:paraId="3D9CCCA4" w14:textId="77777777">
      <w:pPr>
        <w:spacing w:after="0" w:line="240" w:lineRule="auto"/>
        <w:rPr>
          <w:rFonts w:ascii="Calibri" w:hAnsi="Calibri" w:eastAsia="Times New Roman" w:cs="Calibri"/>
          <w:color w:val="000000"/>
          <w:kern w:val="0"/>
          <w:sz w:val="22"/>
          <w:szCs w:val="22"/>
          <w14:ligatures w14:val="none"/>
        </w:rPr>
      </w:pPr>
    </w:p>
    <w:p w:rsidRPr="0060507F" w:rsidR="0060507F" w:rsidP="0060507F" w:rsidRDefault="0060507F" w14:paraId="39C70BF1" w14:textId="2589096D">
      <w:pPr>
        <w:spacing w:after="0" w:line="240" w:lineRule="auto"/>
        <w:rPr>
          <w:rFonts w:ascii="Calibri" w:hAnsi="Calibri" w:eastAsia="Times New Roman" w:cs="Calibri"/>
          <w:color w:val="000000"/>
          <w:kern w:val="0"/>
          <w:sz w:val="22"/>
          <w:szCs w:val="22"/>
          <w14:ligatures w14:val="none"/>
        </w:rPr>
      </w:pPr>
      <w:r w:rsidRPr="0060507F">
        <w:rPr>
          <w:rFonts w:ascii="Calibri" w:hAnsi="Calibri" w:eastAsia="Times New Roman" w:cs="Calibri"/>
          <w:color w:val="000000"/>
          <w:kern w:val="0"/>
          <w:sz w:val="22"/>
          <w:szCs w:val="22"/>
          <w14:ligatures w14:val="none"/>
        </w:rPr>
        <w:t>The purpose of the calculations on the "prep*" tabs is to sum the pollutant-specific damage</w:t>
      </w:r>
      <w:r w:rsidR="00725F55">
        <w:rPr>
          <w:rFonts w:ascii="Calibri" w:hAnsi="Calibri" w:eastAsia="Times New Roman" w:cs="Calibri"/>
          <w:color w:val="000000"/>
          <w:kern w:val="0"/>
          <w:sz w:val="22"/>
          <w:szCs w:val="22"/>
          <w14:ligatures w14:val="none"/>
        </w:rPr>
        <w:t>-per-</w:t>
      </w:r>
      <w:r w:rsidRPr="0060507F">
        <w:rPr>
          <w:rFonts w:ascii="Calibri" w:hAnsi="Calibri" w:eastAsia="Times New Roman" w:cs="Calibri"/>
          <w:color w:val="000000"/>
          <w:kern w:val="0"/>
          <w:sz w:val="22"/>
          <w:szCs w:val="22"/>
          <w14:ligatures w14:val="none"/>
        </w:rPr>
        <w:t xml:space="preserve">output </w:t>
      </w:r>
      <w:r w:rsidR="00725F55">
        <w:rPr>
          <w:rFonts w:ascii="Calibri" w:hAnsi="Calibri" w:eastAsia="Times New Roman" w:cs="Calibri"/>
          <w:color w:val="000000"/>
          <w:kern w:val="0"/>
          <w:sz w:val="22"/>
          <w:szCs w:val="22"/>
          <w14:ligatures w14:val="none"/>
        </w:rPr>
        <w:t xml:space="preserve">values </w:t>
      </w:r>
      <w:r w:rsidRPr="0060507F">
        <w:rPr>
          <w:rFonts w:ascii="Calibri" w:hAnsi="Calibri" w:eastAsia="Times New Roman" w:cs="Calibri"/>
          <w:color w:val="000000"/>
          <w:kern w:val="0"/>
          <w:sz w:val="22"/>
          <w:szCs w:val="22"/>
          <w14:ligatures w14:val="none"/>
        </w:rPr>
        <w:t xml:space="preserve">across </w:t>
      </w:r>
      <w:r w:rsidR="00725F55">
        <w:rPr>
          <w:rFonts w:ascii="Calibri" w:hAnsi="Calibri" w:eastAsia="Times New Roman" w:cs="Calibri"/>
          <w:color w:val="000000"/>
          <w:kern w:val="0"/>
          <w:sz w:val="22"/>
          <w:szCs w:val="22"/>
          <w14:ligatures w14:val="none"/>
        </w:rPr>
        <w:t xml:space="preserve">emitted </w:t>
      </w:r>
      <w:r w:rsidRPr="0060507F">
        <w:rPr>
          <w:rFonts w:ascii="Calibri" w:hAnsi="Calibri" w:eastAsia="Times New Roman" w:cs="Calibri"/>
          <w:color w:val="000000"/>
          <w:kern w:val="0"/>
          <w:sz w:val="22"/>
          <w:szCs w:val="22"/>
          <w14:ligatures w14:val="none"/>
        </w:rPr>
        <w:t xml:space="preserve">pollutants </w:t>
      </w:r>
      <w:r w:rsidR="00725F55">
        <w:rPr>
          <w:rFonts w:ascii="Calibri" w:hAnsi="Calibri" w:eastAsia="Times New Roman" w:cs="Calibri"/>
          <w:color w:val="000000"/>
          <w:kern w:val="0"/>
          <w:sz w:val="22"/>
          <w:szCs w:val="22"/>
          <w14:ligatures w14:val="none"/>
        </w:rPr>
        <w:t xml:space="preserve">(e.g., NOx, SO2, PM) </w:t>
      </w:r>
      <w:r w:rsidRPr="0060507F">
        <w:rPr>
          <w:rFonts w:ascii="Calibri" w:hAnsi="Calibri" w:eastAsia="Times New Roman" w:cs="Calibri"/>
          <w:color w:val="000000"/>
          <w:kern w:val="0"/>
          <w:sz w:val="22"/>
          <w:szCs w:val="22"/>
          <w14:ligatures w14:val="none"/>
        </w:rPr>
        <w:t>to produce a total damage-per-output value.</w:t>
      </w:r>
      <w:r w:rsidR="00725F55">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There are three such tabs since the sectoral structure in GCAM is slightly different for the transportation, power sector, and other sectors.</w:t>
      </w:r>
      <w:r w:rsidR="00725F55">
        <w:rPr>
          <w:rFonts w:ascii="Calibri" w:hAnsi="Calibri" w:eastAsia="Times New Roman" w:cs="Calibri"/>
          <w:color w:val="000000"/>
          <w:kern w:val="0"/>
          <w:sz w:val="22"/>
          <w:szCs w:val="22"/>
          <w14:ligatures w14:val="none"/>
        </w:rPr>
        <w:t xml:space="preserve"> </w:t>
      </w:r>
      <w:r w:rsidRPr="0060507F">
        <w:rPr>
          <w:rFonts w:ascii="Calibri" w:hAnsi="Calibri" w:eastAsia="Times New Roman" w:cs="Calibri"/>
          <w:color w:val="000000"/>
          <w:kern w:val="0"/>
          <w:sz w:val="22"/>
          <w:szCs w:val="22"/>
          <w14:ligatures w14:val="none"/>
        </w:rPr>
        <w:t>Again, if data from any tab to the left of these has changed, we recommend refreshing the data in each of the "prep*" tab pivot tables.</w:t>
      </w:r>
    </w:p>
    <w:p w:rsidR="0060507F" w:rsidP="0060507F" w:rsidRDefault="0060507F" w14:paraId="29960F4F" w14:textId="77777777">
      <w:pPr>
        <w:spacing w:after="0" w:line="240" w:lineRule="auto"/>
        <w:rPr>
          <w:rFonts w:ascii="Calibri" w:hAnsi="Calibri" w:eastAsia="Times New Roman" w:cs="Calibri"/>
          <w:color w:val="000000"/>
          <w:kern w:val="0"/>
          <w:sz w:val="22"/>
          <w:szCs w:val="22"/>
          <w14:ligatures w14:val="none"/>
        </w:rPr>
      </w:pPr>
    </w:p>
    <w:p w:rsidR="005910E6" w:rsidP="005910E6" w:rsidRDefault="005910E6" w14:paraId="4307C3B2" w14:textId="5AFDB61B">
      <w:pPr>
        <w:spacing w:after="0" w:line="240" w:lineRule="auto"/>
        <w:rPr>
          <w:rFonts w:ascii="Calibri" w:hAnsi="Calibri" w:eastAsia="Times New Roman" w:cs="Calibri"/>
          <w:color w:val="000000"/>
          <w:kern w:val="0"/>
          <w:sz w:val="22"/>
          <w:szCs w:val="22"/>
          <w14:ligatures w14:val="none"/>
        </w:rPr>
      </w:pPr>
      <w:r w:rsidRPr="005910E6">
        <w:rPr>
          <w:rFonts w:ascii="Calibri" w:hAnsi="Calibri" w:eastAsia="Times New Roman" w:cs="Calibri"/>
          <w:color w:val="000000"/>
          <w:kern w:val="0"/>
          <w:sz w:val="22"/>
          <w:szCs w:val="22"/>
          <w14:ligatures w14:val="none"/>
        </w:rPr>
        <w:t xml:space="preserve">The tabs </w:t>
      </w:r>
      <w:r w:rsidRPr="005910E6" w:rsidR="007B6EE5">
        <w:rPr>
          <w:rFonts w:ascii="Calibri" w:hAnsi="Calibri" w:eastAsia="Times New Roman" w:cs="Calibri"/>
          <w:color w:val="000000"/>
          <w:kern w:val="0"/>
          <w:sz w:val="22"/>
          <w:szCs w:val="22"/>
          <w14:ligatures w14:val="none"/>
        </w:rPr>
        <w:t>begin</w:t>
      </w:r>
      <w:r w:rsidR="007B6EE5">
        <w:rPr>
          <w:rFonts w:ascii="Calibri" w:hAnsi="Calibri" w:eastAsia="Times New Roman" w:cs="Calibri"/>
          <w:color w:val="000000"/>
          <w:kern w:val="0"/>
          <w:sz w:val="22"/>
          <w:szCs w:val="22"/>
          <w14:ligatures w14:val="none"/>
        </w:rPr>
        <w:t>n</w:t>
      </w:r>
      <w:r w:rsidRPr="005910E6" w:rsidR="007B6EE5">
        <w:rPr>
          <w:rFonts w:ascii="Calibri" w:hAnsi="Calibri" w:eastAsia="Times New Roman" w:cs="Calibri"/>
          <w:color w:val="000000"/>
          <w:kern w:val="0"/>
          <w:sz w:val="22"/>
          <w:szCs w:val="22"/>
          <w14:ligatures w14:val="none"/>
        </w:rPr>
        <w:t>ing</w:t>
      </w:r>
      <w:r w:rsidRPr="005910E6">
        <w:rPr>
          <w:rFonts w:ascii="Calibri" w:hAnsi="Calibri" w:eastAsia="Times New Roman" w:cs="Calibri"/>
          <w:color w:val="000000"/>
          <w:kern w:val="0"/>
          <w:sz w:val="22"/>
          <w:szCs w:val="22"/>
          <w14:ligatures w14:val="none"/>
        </w:rPr>
        <w:t xml:space="preserve"> with "damage" include the data that will be saved to a CSV file for use in the GLIMPSE CSVtoXML conversion program:</w:t>
      </w:r>
    </w:p>
    <w:p w:rsidRPr="007B6EE5" w:rsidR="007B6EE5" w:rsidP="007B6EE5" w:rsidRDefault="007B6EE5" w14:paraId="1F10EA2A" w14:textId="1C914B05">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"damageO3-Egu" - Factors representing O3 damages for emissions from  electricity generating units (i.e., the power sector)</w:t>
      </w:r>
    </w:p>
    <w:p w:rsidRPr="007B6EE5" w:rsidR="007B6EE5" w:rsidP="007B6EE5" w:rsidRDefault="007B6EE5" w14:paraId="66F422C0" w14:textId="3D39F77C">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"damageO3-Trn" - Factors representing O3 damages for emissions from  transportation sector</w:t>
      </w:r>
    </w:p>
    <w:p w:rsidRPr="007B6EE5" w:rsidR="007B6EE5" w:rsidP="007B6EE5" w:rsidRDefault="007B6EE5" w14:paraId="7A1F551B" w14:textId="2C3D74C2">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"damageO3-Oth" - Factors representing O3 damages for emissions from other sectors, including buildings and industry</w:t>
      </w:r>
    </w:p>
    <w:p w:rsidRPr="007B6EE5" w:rsidR="005910E6" w:rsidP="007B6EE5" w:rsidRDefault="005910E6" w14:paraId="6E9CF922" w14:textId="111D885D">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"damageTot</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Egu" - Factors representing the sum of PM</w:t>
      </w:r>
      <w:r w:rsidR="007B6EE5">
        <w:rPr>
          <w:rFonts w:ascii="Calibri" w:hAnsi="Calibri" w:eastAsia="Times New Roman" w:cs="Calibri"/>
          <w:color w:val="000000"/>
          <w:kern w:val="0"/>
          <w:sz w:val="22"/>
          <w:szCs w:val="22"/>
          <w14:ligatures w14:val="none"/>
        </w:rPr>
        <w:t>2.5</w:t>
      </w:r>
      <w:r w:rsidRPr="007B6EE5">
        <w:rPr>
          <w:rFonts w:ascii="Calibri" w:hAnsi="Calibri" w:eastAsia="Times New Roman" w:cs="Calibri"/>
          <w:color w:val="000000"/>
          <w:kern w:val="0"/>
          <w:sz w:val="22"/>
          <w:szCs w:val="22"/>
          <w14:ligatures w14:val="none"/>
        </w:rPr>
        <w:t xml:space="preserve"> and O3 damages for emissions from electricity generating units (i.e., the power sector)</w:t>
      </w:r>
    </w:p>
    <w:p w:rsidRPr="007B6EE5" w:rsidR="005910E6" w:rsidP="007B6EE5" w:rsidRDefault="005910E6" w14:paraId="74BA7767" w14:textId="69E1DFD3">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lastRenderedPageBreak/>
        <w:t>"damageTot</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Trn" - Factors representing the sum of PM</w:t>
      </w:r>
      <w:r w:rsidR="007B6EE5">
        <w:rPr>
          <w:rFonts w:ascii="Calibri" w:hAnsi="Calibri" w:eastAsia="Times New Roman" w:cs="Calibri"/>
          <w:color w:val="000000"/>
          <w:kern w:val="0"/>
          <w:sz w:val="22"/>
          <w:szCs w:val="22"/>
          <w14:ligatures w14:val="none"/>
        </w:rPr>
        <w:t>2.5</w:t>
      </w:r>
      <w:r w:rsidRPr="007B6EE5">
        <w:rPr>
          <w:rFonts w:ascii="Calibri" w:hAnsi="Calibri" w:eastAsia="Times New Roman" w:cs="Calibri"/>
          <w:color w:val="000000"/>
          <w:kern w:val="0"/>
          <w:sz w:val="22"/>
          <w:szCs w:val="22"/>
          <w14:ligatures w14:val="none"/>
        </w:rPr>
        <w:t xml:space="preserve"> and O3 damages for emissions from the transportation sector</w:t>
      </w:r>
    </w:p>
    <w:p w:rsidRPr="007B6EE5" w:rsidR="005910E6" w:rsidP="007B6EE5" w:rsidRDefault="005910E6" w14:paraId="525BCF20" w14:textId="1FC9E147">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"damageTot</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 xml:space="preserve">Oth" - Factors representing the sum of </w:t>
      </w:r>
      <w:r w:rsidR="007B6EE5">
        <w:rPr>
          <w:rFonts w:ascii="Calibri" w:hAnsi="Calibri" w:eastAsia="Times New Roman" w:cs="Calibri"/>
          <w:color w:val="000000"/>
          <w:kern w:val="0"/>
          <w:sz w:val="22"/>
          <w:szCs w:val="22"/>
          <w14:ligatures w14:val="none"/>
        </w:rPr>
        <w:t>PM2.5</w:t>
      </w:r>
      <w:r w:rsidRPr="007B6EE5">
        <w:rPr>
          <w:rFonts w:ascii="Calibri" w:hAnsi="Calibri" w:eastAsia="Times New Roman" w:cs="Calibri"/>
          <w:color w:val="000000"/>
          <w:kern w:val="0"/>
          <w:sz w:val="22"/>
          <w:szCs w:val="22"/>
          <w14:ligatures w14:val="none"/>
        </w:rPr>
        <w:t xml:space="preserve"> and O3 damages for emissions from other sectors, including buildings and industry</w:t>
      </w:r>
    </w:p>
    <w:p w:rsidRPr="007B6EE5" w:rsidR="005910E6" w:rsidP="007B6EE5" w:rsidRDefault="005910E6" w14:paraId="65C1F5F8" w14:textId="5D67F086">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"damagePM</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 xml:space="preserve">Egu" - Factors representing </w:t>
      </w:r>
      <w:r w:rsidR="007B6EE5">
        <w:rPr>
          <w:rFonts w:ascii="Calibri" w:hAnsi="Calibri" w:eastAsia="Times New Roman" w:cs="Calibri"/>
          <w:color w:val="000000"/>
          <w:kern w:val="0"/>
          <w:sz w:val="22"/>
          <w:szCs w:val="22"/>
          <w14:ligatures w14:val="none"/>
        </w:rPr>
        <w:t>PM2.5</w:t>
      </w:r>
      <w:r w:rsidRPr="007B6EE5">
        <w:rPr>
          <w:rFonts w:ascii="Calibri" w:hAnsi="Calibri" w:eastAsia="Times New Roman" w:cs="Calibri"/>
          <w:color w:val="000000"/>
          <w:kern w:val="0"/>
          <w:sz w:val="22"/>
          <w:szCs w:val="22"/>
          <w14:ligatures w14:val="none"/>
        </w:rPr>
        <w:t xml:space="preserve"> damages for emissions from  electricity generating units (i.e., the power sector)</w:t>
      </w:r>
    </w:p>
    <w:p w:rsidRPr="007B6EE5" w:rsidR="005910E6" w:rsidP="007B6EE5" w:rsidRDefault="005910E6" w14:paraId="045B006C" w14:textId="7F390353">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"damagePM</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 xml:space="preserve">Trn" - Factors representing </w:t>
      </w:r>
      <w:r w:rsidR="007B6EE5">
        <w:rPr>
          <w:rFonts w:ascii="Calibri" w:hAnsi="Calibri" w:eastAsia="Times New Roman" w:cs="Calibri"/>
          <w:color w:val="000000"/>
          <w:kern w:val="0"/>
          <w:sz w:val="22"/>
          <w:szCs w:val="22"/>
          <w14:ligatures w14:val="none"/>
        </w:rPr>
        <w:t>PM2.5</w:t>
      </w:r>
      <w:r w:rsidRPr="007B6EE5">
        <w:rPr>
          <w:rFonts w:ascii="Calibri" w:hAnsi="Calibri" w:eastAsia="Times New Roman" w:cs="Calibri"/>
          <w:color w:val="000000"/>
          <w:kern w:val="0"/>
          <w:sz w:val="22"/>
          <w:szCs w:val="22"/>
          <w14:ligatures w14:val="none"/>
        </w:rPr>
        <w:t xml:space="preserve"> damages for emissions from  transportation sector</w:t>
      </w:r>
    </w:p>
    <w:p w:rsidRPr="007B6EE5" w:rsidR="005910E6" w:rsidP="007B6EE5" w:rsidRDefault="005910E6" w14:paraId="61D623B8" w14:textId="4BB8E6D3">
      <w:pPr>
        <w:pStyle w:val="ListParagraph"/>
        <w:numPr>
          <w:ilvl w:val="0"/>
          <w:numId w:val="6"/>
        </w:numPr>
        <w:spacing w:after="0" w:line="240" w:lineRule="auto"/>
        <w:rPr>
          <w:rFonts w:ascii="Calibri" w:hAnsi="Calibri" w:eastAsia="Times New Roman" w:cs="Calibri"/>
          <w:color w:val="000000"/>
          <w:kern w:val="0"/>
          <w:sz w:val="22"/>
          <w:szCs w:val="22"/>
          <w14:ligatures w14:val="none"/>
        </w:rPr>
      </w:pPr>
      <w:r w:rsidRPr="007B6EE5">
        <w:rPr>
          <w:rFonts w:ascii="Calibri" w:hAnsi="Calibri" w:eastAsia="Times New Roman" w:cs="Calibri"/>
          <w:color w:val="000000"/>
          <w:kern w:val="0"/>
          <w:sz w:val="22"/>
          <w:szCs w:val="22"/>
          <w14:ligatures w14:val="none"/>
        </w:rPr>
        <w:t>"damagePM</w:t>
      </w:r>
      <w:r w:rsidRPr="007B6EE5" w:rsidR="007B6EE5">
        <w:rPr>
          <w:rFonts w:ascii="Calibri" w:hAnsi="Calibri" w:eastAsia="Times New Roman" w:cs="Calibri"/>
          <w:color w:val="000000"/>
          <w:kern w:val="0"/>
          <w:sz w:val="22"/>
          <w:szCs w:val="22"/>
          <w14:ligatures w14:val="none"/>
        </w:rPr>
        <w:t>Avg-</w:t>
      </w:r>
      <w:r w:rsidRPr="007B6EE5">
        <w:rPr>
          <w:rFonts w:ascii="Calibri" w:hAnsi="Calibri" w:eastAsia="Times New Roman" w:cs="Calibri"/>
          <w:color w:val="000000"/>
          <w:kern w:val="0"/>
          <w:sz w:val="22"/>
          <w:szCs w:val="22"/>
          <w14:ligatures w14:val="none"/>
        </w:rPr>
        <w:t xml:space="preserve">Oth" - Factors representing </w:t>
      </w:r>
      <w:r w:rsidR="007B6EE5">
        <w:rPr>
          <w:rFonts w:ascii="Calibri" w:hAnsi="Calibri" w:eastAsia="Times New Roman" w:cs="Calibri"/>
          <w:color w:val="000000"/>
          <w:kern w:val="0"/>
          <w:sz w:val="22"/>
          <w:szCs w:val="22"/>
          <w14:ligatures w14:val="none"/>
        </w:rPr>
        <w:t xml:space="preserve">PM2.5 </w:t>
      </w:r>
      <w:r w:rsidRPr="007B6EE5">
        <w:rPr>
          <w:rFonts w:ascii="Calibri" w:hAnsi="Calibri" w:eastAsia="Times New Roman" w:cs="Calibri"/>
          <w:color w:val="000000"/>
          <w:kern w:val="0"/>
          <w:sz w:val="22"/>
          <w:szCs w:val="22"/>
          <w14:ligatures w14:val="none"/>
        </w:rPr>
        <w:t>damages for emissions from other sectors, including buildings and industry</w:t>
      </w:r>
    </w:p>
    <w:p w:rsidR="0060507F" w:rsidP="0060507F" w:rsidRDefault="0060507F" w14:paraId="44A8BB00" w14:textId="77777777">
      <w:pPr>
        <w:spacing w:after="0" w:line="240" w:lineRule="auto"/>
        <w:rPr>
          <w:rFonts w:ascii="Calibri" w:hAnsi="Calibri" w:eastAsia="Times New Roman" w:cs="Calibri"/>
          <w:color w:val="000000"/>
          <w:kern w:val="0"/>
          <w:sz w:val="22"/>
          <w:szCs w:val="22"/>
          <w14:ligatures w14:val="none"/>
        </w:rPr>
      </w:pPr>
    </w:p>
    <w:p w:rsidRPr="005910E6" w:rsidR="005910E6" w:rsidP="005910E6" w:rsidRDefault="005910E6" w14:paraId="62887696" w14:textId="00E47415">
      <w:pPr>
        <w:spacing w:after="0" w:line="240" w:lineRule="auto"/>
        <w:rPr>
          <w:rFonts w:ascii="Calibri" w:hAnsi="Calibri" w:eastAsia="Times New Roman" w:cs="Calibri"/>
          <w:color w:val="000000"/>
          <w:kern w:val="0"/>
          <w:sz w:val="22"/>
          <w:szCs w:val="22"/>
          <w14:ligatures w14:val="none"/>
        </w:rPr>
      </w:pPr>
      <w:r w:rsidRPr="005910E6" w:rsidR="005910E6">
        <w:rPr>
          <w:rFonts w:ascii="Calibri" w:hAnsi="Calibri" w:eastAsia="Times New Roman" w:cs="Calibri"/>
          <w:color w:val="000000"/>
          <w:kern w:val="0"/>
          <w:sz w:val="22"/>
          <w:szCs w:val="22"/>
          <w14:ligatures w14:val="none"/>
        </w:rPr>
        <w:t xml:space="preserve">The data on the "damage*" tabs has been formatted to be processed by the GLIMPSE CSV-to-XML tool. The tabs can be converted to CSV </w:t>
      </w:r>
      <w:r w:rsidRPr="005910E6" w:rsidR="005910E6">
        <w:rPr>
          <w:rFonts w:ascii="Calibri" w:hAnsi="Calibri" w:eastAsia="Times New Roman" w:cs="Calibri"/>
          <w:color w:val="000000"/>
          <w:kern w:val="0"/>
          <w:sz w:val="22"/>
          <w:szCs w:val="22"/>
          <w14:ligatures w14:val="none"/>
        </w:rPr>
        <w:t>files</w:t>
      </w:r>
      <w:r w:rsidRPr="005910E6" w:rsidR="005910E6">
        <w:rPr>
          <w:rFonts w:ascii="Calibri" w:hAnsi="Calibri" w:eastAsia="Times New Roman" w:cs="Calibri"/>
          <w:color w:val="000000"/>
          <w:kern w:val="0"/>
          <w:sz w:val="22"/>
          <w:szCs w:val="22"/>
          <w14:ligatures w14:val="none"/>
        </w:rPr>
        <w:t xml:space="preserve"> in</w:t>
      </w:r>
      <w:r w:rsidRPr="005910E6" w:rsidR="005910E6">
        <w:rPr>
          <w:rFonts w:ascii="Calibri" w:hAnsi="Calibri" w:eastAsia="Times New Roman" w:cs="Calibri"/>
          <w:color w:val="000000"/>
          <w:kern w:val="0"/>
          <w:sz w:val="22"/>
          <w:szCs w:val="22"/>
          <w14:ligatures w14:val="none"/>
        </w:rPr>
        <w:t xml:space="preserve"> several ways. One is to traverse to the desired tab, then choose "Save As" and save the tab contents to a CSV file.</w:t>
      </w:r>
      <w:r w:rsidR="007B6EE5">
        <w:rPr>
          <w:rFonts w:ascii="Calibri" w:hAnsi="Calibri" w:eastAsia="Times New Roman" w:cs="Calibri"/>
          <w:color w:val="000000"/>
          <w:kern w:val="0"/>
          <w:sz w:val="22"/>
          <w:szCs w:val="22"/>
          <w14:ligatures w14:val="none"/>
        </w:rPr>
        <w:t xml:space="preserve"> </w:t>
      </w:r>
      <w:r w:rsidRPr="005910E6" w:rsidR="005910E6">
        <w:rPr>
          <w:rFonts w:ascii="Calibri" w:hAnsi="Calibri" w:eastAsia="Times New Roman" w:cs="Calibri"/>
          <w:color w:val="000000"/>
          <w:kern w:val="0"/>
          <w:sz w:val="22"/>
          <w:szCs w:val="22"/>
          <w14:ligatures w14:val="none"/>
        </w:rPr>
        <w:t xml:space="preserve">Alternatively, a macro has been added to the worksheet to automate the process of generating CSV files from each tab. </w:t>
      </w:r>
    </w:p>
    <w:p w:rsidRPr="0060507F" w:rsidR="005910E6" w:rsidP="0060507F" w:rsidRDefault="005910E6" w14:paraId="16E4F181" w14:textId="77777777">
      <w:pPr>
        <w:spacing w:after="0" w:line="240" w:lineRule="auto"/>
        <w:rPr>
          <w:rFonts w:ascii="Calibri" w:hAnsi="Calibri" w:eastAsia="Times New Roman" w:cs="Calibri"/>
          <w:color w:val="000000"/>
          <w:kern w:val="0"/>
          <w:sz w:val="22"/>
          <w:szCs w:val="22"/>
          <w14:ligatures w14:val="none"/>
        </w:rPr>
      </w:pPr>
    </w:p>
    <w:p w:rsidR="0060507F" w:rsidP="007B6EE5" w:rsidRDefault="005910E6" w14:paraId="65FED570" w14:textId="21D2FB50" w14:noSpellErr="1">
      <w:pPr>
        <w:spacing w:after="0" w:line="240" w:lineRule="auto"/>
        <w:rPr>
          <w:rFonts w:ascii="Calibri" w:hAnsi="Calibri" w:eastAsia="Times New Roman" w:cs="Calibri"/>
          <w:color w:val="000000"/>
          <w:kern w:val="0"/>
          <w:sz w:val="22"/>
          <w:szCs w:val="22"/>
          <w14:ligatures w14:val="none"/>
        </w:rPr>
      </w:pPr>
      <w:r w:rsidRPr="005910E6" w:rsidR="005910E6">
        <w:rPr>
          <w:rFonts w:ascii="Calibri" w:hAnsi="Calibri" w:eastAsia="Times New Roman" w:cs="Calibri"/>
          <w:color w:val="000000"/>
          <w:kern w:val="0"/>
          <w:sz w:val="22"/>
          <w:szCs w:val="22"/>
          <w14:ligatures w14:val="none"/>
        </w:rPr>
        <w:t xml:space="preserve"> To run the macro, select the "Developer" tab, click on the "Macros" button, then execute the "</w:t>
      </w:r>
      <w:r w:rsidRPr="005910E6" w:rsidR="005910E6">
        <w:rPr>
          <w:rFonts w:ascii="Calibri" w:hAnsi="Calibri" w:eastAsia="Times New Roman" w:cs="Calibri"/>
          <w:color w:val="000000"/>
          <w:kern w:val="0"/>
          <w:sz w:val="22"/>
          <w:szCs w:val="22"/>
          <w14:ligatures w14:val="none"/>
        </w:rPr>
        <w:t xml:space="preserve">SaveTabsAsCSVs</w:t>
      </w:r>
      <w:r w:rsidRPr="005910E6" w:rsidR="005910E6">
        <w:rPr>
          <w:rFonts w:ascii="Calibri" w:hAnsi="Calibri" w:eastAsia="Times New Roman" w:cs="Calibri"/>
          <w:color w:val="000000"/>
          <w:kern w:val="0"/>
          <w:sz w:val="22"/>
          <w:szCs w:val="22"/>
          <w14:ligatures w14:val="none"/>
        </w:rPr>
        <w:t xml:space="preserve">" macro. This will export </w:t>
      </w:r>
      <w:r w:rsidRPr="005910E6" w:rsidR="005910E6">
        <w:rPr>
          <w:rFonts w:ascii="Calibri" w:hAnsi="Calibri" w:eastAsia="Times New Roman" w:cs="Calibri"/>
          <w:color w:val="000000"/>
          <w:kern w:val="0"/>
          <w:sz w:val="22"/>
          <w:szCs w:val="22"/>
          <w14:ligatures w14:val="none"/>
        </w:rPr>
        <w:t xml:space="preserve">all</w:t>
      </w:r>
      <w:r w:rsidR="007B6EE5">
        <w:rPr>
          <w:rFonts w:ascii="Calibri" w:hAnsi="Calibri" w:eastAsia="Times New Roman" w:cs="Calibri"/>
          <w:color w:val="000000"/>
          <w:kern w:val="0"/>
          <w:sz w:val="22"/>
          <w:szCs w:val="22"/>
          <w14:ligatures w14:val="none"/>
        </w:rPr>
        <w:t xml:space="preserve"> </w:t>
      </w:r>
      <w:r w:rsidRPr="005910E6" w:rsidR="005910E6">
        <w:rPr>
          <w:rFonts w:ascii="Calibri" w:hAnsi="Calibri" w:eastAsia="Times New Roman" w:cs="Calibri"/>
          <w:color w:val="000000"/>
          <w:kern w:val="0"/>
          <w:sz w:val="22"/>
          <w:szCs w:val="22"/>
          <w14:ligatures w14:val="none"/>
        </w:rPr>
        <w:t xml:space="preserve"> tabs</w:t>
      </w:r>
      <w:r w:rsidRPr="005910E6" w:rsidR="005910E6">
        <w:rPr>
          <w:rFonts w:ascii="Calibri" w:hAnsi="Calibri" w:eastAsia="Times New Roman" w:cs="Calibri"/>
          <w:color w:val="000000"/>
          <w:kern w:val="0"/>
          <w:sz w:val="22"/>
          <w:szCs w:val="22"/>
          <w14:ligatures w14:val="none"/>
        </w:rPr>
        <w:t xml:space="preserve"> to CSVs (e.g., including this Readme tab). </w:t>
      </w:r>
      <w:r w:rsidR="007B6EE5">
        <w:rPr>
          <w:rFonts w:ascii="Calibri" w:hAnsi="Calibri" w:eastAsia="Times New Roman" w:cs="Calibri"/>
          <w:color w:val="000000"/>
          <w:kern w:val="0"/>
          <w:sz w:val="22"/>
          <w:szCs w:val="22"/>
          <w14:ligatures w14:val="none"/>
        </w:rPr>
        <w:t>However, only the tabs starting with “damage” represent the CSVs that include damage factors. These CSVs can be added to the GLIMPSE Scenario Component Library for inclusion in scenarios. O3 and PM2.5 damages will be reported in emission queries under the emission species “O3DAM” and “PMDAM”, respectively. Total damages will be reported as “Damages</w:t>
      </w:r>
      <w:r w:rsidR="007B6EE5">
        <w:rPr>
          <w:rFonts w:ascii="Calibri" w:hAnsi="Calibri" w:eastAsia="Times New Roman" w:cs="Calibri"/>
          <w:color w:val="000000"/>
          <w:kern w:val="0"/>
          <w:sz w:val="22"/>
          <w:szCs w:val="22"/>
          <w14:ligatures w14:val="none"/>
        </w:rPr>
        <w:t>”.</w:t>
      </w:r>
      <w:r w:rsidR="007B6EE5">
        <w:rPr>
          <w:rFonts w:ascii="Calibri" w:hAnsi="Calibri" w:eastAsia="Times New Roman" w:cs="Calibri"/>
          <w:color w:val="000000"/>
          <w:kern w:val="0"/>
          <w:sz w:val="22"/>
          <w:szCs w:val="22"/>
          <w14:ligatures w14:val="none"/>
        </w:rPr>
        <w:t xml:space="preserve"> While the units will be displayed as “Tg</w:t>
      </w:r>
      <w:r w:rsidR="007B6EE5">
        <w:rPr>
          <w:rFonts w:ascii="Calibri" w:hAnsi="Calibri" w:eastAsia="Times New Roman" w:cs="Calibri"/>
          <w:color w:val="000000"/>
          <w:kern w:val="0"/>
          <w:sz w:val="22"/>
          <w:szCs w:val="22"/>
          <w14:ligatures w14:val="none"/>
        </w:rPr>
        <w:t>”,</w:t>
      </w:r>
      <w:r w:rsidR="007B6EE5">
        <w:rPr>
          <w:rFonts w:ascii="Calibri" w:hAnsi="Calibri" w:eastAsia="Times New Roman" w:cs="Calibri"/>
          <w:color w:val="000000"/>
          <w:kern w:val="0"/>
          <w:sz w:val="22"/>
          <w:szCs w:val="22"/>
          <w14:ligatures w14:val="none"/>
        </w:rPr>
        <w:t xml:space="preserve"> the actual units are millions of 1990$s.</w:t>
      </w:r>
    </w:p>
    <w:p w:rsidR="467FA595" w:rsidP="467FA595" w:rsidRDefault="467FA595" w14:paraId="15671A3F" w14:textId="415566CD">
      <w:pPr>
        <w:spacing w:after="0" w:line="240" w:lineRule="auto"/>
        <w:rPr>
          <w:rFonts w:ascii="Calibri" w:hAnsi="Calibri" w:eastAsia="Times New Roman" w:cs="Calibri"/>
          <w:color w:val="000000" w:themeColor="text1" w:themeTint="FF" w:themeShade="FF"/>
          <w:sz w:val="22"/>
          <w:szCs w:val="22"/>
        </w:rPr>
      </w:pPr>
    </w:p>
    <w:p w:rsidR="467FA595" w:rsidP="467FA595" w:rsidRDefault="467FA595" w14:paraId="5BBAD6E4" w14:textId="04DC1A9A">
      <w:pPr>
        <w:spacing w:after="0" w:line="240" w:lineRule="auto"/>
        <w:rPr>
          <w:rFonts w:ascii="Calibri" w:hAnsi="Calibri" w:eastAsia="Times New Roman" w:cs="Calibri"/>
          <w:color w:val="000000" w:themeColor="text1" w:themeTint="FF" w:themeShade="FF"/>
          <w:sz w:val="22"/>
          <w:szCs w:val="22"/>
        </w:rPr>
      </w:pPr>
    </w:p>
    <w:p w:rsidR="007B6EE5" w:rsidP="007B6EE5" w:rsidRDefault="007B6EE5" w14:paraId="70831D2F" w14:textId="77777777">
      <w:pPr>
        <w:spacing w:after="0" w:line="240" w:lineRule="auto"/>
      </w:pPr>
    </w:p>
    <w:p w:rsidR="005910E6" w:rsidP="005910E6" w:rsidRDefault="005910E6" w14:paraId="256C52F3" w14:textId="77777777">
      <w:pPr>
        <w:spacing w:after="0" w:line="240" w:lineRule="auto"/>
        <w:rPr>
          <w:rFonts w:ascii="Calibri" w:hAnsi="Calibri" w:eastAsia="Times New Roman" w:cs="Calibri"/>
          <w:color w:val="000000"/>
          <w:kern w:val="0"/>
          <w:sz w:val="22"/>
          <w:szCs w:val="22"/>
          <w14:ligatures w14:val="none"/>
        </w:rPr>
      </w:pPr>
      <w:r w:rsidRPr="005910E6">
        <w:rPr>
          <w:rFonts w:ascii="Calibri" w:hAnsi="Calibri" w:eastAsia="Times New Roman" w:cs="Calibri"/>
          <w:color w:val="000000"/>
          <w:kern w:val="0"/>
          <w:sz w:val="22"/>
          <w:szCs w:val="22"/>
          <w14:ligatures w14:val="none"/>
        </w:rPr>
        <w:t>Here is an illustrative set of GCAM-USA results generated using the damage factors, comparing damages associated with a Decarbonization and Reference Case.</w:t>
      </w:r>
    </w:p>
    <w:p w:rsidRPr="005910E6" w:rsidR="005910E6" w:rsidP="005910E6" w:rsidRDefault="005910E6" w14:paraId="2881F0B6" w14:textId="77777777">
      <w:pPr>
        <w:spacing w:after="0" w:line="240" w:lineRule="auto"/>
        <w:rPr>
          <w:rFonts w:ascii="Calibri" w:hAnsi="Calibri" w:eastAsia="Times New Roman" w:cs="Calibri"/>
          <w:color w:val="000000"/>
          <w:kern w:val="0"/>
          <w:sz w:val="22"/>
          <w:szCs w:val="22"/>
          <w14:ligatures w14:val="none"/>
        </w:rPr>
      </w:pPr>
      <w:r w:rsidRPr="005910E6">
        <w:rPr>
          <w:rFonts w:ascii="Calibri" w:hAnsi="Calibri" w:eastAsia="Times New Roman" w:cs="Calibri"/>
          <w:color w:val="000000"/>
          <w:kern w:val="0"/>
          <w:sz w:val="22"/>
          <w:szCs w:val="22"/>
          <w14:ligatures w14:val="none"/>
        </w:rPr>
        <w:t xml:space="preserve">  The difference represents changes in damages (e.g., benefits in 2050 are $189 billion in 1990$s).</w:t>
      </w:r>
    </w:p>
    <w:p w:rsidR="005910E6" w:rsidP="005910E6" w:rsidRDefault="005910E6" w14:paraId="4EFF879F" w14:textId="77777777">
      <w:pPr>
        <w:spacing w:after="0" w:line="240" w:lineRule="auto"/>
        <w:rPr>
          <w:rFonts w:ascii="Calibri" w:hAnsi="Calibri" w:eastAsia="Times New Roman" w:cs="Calibri"/>
          <w:color w:val="000000"/>
          <w:kern w:val="0"/>
          <w:sz w:val="22"/>
          <w:szCs w:val="22"/>
          <w14:ligatures w14:val="none"/>
        </w:rPr>
      </w:pPr>
    </w:p>
    <w:p w:rsidRPr="005910E6" w:rsidR="005910E6" w:rsidP="005910E6" w:rsidRDefault="005910E6" w14:paraId="24643FD5" w14:textId="77777777">
      <w:pPr>
        <w:spacing w:after="0" w:line="240" w:lineRule="auto"/>
        <w:rPr>
          <w:rFonts w:ascii="Calibri" w:hAnsi="Calibri" w:eastAsia="Times New Roman" w:cs="Calibri"/>
          <w:color w:val="000000"/>
          <w:kern w:val="0"/>
          <w:sz w:val="22"/>
          <w:szCs w:val="22"/>
          <w14:ligatures w14:val="none"/>
        </w:rPr>
      </w:pPr>
      <w:r w:rsidRPr="005910E6">
        <w:rPr>
          <w:rFonts w:ascii="Calibri" w:hAnsi="Calibri" w:eastAsia="Times New Roman" w:cs="Calibri"/>
          <w:color w:val="000000"/>
          <w:kern w:val="0"/>
          <w:sz w:val="22"/>
          <w:szCs w:val="22"/>
          <w14:ligatures w14:val="none"/>
        </w:rPr>
        <w:t>National total damages ($mil; 1990$s)</w:t>
      </w:r>
    </w:p>
    <w:p w:rsidR="005910E6" w:rsidP="005910E6" w:rsidRDefault="005910E6" w14:paraId="3439195D" w14:textId="77777777">
      <w:pPr>
        <w:spacing w:after="0" w:line="240" w:lineRule="auto"/>
        <w:rPr>
          <w:rFonts w:ascii="Calibri" w:hAnsi="Calibri" w:eastAsia="Times New Roman" w:cs="Calibri"/>
          <w:color w:val="000000"/>
          <w:kern w:val="0"/>
          <w:sz w:val="22"/>
          <w:szCs w:val="22"/>
          <w14:ligatures w14:val="none"/>
        </w:rPr>
      </w:pPr>
    </w:p>
    <w:tbl>
      <w:tblPr>
        <w:tblW w:w="0" w:type="auto"/>
        <w:tblLook w:val="04A0" w:firstRow="1" w:lastRow="0" w:firstColumn="1" w:lastColumn="0" w:noHBand="0" w:noVBand="1"/>
      </w:tblPr>
      <w:tblGrid>
        <w:gridCol w:w="1270"/>
        <w:gridCol w:w="843"/>
        <w:gridCol w:w="843"/>
        <w:gridCol w:w="1073"/>
        <w:gridCol w:w="1073"/>
        <w:gridCol w:w="1073"/>
        <w:gridCol w:w="1073"/>
        <w:gridCol w:w="1046"/>
        <w:gridCol w:w="1046"/>
      </w:tblGrid>
      <w:tr w:rsidRPr="005910E6" w:rsidR="005910E6" w:rsidTr="007B6EE5" w14:paraId="16EA250D" w14:textId="77777777">
        <w:trPr>
          <w:trHeight w:val="294"/>
        </w:trPr>
        <w:tc>
          <w:tcPr>
            <w:tcW w:w="0" w:type="auto"/>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5910E6" w:rsidR="005910E6" w:rsidP="005910E6" w:rsidRDefault="005910E6" w14:paraId="7DC362DC"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scenario</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4BB48A08"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2015</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68203556"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2020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36AB1BAE"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2025</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5D51AA37"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2030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20FBEF2D"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2035</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7C135A1A"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2040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0D747F99"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2045</w:t>
            </w:r>
          </w:p>
        </w:tc>
        <w:tc>
          <w:tcPr>
            <w:tcW w:w="0" w:type="auto"/>
            <w:tcBorders>
              <w:top w:val="single" w:color="auto" w:sz="8" w:space="0"/>
              <w:left w:val="nil"/>
              <w:bottom w:val="single" w:color="auto" w:sz="8" w:space="0"/>
              <w:right w:val="single" w:color="auto" w:sz="8" w:space="0"/>
            </w:tcBorders>
            <w:shd w:val="clear" w:color="auto" w:fill="auto"/>
            <w:noWrap/>
            <w:vAlign w:val="bottom"/>
            <w:hideMark/>
          </w:tcPr>
          <w:p w:rsidRPr="005910E6" w:rsidR="005910E6" w:rsidP="005910E6" w:rsidRDefault="005910E6" w14:paraId="494FD6A4" w14:textId="77777777">
            <w:pPr>
              <w:spacing w:after="0" w:line="240" w:lineRule="auto"/>
              <w:jc w:val="right"/>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2050</w:t>
            </w:r>
          </w:p>
        </w:tc>
      </w:tr>
      <w:tr w:rsidRPr="005910E6" w:rsidR="005910E6" w:rsidTr="007B6EE5" w14:paraId="5B2DA303" w14:textId="77777777">
        <w:trPr>
          <w:trHeight w:val="287"/>
        </w:trPr>
        <w:tc>
          <w:tcPr>
            <w:tcW w:w="0" w:type="auto"/>
            <w:tcBorders>
              <w:top w:val="nil"/>
              <w:left w:val="single" w:color="auto" w:sz="8" w:space="0"/>
              <w:bottom w:val="nil"/>
              <w:right w:val="single" w:color="auto" w:sz="8" w:space="0"/>
            </w:tcBorders>
            <w:shd w:val="clear" w:color="auto" w:fill="auto"/>
            <w:noWrap/>
            <w:vAlign w:val="bottom"/>
            <w:hideMark/>
          </w:tcPr>
          <w:p w:rsidRPr="005910E6" w:rsidR="005910E6" w:rsidP="005910E6" w:rsidRDefault="005910E6" w14:paraId="2F9C2489"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Decarbonization</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14327A2F"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379,000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6F860B74"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336,000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04724BB1"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333,000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2FCE842B"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339,000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20B1284F"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343,000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47642B80"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352,000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68E5AE4E"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367,000 </w:t>
            </w:r>
          </w:p>
        </w:tc>
        <w:tc>
          <w:tcPr>
            <w:tcW w:w="0" w:type="auto"/>
            <w:tcBorders>
              <w:top w:val="nil"/>
              <w:left w:val="nil"/>
              <w:bottom w:val="nil"/>
              <w:right w:val="single" w:color="auto" w:sz="8" w:space="0"/>
            </w:tcBorders>
            <w:shd w:val="clear" w:color="auto" w:fill="auto"/>
            <w:noWrap/>
            <w:vAlign w:val="bottom"/>
            <w:hideMark/>
          </w:tcPr>
          <w:p w:rsidRPr="005910E6" w:rsidR="005910E6" w:rsidP="005910E6" w:rsidRDefault="005910E6" w14:paraId="4E5CDA40"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363,000 </w:t>
            </w:r>
          </w:p>
        </w:tc>
      </w:tr>
      <w:tr w:rsidRPr="005910E6" w:rsidR="005910E6" w:rsidTr="007B6EE5" w14:paraId="504731A2" w14:textId="77777777">
        <w:trPr>
          <w:trHeight w:val="294"/>
        </w:trPr>
        <w:tc>
          <w:tcPr>
            <w:tcW w:w="0" w:type="auto"/>
            <w:tcBorders>
              <w:top w:val="nil"/>
              <w:left w:val="single" w:color="auto" w:sz="8" w:space="0"/>
              <w:bottom w:val="nil"/>
              <w:right w:val="single" w:color="auto" w:sz="8" w:space="0"/>
            </w:tcBorders>
            <w:shd w:val="clear" w:color="auto" w:fill="auto"/>
            <w:noWrap/>
            <w:vAlign w:val="bottom"/>
            <w:hideMark/>
          </w:tcPr>
          <w:p w:rsidRPr="005910E6" w:rsidR="005910E6" w:rsidP="005910E6" w:rsidRDefault="005910E6" w14:paraId="00D39B29"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Reference</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50F42B0B"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379,000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422412D9"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336,000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7CF3E991"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347,000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34545E9B"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359,000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23BE2EC3"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386,000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5214A922"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435,000 </w:t>
            </w:r>
          </w:p>
        </w:tc>
        <w:tc>
          <w:tcPr>
            <w:tcW w:w="0" w:type="auto"/>
            <w:tcBorders>
              <w:top w:val="nil"/>
              <w:left w:val="nil"/>
              <w:bottom w:val="nil"/>
              <w:right w:val="nil"/>
            </w:tcBorders>
            <w:shd w:val="clear" w:color="auto" w:fill="auto"/>
            <w:noWrap/>
            <w:vAlign w:val="bottom"/>
            <w:hideMark/>
          </w:tcPr>
          <w:p w:rsidRPr="005910E6" w:rsidR="005910E6" w:rsidP="005910E6" w:rsidRDefault="005910E6" w14:paraId="7DA96353"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499,000 </w:t>
            </w:r>
          </w:p>
        </w:tc>
        <w:tc>
          <w:tcPr>
            <w:tcW w:w="0" w:type="auto"/>
            <w:tcBorders>
              <w:top w:val="nil"/>
              <w:left w:val="nil"/>
              <w:bottom w:val="nil"/>
              <w:right w:val="single" w:color="auto" w:sz="8" w:space="0"/>
            </w:tcBorders>
            <w:shd w:val="clear" w:color="auto" w:fill="auto"/>
            <w:noWrap/>
            <w:vAlign w:val="bottom"/>
            <w:hideMark/>
          </w:tcPr>
          <w:p w:rsidRPr="005910E6" w:rsidR="005910E6" w:rsidP="005910E6" w:rsidRDefault="005910E6" w14:paraId="66546F85"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552,000 </w:t>
            </w:r>
          </w:p>
        </w:tc>
      </w:tr>
      <w:tr w:rsidRPr="005910E6" w:rsidR="005910E6" w:rsidTr="007B6EE5" w14:paraId="7238804C" w14:textId="77777777">
        <w:trPr>
          <w:trHeight w:val="294"/>
        </w:trPr>
        <w:tc>
          <w:tcPr>
            <w:tcW w:w="0" w:type="auto"/>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5910E6" w:rsidR="005910E6" w:rsidP="005910E6" w:rsidRDefault="005910E6" w14:paraId="5647F867"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Difference</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22117E7B"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   </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142E0037"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   </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43CAF50E"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(14,000)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5C27E0F7"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(20,000)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00EE5D7E"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(43,000)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5385649E"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(83,000)</w:t>
            </w:r>
          </w:p>
        </w:tc>
        <w:tc>
          <w:tcPr>
            <w:tcW w:w="0" w:type="auto"/>
            <w:tcBorders>
              <w:top w:val="single" w:color="auto" w:sz="8" w:space="0"/>
              <w:left w:val="nil"/>
              <w:bottom w:val="single" w:color="auto" w:sz="8" w:space="0"/>
              <w:right w:val="nil"/>
            </w:tcBorders>
            <w:shd w:val="clear" w:color="auto" w:fill="auto"/>
            <w:noWrap/>
            <w:vAlign w:val="bottom"/>
            <w:hideMark/>
          </w:tcPr>
          <w:p w:rsidRPr="005910E6" w:rsidR="005910E6" w:rsidP="005910E6" w:rsidRDefault="005910E6" w14:paraId="3F71E3EE"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(132,000)</w:t>
            </w:r>
          </w:p>
        </w:tc>
        <w:tc>
          <w:tcPr>
            <w:tcW w:w="0" w:type="auto"/>
            <w:tcBorders>
              <w:top w:val="single" w:color="auto" w:sz="8" w:space="0"/>
              <w:left w:val="nil"/>
              <w:bottom w:val="single" w:color="auto" w:sz="8" w:space="0"/>
              <w:right w:val="single" w:color="auto" w:sz="8" w:space="0"/>
            </w:tcBorders>
            <w:shd w:val="clear" w:color="auto" w:fill="auto"/>
            <w:noWrap/>
            <w:vAlign w:val="bottom"/>
            <w:hideMark/>
          </w:tcPr>
          <w:p w:rsidRPr="005910E6" w:rsidR="005910E6" w:rsidP="005910E6" w:rsidRDefault="005910E6" w14:paraId="0F42014C" w14:textId="77777777">
            <w:pPr>
              <w:spacing w:after="0" w:line="240" w:lineRule="auto"/>
              <w:rPr>
                <w:rFonts w:ascii="Calibri" w:hAnsi="Calibri" w:eastAsia="Times New Roman" w:cs="Calibri"/>
                <w:color w:val="000000"/>
                <w:kern w:val="0"/>
                <w:sz w:val="18"/>
                <w:szCs w:val="18"/>
                <w14:ligatures w14:val="none"/>
              </w:rPr>
            </w:pPr>
            <w:r w:rsidRPr="005910E6">
              <w:rPr>
                <w:rFonts w:ascii="Calibri" w:hAnsi="Calibri" w:eastAsia="Times New Roman" w:cs="Calibri"/>
                <w:color w:val="000000"/>
                <w:kern w:val="0"/>
                <w:sz w:val="18"/>
                <w:szCs w:val="18"/>
                <w14:ligatures w14:val="none"/>
              </w:rPr>
              <w:t xml:space="preserve">      (189,000)</w:t>
            </w:r>
          </w:p>
        </w:tc>
      </w:tr>
    </w:tbl>
    <w:p w:rsidRPr="005910E6" w:rsidR="005910E6" w:rsidP="005910E6" w:rsidRDefault="005910E6" w14:paraId="32E99F62" w14:textId="77777777">
      <w:pPr>
        <w:spacing w:after="0" w:line="240" w:lineRule="auto"/>
        <w:rPr>
          <w:rFonts w:ascii="Calibri" w:hAnsi="Calibri" w:eastAsia="Times New Roman" w:cs="Calibri"/>
          <w:color w:val="000000"/>
          <w:kern w:val="0"/>
          <w:sz w:val="22"/>
          <w:szCs w:val="22"/>
          <w14:ligatures w14:val="none"/>
        </w:rPr>
      </w:pPr>
    </w:p>
    <w:p w:rsidR="0060507F" w:rsidRDefault="0060507F" w14:paraId="6D8802A4" w14:textId="77777777"/>
    <w:sectPr w:rsidR="0060507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2348"/>
    <w:multiLevelType w:val="hybridMultilevel"/>
    <w:tmpl w:val="707C9E86"/>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227" w:hanging="360"/>
      </w:pPr>
      <w:rPr>
        <w:rFonts w:hint="default" w:ascii="Courier New" w:hAnsi="Courier New" w:cs="Courier New"/>
      </w:rPr>
    </w:lvl>
    <w:lvl w:ilvl="2" w:tplc="04090005" w:tentative="1">
      <w:start w:val="1"/>
      <w:numFmt w:val="bullet"/>
      <w:lvlText w:val=""/>
      <w:lvlJc w:val="left"/>
      <w:pPr>
        <w:ind w:left="1947" w:hanging="360"/>
      </w:pPr>
      <w:rPr>
        <w:rFonts w:hint="default" w:ascii="Wingdings" w:hAnsi="Wingdings"/>
      </w:rPr>
    </w:lvl>
    <w:lvl w:ilvl="3" w:tplc="04090001" w:tentative="1">
      <w:start w:val="1"/>
      <w:numFmt w:val="bullet"/>
      <w:lvlText w:val=""/>
      <w:lvlJc w:val="left"/>
      <w:pPr>
        <w:ind w:left="2667" w:hanging="360"/>
      </w:pPr>
      <w:rPr>
        <w:rFonts w:hint="default" w:ascii="Symbol" w:hAnsi="Symbol"/>
      </w:rPr>
    </w:lvl>
    <w:lvl w:ilvl="4" w:tplc="04090003" w:tentative="1">
      <w:start w:val="1"/>
      <w:numFmt w:val="bullet"/>
      <w:lvlText w:val="o"/>
      <w:lvlJc w:val="left"/>
      <w:pPr>
        <w:ind w:left="3387" w:hanging="360"/>
      </w:pPr>
      <w:rPr>
        <w:rFonts w:hint="default" w:ascii="Courier New" w:hAnsi="Courier New" w:cs="Courier New"/>
      </w:rPr>
    </w:lvl>
    <w:lvl w:ilvl="5" w:tplc="04090005" w:tentative="1">
      <w:start w:val="1"/>
      <w:numFmt w:val="bullet"/>
      <w:lvlText w:val=""/>
      <w:lvlJc w:val="left"/>
      <w:pPr>
        <w:ind w:left="4107" w:hanging="360"/>
      </w:pPr>
      <w:rPr>
        <w:rFonts w:hint="default" w:ascii="Wingdings" w:hAnsi="Wingdings"/>
      </w:rPr>
    </w:lvl>
    <w:lvl w:ilvl="6" w:tplc="04090001" w:tentative="1">
      <w:start w:val="1"/>
      <w:numFmt w:val="bullet"/>
      <w:lvlText w:val=""/>
      <w:lvlJc w:val="left"/>
      <w:pPr>
        <w:ind w:left="4827" w:hanging="360"/>
      </w:pPr>
      <w:rPr>
        <w:rFonts w:hint="default" w:ascii="Symbol" w:hAnsi="Symbol"/>
      </w:rPr>
    </w:lvl>
    <w:lvl w:ilvl="7" w:tplc="04090003" w:tentative="1">
      <w:start w:val="1"/>
      <w:numFmt w:val="bullet"/>
      <w:lvlText w:val="o"/>
      <w:lvlJc w:val="left"/>
      <w:pPr>
        <w:ind w:left="5547" w:hanging="360"/>
      </w:pPr>
      <w:rPr>
        <w:rFonts w:hint="default" w:ascii="Courier New" w:hAnsi="Courier New" w:cs="Courier New"/>
      </w:rPr>
    </w:lvl>
    <w:lvl w:ilvl="8" w:tplc="04090005" w:tentative="1">
      <w:start w:val="1"/>
      <w:numFmt w:val="bullet"/>
      <w:lvlText w:val=""/>
      <w:lvlJc w:val="left"/>
      <w:pPr>
        <w:ind w:left="6267" w:hanging="360"/>
      </w:pPr>
      <w:rPr>
        <w:rFonts w:hint="default" w:ascii="Wingdings" w:hAnsi="Wingdings"/>
      </w:rPr>
    </w:lvl>
  </w:abstractNum>
  <w:abstractNum w:abstractNumId="1" w15:restartNumberingAfterBreak="0">
    <w:nsid w:val="057055D5"/>
    <w:multiLevelType w:val="hybridMultilevel"/>
    <w:tmpl w:val="15723A96"/>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922CC1"/>
    <w:multiLevelType w:val="hybridMultilevel"/>
    <w:tmpl w:val="36969384"/>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044E7A"/>
    <w:multiLevelType w:val="hybridMultilevel"/>
    <w:tmpl w:val="82A6AED2"/>
    <w:lvl w:ilvl="0" w:tplc="95681D9E">
      <w:start w:val="1"/>
      <w:numFmt w:val="lowerRoman"/>
      <w:lvlText w:val="(%1)"/>
      <w:lvlJc w:val="left"/>
      <w:pPr>
        <w:ind w:left="867" w:hanging="720"/>
      </w:pPr>
      <w:rPr>
        <w:rFonts w:hint="default"/>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4" w15:restartNumberingAfterBreak="0">
    <w:nsid w:val="13C64205"/>
    <w:multiLevelType w:val="hybridMultilevel"/>
    <w:tmpl w:val="15CA5244"/>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38B15ED"/>
    <w:multiLevelType w:val="hybridMultilevel"/>
    <w:tmpl w:val="BD70166A"/>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82759E"/>
    <w:multiLevelType w:val="hybridMultilevel"/>
    <w:tmpl w:val="E6D876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EC811DE"/>
    <w:multiLevelType w:val="hybridMultilevel"/>
    <w:tmpl w:val="511E6CCC"/>
    <w:lvl w:ilvl="0" w:tplc="5CC6B0BA">
      <w:numFmt w:val="bullet"/>
      <w:lvlText w:val="-"/>
      <w:lvlJc w:val="left"/>
      <w:pPr>
        <w:ind w:left="507"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15056199">
    <w:abstractNumId w:val="6"/>
  </w:num>
  <w:num w:numId="2" w16cid:durableId="571083633">
    <w:abstractNumId w:val="0"/>
  </w:num>
  <w:num w:numId="3" w16cid:durableId="174807049">
    <w:abstractNumId w:val="4"/>
  </w:num>
  <w:num w:numId="4" w16cid:durableId="1529176101">
    <w:abstractNumId w:val="5"/>
  </w:num>
  <w:num w:numId="5" w16cid:durableId="49883235">
    <w:abstractNumId w:val="2"/>
  </w:num>
  <w:num w:numId="6" w16cid:durableId="1961645228">
    <w:abstractNumId w:val="1"/>
  </w:num>
  <w:num w:numId="7" w16cid:durableId="1553346741">
    <w:abstractNumId w:val="3"/>
  </w:num>
  <w:num w:numId="8" w16cid:durableId="17756646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07F"/>
    <w:rsid w:val="001C5F19"/>
    <w:rsid w:val="00292180"/>
    <w:rsid w:val="003C351F"/>
    <w:rsid w:val="004227CD"/>
    <w:rsid w:val="005910E6"/>
    <w:rsid w:val="005924E0"/>
    <w:rsid w:val="0060507F"/>
    <w:rsid w:val="00725F55"/>
    <w:rsid w:val="007B6EE5"/>
    <w:rsid w:val="009E288A"/>
    <w:rsid w:val="00A207E7"/>
    <w:rsid w:val="00E40412"/>
    <w:rsid w:val="00E80606"/>
    <w:rsid w:val="00F85849"/>
    <w:rsid w:val="253B382F"/>
    <w:rsid w:val="45C8FAAD"/>
    <w:rsid w:val="467FA595"/>
    <w:rsid w:val="63DF8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057B"/>
  <w15:chartTrackingRefBased/>
  <w15:docId w15:val="{6CD2C21C-270F-41FC-92AE-FAAE53B0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60507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507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50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50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50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50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50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50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507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0507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60507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60507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60507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60507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60507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60507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60507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60507F"/>
    <w:rPr>
      <w:rFonts w:eastAsiaTheme="majorEastAsia" w:cstheme="majorBidi"/>
      <w:color w:val="272727" w:themeColor="text1" w:themeTint="D8"/>
    </w:rPr>
  </w:style>
  <w:style w:type="paragraph" w:styleId="Title">
    <w:name w:val="Title"/>
    <w:basedOn w:val="Normal"/>
    <w:next w:val="Normal"/>
    <w:link w:val="TitleChar"/>
    <w:uiPriority w:val="10"/>
    <w:qFormat/>
    <w:rsid w:val="0060507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0507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60507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6050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507F"/>
    <w:pPr>
      <w:spacing w:before="160"/>
      <w:jc w:val="center"/>
    </w:pPr>
    <w:rPr>
      <w:i/>
      <w:iCs/>
      <w:color w:val="404040" w:themeColor="text1" w:themeTint="BF"/>
    </w:rPr>
  </w:style>
  <w:style w:type="character" w:styleId="QuoteChar" w:customStyle="1">
    <w:name w:val="Quote Char"/>
    <w:basedOn w:val="DefaultParagraphFont"/>
    <w:link w:val="Quote"/>
    <w:uiPriority w:val="29"/>
    <w:rsid w:val="0060507F"/>
    <w:rPr>
      <w:i/>
      <w:iCs/>
      <w:color w:val="404040" w:themeColor="text1" w:themeTint="BF"/>
    </w:rPr>
  </w:style>
  <w:style w:type="paragraph" w:styleId="ListParagraph">
    <w:name w:val="List Paragraph"/>
    <w:basedOn w:val="Normal"/>
    <w:uiPriority w:val="34"/>
    <w:qFormat/>
    <w:rsid w:val="0060507F"/>
    <w:pPr>
      <w:ind w:left="720"/>
      <w:contextualSpacing/>
    </w:pPr>
  </w:style>
  <w:style w:type="character" w:styleId="IntenseEmphasis">
    <w:name w:val="Intense Emphasis"/>
    <w:basedOn w:val="DefaultParagraphFont"/>
    <w:uiPriority w:val="21"/>
    <w:qFormat/>
    <w:rsid w:val="0060507F"/>
    <w:rPr>
      <w:i/>
      <w:iCs/>
      <w:color w:val="0F4761" w:themeColor="accent1" w:themeShade="BF"/>
    </w:rPr>
  </w:style>
  <w:style w:type="paragraph" w:styleId="IntenseQuote">
    <w:name w:val="Intense Quote"/>
    <w:basedOn w:val="Normal"/>
    <w:next w:val="Normal"/>
    <w:link w:val="IntenseQuoteChar"/>
    <w:uiPriority w:val="30"/>
    <w:qFormat/>
    <w:rsid w:val="0060507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60507F"/>
    <w:rPr>
      <w:i/>
      <w:iCs/>
      <w:color w:val="0F4761" w:themeColor="accent1" w:themeShade="BF"/>
    </w:rPr>
  </w:style>
  <w:style w:type="character" w:styleId="IntenseReference">
    <w:name w:val="Intense Reference"/>
    <w:basedOn w:val="DefaultParagraphFont"/>
    <w:uiPriority w:val="32"/>
    <w:qFormat/>
    <w:rsid w:val="006050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5482">
      <w:bodyDiv w:val="1"/>
      <w:marLeft w:val="0"/>
      <w:marRight w:val="0"/>
      <w:marTop w:val="0"/>
      <w:marBottom w:val="0"/>
      <w:divBdr>
        <w:top w:val="none" w:sz="0" w:space="0" w:color="auto"/>
        <w:left w:val="none" w:sz="0" w:space="0" w:color="auto"/>
        <w:bottom w:val="none" w:sz="0" w:space="0" w:color="auto"/>
        <w:right w:val="none" w:sz="0" w:space="0" w:color="auto"/>
      </w:divBdr>
    </w:div>
    <w:div w:id="67313527">
      <w:bodyDiv w:val="1"/>
      <w:marLeft w:val="0"/>
      <w:marRight w:val="0"/>
      <w:marTop w:val="0"/>
      <w:marBottom w:val="0"/>
      <w:divBdr>
        <w:top w:val="none" w:sz="0" w:space="0" w:color="auto"/>
        <w:left w:val="none" w:sz="0" w:space="0" w:color="auto"/>
        <w:bottom w:val="none" w:sz="0" w:space="0" w:color="auto"/>
        <w:right w:val="none" w:sz="0" w:space="0" w:color="auto"/>
      </w:divBdr>
    </w:div>
    <w:div w:id="105732584">
      <w:bodyDiv w:val="1"/>
      <w:marLeft w:val="0"/>
      <w:marRight w:val="0"/>
      <w:marTop w:val="0"/>
      <w:marBottom w:val="0"/>
      <w:divBdr>
        <w:top w:val="none" w:sz="0" w:space="0" w:color="auto"/>
        <w:left w:val="none" w:sz="0" w:space="0" w:color="auto"/>
        <w:bottom w:val="none" w:sz="0" w:space="0" w:color="auto"/>
        <w:right w:val="none" w:sz="0" w:space="0" w:color="auto"/>
      </w:divBdr>
    </w:div>
    <w:div w:id="140312595">
      <w:bodyDiv w:val="1"/>
      <w:marLeft w:val="0"/>
      <w:marRight w:val="0"/>
      <w:marTop w:val="0"/>
      <w:marBottom w:val="0"/>
      <w:divBdr>
        <w:top w:val="none" w:sz="0" w:space="0" w:color="auto"/>
        <w:left w:val="none" w:sz="0" w:space="0" w:color="auto"/>
        <w:bottom w:val="none" w:sz="0" w:space="0" w:color="auto"/>
        <w:right w:val="none" w:sz="0" w:space="0" w:color="auto"/>
      </w:divBdr>
    </w:div>
    <w:div w:id="167142066">
      <w:bodyDiv w:val="1"/>
      <w:marLeft w:val="0"/>
      <w:marRight w:val="0"/>
      <w:marTop w:val="0"/>
      <w:marBottom w:val="0"/>
      <w:divBdr>
        <w:top w:val="none" w:sz="0" w:space="0" w:color="auto"/>
        <w:left w:val="none" w:sz="0" w:space="0" w:color="auto"/>
        <w:bottom w:val="none" w:sz="0" w:space="0" w:color="auto"/>
        <w:right w:val="none" w:sz="0" w:space="0" w:color="auto"/>
      </w:divBdr>
    </w:div>
    <w:div w:id="218517287">
      <w:bodyDiv w:val="1"/>
      <w:marLeft w:val="0"/>
      <w:marRight w:val="0"/>
      <w:marTop w:val="0"/>
      <w:marBottom w:val="0"/>
      <w:divBdr>
        <w:top w:val="none" w:sz="0" w:space="0" w:color="auto"/>
        <w:left w:val="none" w:sz="0" w:space="0" w:color="auto"/>
        <w:bottom w:val="none" w:sz="0" w:space="0" w:color="auto"/>
        <w:right w:val="none" w:sz="0" w:space="0" w:color="auto"/>
      </w:divBdr>
    </w:div>
    <w:div w:id="250819027">
      <w:bodyDiv w:val="1"/>
      <w:marLeft w:val="0"/>
      <w:marRight w:val="0"/>
      <w:marTop w:val="0"/>
      <w:marBottom w:val="0"/>
      <w:divBdr>
        <w:top w:val="none" w:sz="0" w:space="0" w:color="auto"/>
        <w:left w:val="none" w:sz="0" w:space="0" w:color="auto"/>
        <w:bottom w:val="none" w:sz="0" w:space="0" w:color="auto"/>
        <w:right w:val="none" w:sz="0" w:space="0" w:color="auto"/>
      </w:divBdr>
    </w:div>
    <w:div w:id="250819048">
      <w:bodyDiv w:val="1"/>
      <w:marLeft w:val="0"/>
      <w:marRight w:val="0"/>
      <w:marTop w:val="0"/>
      <w:marBottom w:val="0"/>
      <w:divBdr>
        <w:top w:val="none" w:sz="0" w:space="0" w:color="auto"/>
        <w:left w:val="none" w:sz="0" w:space="0" w:color="auto"/>
        <w:bottom w:val="none" w:sz="0" w:space="0" w:color="auto"/>
        <w:right w:val="none" w:sz="0" w:space="0" w:color="auto"/>
      </w:divBdr>
    </w:div>
    <w:div w:id="318732794">
      <w:bodyDiv w:val="1"/>
      <w:marLeft w:val="0"/>
      <w:marRight w:val="0"/>
      <w:marTop w:val="0"/>
      <w:marBottom w:val="0"/>
      <w:divBdr>
        <w:top w:val="none" w:sz="0" w:space="0" w:color="auto"/>
        <w:left w:val="none" w:sz="0" w:space="0" w:color="auto"/>
        <w:bottom w:val="none" w:sz="0" w:space="0" w:color="auto"/>
        <w:right w:val="none" w:sz="0" w:space="0" w:color="auto"/>
      </w:divBdr>
    </w:div>
    <w:div w:id="322665237">
      <w:bodyDiv w:val="1"/>
      <w:marLeft w:val="0"/>
      <w:marRight w:val="0"/>
      <w:marTop w:val="0"/>
      <w:marBottom w:val="0"/>
      <w:divBdr>
        <w:top w:val="none" w:sz="0" w:space="0" w:color="auto"/>
        <w:left w:val="none" w:sz="0" w:space="0" w:color="auto"/>
        <w:bottom w:val="none" w:sz="0" w:space="0" w:color="auto"/>
        <w:right w:val="none" w:sz="0" w:space="0" w:color="auto"/>
      </w:divBdr>
    </w:div>
    <w:div w:id="326515478">
      <w:bodyDiv w:val="1"/>
      <w:marLeft w:val="0"/>
      <w:marRight w:val="0"/>
      <w:marTop w:val="0"/>
      <w:marBottom w:val="0"/>
      <w:divBdr>
        <w:top w:val="none" w:sz="0" w:space="0" w:color="auto"/>
        <w:left w:val="none" w:sz="0" w:space="0" w:color="auto"/>
        <w:bottom w:val="none" w:sz="0" w:space="0" w:color="auto"/>
        <w:right w:val="none" w:sz="0" w:space="0" w:color="auto"/>
      </w:divBdr>
    </w:div>
    <w:div w:id="406806639">
      <w:bodyDiv w:val="1"/>
      <w:marLeft w:val="0"/>
      <w:marRight w:val="0"/>
      <w:marTop w:val="0"/>
      <w:marBottom w:val="0"/>
      <w:divBdr>
        <w:top w:val="none" w:sz="0" w:space="0" w:color="auto"/>
        <w:left w:val="none" w:sz="0" w:space="0" w:color="auto"/>
        <w:bottom w:val="none" w:sz="0" w:space="0" w:color="auto"/>
        <w:right w:val="none" w:sz="0" w:space="0" w:color="auto"/>
      </w:divBdr>
    </w:div>
    <w:div w:id="409281058">
      <w:bodyDiv w:val="1"/>
      <w:marLeft w:val="0"/>
      <w:marRight w:val="0"/>
      <w:marTop w:val="0"/>
      <w:marBottom w:val="0"/>
      <w:divBdr>
        <w:top w:val="none" w:sz="0" w:space="0" w:color="auto"/>
        <w:left w:val="none" w:sz="0" w:space="0" w:color="auto"/>
        <w:bottom w:val="none" w:sz="0" w:space="0" w:color="auto"/>
        <w:right w:val="none" w:sz="0" w:space="0" w:color="auto"/>
      </w:divBdr>
    </w:div>
    <w:div w:id="464391722">
      <w:bodyDiv w:val="1"/>
      <w:marLeft w:val="0"/>
      <w:marRight w:val="0"/>
      <w:marTop w:val="0"/>
      <w:marBottom w:val="0"/>
      <w:divBdr>
        <w:top w:val="none" w:sz="0" w:space="0" w:color="auto"/>
        <w:left w:val="none" w:sz="0" w:space="0" w:color="auto"/>
        <w:bottom w:val="none" w:sz="0" w:space="0" w:color="auto"/>
        <w:right w:val="none" w:sz="0" w:space="0" w:color="auto"/>
      </w:divBdr>
    </w:div>
    <w:div w:id="464394279">
      <w:bodyDiv w:val="1"/>
      <w:marLeft w:val="0"/>
      <w:marRight w:val="0"/>
      <w:marTop w:val="0"/>
      <w:marBottom w:val="0"/>
      <w:divBdr>
        <w:top w:val="none" w:sz="0" w:space="0" w:color="auto"/>
        <w:left w:val="none" w:sz="0" w:space="0" w:color="auto"/>
        <w:bottom w:val="none" w:sz="0" w:space="0" w:color="auto"/>
        <w:right w:val="none" w:sz="0" w:space="0" w:color="auto"/>
      </w:divBdr>
    </w:div>
    <w:div w:id="494688429">
      <w:bodyDiv w:val="1"/>
      <w:marLeft w:val="0"/>
      <w:marRight w:val="0"/>
      <w:marTop w:val="0"/>
      <w:marBottom w:val="0"/>
      <w:divBdr>
        <w:top w:val="none" w:sz="0" w:space="0" w:color="auto"/>
        <w:left w:val="none" w:sz="0" w:space="0" w:color="auto"/>
        <w:bottom w:val="none" w:sz="0" w:space="0" w:color="auto"/>
        <w:right w:val="none" w:sz="0" w:space="0" w:color="auto"/>
      </w:divBdr>
    </w:div>
    <w:div w:id="537620681">
      <w:bodyDiv w:val="1"/>
      <w:marLeft w:val="0"/>
      <w:marRight w:val="0"/>
      <w:marTop w:val="0"/>
      <w:marBottom w:val="0"/>
      <w:divBdr>
        <w:top w:val="none" w:sz="0" w:space="0" w:color="auto"/>
        <w:left w:val="none" w:sz="0" w:space="0" w:color="auto"/>
        <w:bottom w:val="none" w:sz="0" w:space="0" w:color="auto"/>
        <w:right w:val="none" w:sz="0" w:space="0" w:color="auto"/>
      </w:divBdr>
    </w:div>
    <w:div w:id="631787516">
      <w:bodyDiv w:val="1"/>
      <w:marLeft w:val="0"/>
      <w:marRight w:val="0"/>
      <w:marTop w:val="0"/>
      <w:marBottom w:val="0"/>
      <w:divBdr>
        <w:top w:val="none" w:sz="0" w:space="0" w:color="auto"/>
        <w:left w:val="none" w:sz="0" w:space="0" w:color="auto"/>
        <w:bottom w:val="none" w:sz="0" w:space="0" w:color="auto"/>
        <w:right w:val="none" w:sz="0" w:space="0" w:color="auto"/>
      </w:divBdr>
    </w:div>
    <w:div w:id="664823945">
      <w:bodyDiv w:val="1"/>
      <w:marLeft w:val="0"/>
      <w:marRight w:val="0"/>
      <w:marTop w:val="0"/>
      <w:marBottom w:val="0"/>
      <w:divBdr>
        <w:top w:val="none" w:sz="0" w:space="0" w:color="auto"/>
        <w:left w:val="none" w:sz="0" w:space="0" w:color="auto"/>
        <w:bottom w:val="none" w:sz="0" w:space="0" w:color="auto"/>
        <w:right w:val="none" w:sz="0" w:space="0" w:color="auto"/>
      </w:divBdr>
    </w:div>
    <w:div w:id="668410072">
      <w:bodyDiv w:val="1"/>
      <w:marLeft w:val="0"/>
      <w:marRight w:val="0"/>
      <w:marTop w:val="0"/>
      <w:marBottom w:val="0"/>
      <w:divBdr>
        <w:top w:val="none" w:sz="0" w:space="0" w:color="auto"/>
        <w:left w:val="none" w:sz="0" w:space="0" w:color="auto"/>
        <w:bottom w:val="none" w:sz="0" w:space="0" w:color="auto"/>
        <w:right w:val="none" w:sz="0" w:space="0" w:color="auto"/>
      </w:divBdr>
    </w:div>
    <w:div w:id="668945588">
      <w:bodyDiv w:val="1"/>
      <w:marLeft w:val="0"/>
      <w:marRight w:val="0"/>
      <w:marTop w:val="0"/>
      <w:marBottom w:val="0"/>
      <w:divBdr>
        <w:top w:val="none" w:sz="0" w:space="0" w:color="auto"/>
        <w:left w:val="none" w:sz="0" w:space="0" w:color="auto"/>
        <w:bottom w:val="none" w:sz="0" w:space="0" w:color="auto"/>
        <w:right w:val="none" w:sz="0" w:space="0" w:color="auto"/>
      </w:divBdr>
    </w:div>
    <w:div w:id="708380502">
      <w:bodyDiv w:val="1"/>
      <w:marLeft w:val="0"/>
      <w:marRight w:val="0"/>
      <w:marTop w:val="0"/>
      <w:marBottom w:val="0"/>
      <w:divBdr>
        <w:top w:val="none" w:sz="0" w:space="0" w:color="auto"/>
        <w:left w:val="none" w:sz="0" w:space="0" w:color="auto"/>
        <w:bottom w:val="none" w:sz="0" w:space="0" w:color="auto"/>
        <w:right w:val="none" w:sz="0" w:space="0" w:color="auto"/>
      </w:divBdr>
    </w:div>
    <w:div w:id="712343482">
      <w:bodyDiv w:val="1"/>
      <w:marLeft w:val="0"/>
      <w:marRight w:val="0"/>
      <w:marTop w:val="0"/>
      <w:marBottom w:val="0"/>
      <w:divBdr>
        <w:top w:val="none" w:sz="0" w:space="0" w:color="auto"/>
        <w:left w:val="none" w:sz="0" w:space="0" w:color="auto"/>
        <w:bottom w:val="none" w:sz="0" w:space="0" w:color="auto"/>
        <w:right w:val="none" w:sz="0" w:space="0" w:color="auto"/>
      </w:divBdr>
    </w:div>
    <w:div w:id="773136107">
      <w:bodyDiv w:val="1"/>
      <w:marLeft w:val="0"/>
      <w:marRight w:val="0"/>
      <w:marTop w:val="0"/>
      <w:marBottom w:val="0"/>
      <w:divBdr>
        <w:top w:val="none" w:sz="0" w:space="0" w:color="auto"/>
        <w:left w:val="none" w:sz="0" w:space="0" w:color="auto"/>
        <w:bottom w:val="none" w:sz="0" w:space="0" w:color="auto"/>
        <w:right w:val="none" w:sz="0" w:space="0" w:color="auto"/>
      </w:divBdr>
    </w:div>
    <w:div w:id="776754854">
      <w:bodyDiv w:val="1"/>
      <w:marLeft w:val="0"/>
      <w:marRight w:val="0"/>
      <w:marTop w:val="0"/>
      <w:marBottom w:val="0"/>
      <w:divBdr>
        <w:top w:val="none" w:sz="0" w:space="0" w:color="auto"/>
        <w:left w:val="none" w:sz="0" w:space="0" w:color="auto"/>
        <w:bottom w:val="none" w:sz="0" w:space="0" w:color="auto"/>
        <w:right w:val="none" w:sz="0" w:space="0" w:color="auto"/>
      </w:divBdr>
    </w:div>
    <w:div w:id="871113568">
      <w:bodyDiv w:val="1"/>
      <w:marLeft w:val="0"/>
      <w:marRight w:val="0"/>
      <w:marTop w:val="0"/>
      <w:marBottom w:val="0"/>
      <w:divBdr>
        <w:top w:val="none" w:sz="0" w:space="0" w:color="auto"/>
        <w:left w:val="none" w:sz="0" w:space="0" w:color="auto"/>
        <w:bottom w:val="none" w:sz="0" w:space="0" w:color="auto"/>
        <w:right w:val="none" w:sz="0" w:space="0" w:color="auto"/>
      </w:divBdr>
    </w:div>
    <w:div w:id="881016009">
      <w:bodyDiv w:val="1"/>
      <w:marLeft w:val="0"/>
      <w:marRight w:val="0"/>
      <w:marTop w:val="0"/>
      <w:marBottom w:val="0"/>
      <w:divBdr>
        <w:top w:val="none" w:sz="0" w:space="0" w:color="auto"/>
        <w:left w:val="none" w:sz="0" w:space="0" w:color="auto"/>
        <w:bottom w:val="none" w:sz="0" w:space="0" w:color="auto"/>
        <w:right w:val="none" w:sz="0" w:space="0" w:color="auto"/>
      </w:divBdr>
    </w:div>
    <w:div w:id="888612262">
      <w:bodyDiv w:val="1"/>
      <w:marLeft w:val="0"/>
      <w:marRight w:val="0"/>
      <w:marTop w:val="0"/>
      <w:marBottom w:val="0"/>
      <w:divBdr>
        <w:top w:val="none" w:sz="0" w:space="0" w:color="auto"/>
        <w:left w:val="none" w:sz="0" w:space="0" w:color="auto"/>
        <w:bottom w:val="none" w:sz="0" w:space="0" w:color="auto"/>
        <w:right w:val="none" w:sz="0" w:space="0" w:color="auto"/>
      </w:divBdr>
    </w:div>
    <w:div w:id="895972482">
      <w:bodyDiv w:val="1"/>
      <w:marLeft w:val="0"/>
      <w:marRight w:val="0"/>
      <w:marTop w:val="0"/>
      <w:marBottom w:val="0"/>
      <w:divBdr>
        <w:top w:val="none" w:sz="0" w:space="0" w:color="auto"/>
        <w:left w:val="none" w:sz="0" w:space="0" w:color="auto"/>
        <w:bottom w:val="none" w:sz="0" w:space="0" w:color="auto"/>
        <w:right w:val="none" w:sz="0" w:space="0" w:color="auto"/>
      </w:divBdr>
    </w:div>
    <w:div w:id="912621545">
      <w:bodyDiv w:val="1"/>
      <w:marLeft w:val="0"/>
      <w:marRight w:val="0"/>
      <w:marTop w:val="0"/>
      <w:marBottom w:val="0"/>
      <w:divBdr>
        <w:top w:val="none" w:sz="0" w:space="0" w:color="auto"/>
        <w:left w:val="none" w:sz="0" w:space="0" w:color="auto"/>
        <w:bottom w:val="none" w:sz="0" w:space="0" w:color="auto"/>
        <w:right w:val="none" w:sz="0" w:space="0" w:color="auto"/>
      </w:divBdr>
    </w:div>
    <w:div w:id="933517581">
      <w:bodyDiv w:val="1"/>
      <w:marLeft w:val="0"/>
      <w:marRight w:val="0"/>
      <w:marTop w:val="0"/>
      <w:marBottom w:val="0"/>
      <w:divBdr>
        <w:top w:val="none" w:sz="0" w:space="0" w:color="auto"/>
        <w:left w:val="none" w:sz="0" w:space="0" w:color="auto"/>
        <w:bottom w:val="none" w:sz="0" w:space="0" w:color="auto"/>
        <w:right w:val="none" w:sz="0" w:space="0" w:color="auto"/>
      </w:divBdr>
    </w:div>
    <w:div w:id="963340987">
      <w:bodyDiv w:val="1"/>
      <w:marLeft w:val="0"/>
      <w:marRight w:val="0"/>
      <w:marTop w:val="0"/>
      <w:marBottom w:val="0"/>
      <w:divBdr>
        <w:top w:val="none" w:sz="0" w:space="0" w:color="auto"/>
        <w:left w:val="none" w:sz="0" w:space="0" w:color="auto"/>
        <w:bottom w:val="none" w:sz="0" w:space="0" w:color="auto"/>
        <w:right w:val="none" w:sz="0" w:space="0" w:color="auto"/>
      </w:divBdr>
    </w:div>
    <w:div w:id="963971822">
      <w:bodyDiv w:val="1"/>
      <w:marLeft w:val="0"/>
      <w:marRight w:val="0"/>
      <w:marTop w:val="0"/>
      <w:marBottom w:val="0"/>
      <w:divBdr>
        <w:top w:val="none" w:sz="0" w:space="0" w:color="auto"/>
        <w:left w:val="none" w:sz="0" w:space="0" w:color="auto"/>
        <w:bottom w:val="none" w:sz="0" w:space="0" w:color="auto"/>
        <w:right w:val="none" w:sz="0" w:space="0" w:color="auto"/>
      </w:divBdr>
    </w:div>
    <w:div w:id="971135348">
      <w:bodyDiv w:val="1"/>
      <w:marLeft w:val="0"/>
      <w:marRight w:val="0"/>
      <w:marTop w:val="0"/>
      <w:marBottom w:val="0"/>
      <w:divBdr>
        <w:top w:val="none" w:sz="0" w:space="0" w:color="auto"/>
        <w:left w:val="none" w:sz="0" w:space="0" w:color="auto"/>
        <w:bottom w:val="none" w:sz="0" w:space="0" w:color="auto"/>
        <w:right w:val="none" w:sz="0" w:space="0" w:color="auto"/>
      </w:divBdr>
    </w:div>
    <w:div w:id="1018851421">
      <w:bodyDiv w:val="1"/>
      <w:marLeft w:val="0"/>
      <w:marRight w:val="0"/>
      <w:marTop w:val="0"/>
      <w:marBottom w:val="0"/>
      <w:divBdr>
        <w:top w:val="none" w:sz="0" w:space="0" w:color="auto"/>
        <w:left w:val="none" w:sz="0" w:space="0" w:color="auto"/>
        <w:bottom w:val="none" w:sz="0" w:space="0" w:color="auto"/>
        <w:right w:val="none" w:sz="0" w:space="0" w:color="auto"/>
      </w:divBdr>
    </w:div>
    <w:div w:id="1040517668">
      <w:bodyDiv w:val="1"/>
      <w:marLeft w:val="0"/>
      <w:marRight w:val="0"/>
      <w:marTop w:val="0"/>
      <w:marBottom w:val="0"/>
      <w:divBdr>
        <w:top w:val="none" w:sz="0" w:space="0" w:color="auto"/>
        <w:left w:val="none" w:sz="0" w:space="0" w:color="auto"/>
        <w:bottom w:val="none" w:sz="0" w:space="0" w:color="auto"/>
        <w:right w:val="none" w:sz="0" w:space="0" w:color="auto"/>
      </w:divBdr>
    </w:div>
    <w:div w:id="1059552345">
      <w:bodyDiv w:val="1"/>
      <w:marLeft w:val="0"/>
      <w:marRight w:val="0"/>
      <w:marTop w:val="0"/>
      <w:marBottom w:val="0"/>
      <w:divBdr>
        <w:top w:val="none" w:sz="0" w:space="0" w:color="auto"/>
        <w:left w:val="none" w:sz="0" w:space="0" w:color="auto"/>
        <w:bottom w:val="none" w:sz="0" w:space="0" w:color="auto"/>
        <w:right w:val="none" w:sz="0" w:space="0" w:color="auto"/>
      </w:divBdr>
    </w:div>
    <w:div w:id="1059942091">
      <w:bodyDiv w:val="1"/>
      <w:marLeft w:val="0"/>
      <w:marRight w:val="0"/>
      <w:marTop w:val="0"/>
      <w:marBottom w:val="0"/>
      <w:divBdr>
        <w:top w:val="none" w:sz="0" w:space="0" w:color="auto"/>
        <w:left w:val="none" w:sz="0" w:space="0" w:color="auto"/>
        <w:bottom w:val="none" w:sz="0" w:space="0" w:color="auto"/>
        <w:right w:val="none" w:sz="0" w:space="0" w:color="auto"/>
      </w:divBdr>
    </w:div>
    <w:div w:id="1078401838">
      <w:bodyDiv w:val="1"/>
      <w:marLeft w:val="0"/>
      <w:marRight w:val="0"/>
      <w:marTop w:val="0"/>
      <w:marBottom w:val="0"/>
      <w:divBdr>
        <w:top w:val="none" w:sz="0" w:space="0" w:color="auto"/>
        <w:left w:val="none" w:sz="0" w:space="0" w:color="auto"/>
        <w:bottom w:val="none" w:sz="0" w:space="0" w:color="auto"/>
        <w:right w:val="none" w:sz="0" w:space="0" w:color="auto"/>
      </w:divBdr>
    </w:div>
    <w:div w:id="1127090931">
      <w:bodyDiv w:val="1"/>
      <w:marLeft w:val="0"/>
      <w:marRight w:val="0"/>
      <w:marTop w:val="0"/>
      <w:marBottom w:val="0"/>
      <w:divBdr>
        <w:top w:val="none" w:sz="0" w:space="0" w:color="auto"/>
        <w:left w:val="none" w:sz="0" w:space="0" w:color="auto"/>
        <w:bottom w:val="none" w:sz="0" w:space="0" w:color="auto"/>
        <w:right w:val="none" w:sz="0" w:space="0" w:color="auto"/>
      </w:divBdr>
    </w:div>
    <w:div w:id="1138304646">
      <w:bodyDiv w:val="1"/>
      <w:marLeft w:val="0"/>
      <w:marRight w:val="0"/>
      <w:marTop w:val="0"/>
      <w:marBottom w:val="0"/>
      <w:divBdr>
        <w:top w:val="none" w:sz="0" w:space="0" w:color="auto"/>
        <w:left w:val="none" w:sz="0" w:space="0" w:color="auto"/>
        <w:bottom w:val="none" w:sz="0" w:space="0" w:color="auto"/>
        <w:right w:val="none" w:sz="0" w:space="0" w:color="auto"/>
      </w:divBdr>
    </w:div>
    <w:div w:id="1141575122">
      <w:bodyDiv w:val="1"/>
      <w:marLeft w:val="0"/>
      <w:marRight w:val="0"/>
      <w:marTop w:val="0"/>
      <w:marBottom w:val="0"/>
      <w:divBdr>
        <w:top w:val="none" w:sz="0" w:space="0" w:color="auto"/>
        <w:left w:val="none" w:sz="0" w:space="0" w:color="auto"/>
        <w:bottom w:val="none" w:sz="0" w:space="0" w:color="auto"/>
        <w:right w:val="none" w:sz="0" w:space="0" w:color="auto"/>
      </w:divBdr>
    </w:div>
    <w:div w:id="1142893883">
      <w:bodyDiv w:val="1"/>
      <w:marLeft w:val="0"/>
      <w:marRight w:val="0"/>
      <w:marTop w:val="0"/>
      <w:marBottom w:val="0"/>
      <w:divBdr>
        <w:top w:val="none" w:sz="0" w:space="0" w:color="auto"/>
        <w:left w:val="none" w:sz="0" w:space="0" w:color="auto"/>
        <w:bottom w:val="none" w:sz="0" w:space="0" w:color="auto"/>
        <w:right w:val="none" w:sz="0" w:space="0" w:color="auto"/>
      </w:divBdr>
    </w:div>
    <w:div w:id="1143502472">
      <w:bodyDiv w:val="1"/>
      <w:marLeft w:val="0"/>
      <w:marRight w:val="0"/>
      <w:marTop w:val="0"/>
      <w:marBottom w:val="0"/>
      <w:divBdr>
        <w:top w:val="none" w:sz="0" w:space="0" w:color="auto"/>
        <w:left w:val="none" w:sz="0" w:space="0" w:color="auto"/>
        <w:bottom w:val="none" w:sz="0" w:space="0" w:color="auto"/>
        <w:right w:val="none" w:sz="0" w:space="0" w:color="auto"/>
      </w:divBdr>
    </w:div>
    <w:div w:id="1163276106">
      <w:bodyDiv w:val="1"/>
      <w:marLeft w:val="0"/>
      <w:marRight w:val="0"/>
      <w:marTop w:val="0"/>
      <w:marBottom w:val="0"/>
      <w:divBdr>
        <w:top w:val="none" w:sz="0" w:space="0" w:color="auto"/>
        <w:left w:val="none" w:sz="0" w:space="0" w:color="auto"/>
        <w:bottom w:val="none" w:sz="0" w:space="0" w:color="auto"/>
        <w:right w:val="none" w:sz="0" w:space="0" w:color="auto"/>
      </w:divBdr>
    </w:div>
    <w:div w:id="1238782121">
      <w:bodyDiv w:val="1"/>
      <w:marLeft w:val="0"/>
      <w:marRight w:val="0"/>
      <w:marTop w:val="0"/>
      <w:marBottom w:val="0"/>
      <w:divBdr>
        <w:top w:val="none" w:sz="0" w:space="0" w:color="auto"/>
        <w:left w:val="none" w:sz="0" w:space="0" w:color="auto"/>
        <w:bottom w:val="none" w:sz="0" w:space="0" w:color="auto"/>
        <w:right w:val="none" w:sz="0" w:space="0" w:color="auto"/>
      </w:divBdr>
    </w:div>
    <w:div w:id="1274826767">
      <w:bodyDiv w:val="1"/>
      <w:marLeft w:val="0"/>
      <w:marRight w:val="0"/>
      <w:marTop w:val="0"/>
      <w:marBottom w:val="0"/>
      <w:divBdr>
        <w:top w:val="none" w:sz="0" w:space="0" w:color="auto"/>
        <w:left w:val="none" w:sz="0" w:space="0" w:color="auto"/>
        <w:bottom w:val="none" w:sz="0" w:space="0" w:color="auto"/>
        <w:right w:val="none" w:sz="0" w:space="0" w:color="auto"/>
      </w:divBdr>
    </w:div>
    <w:div w:id="1324043091">
      <w:bodyDiv w:val="1"/>
      <w:marLeft w:val="0"/>
      <w:marRight w:val="0"/>
      <w:marTop w:val="0"/>
      <w:marBottom w:val="0"/>
      <w:divBdr>
        <w:top w:val="none" w:sz="0" w:space="0" w:color="auto"/>
        <w:left w:val="none" w:sz="0" w:space="0" w:color="auto"/>
        <w:bottom w:val="none" w:sz="0" w:space="0" w:color="auto"/>
        <w:right w:val="none" w:sz="0" w:space="0" w:color="auto"/>
      </w:divBdr>
    </w:div>
    <w:div w:id="1367559166">
      <w:bodyDiv w:val="1"/>
      <w:marLeft w:val="0"/>
      <w:marRight w:val="0"/>
      <w:marTop w:val="0"/>
      <w:marBottom w:val="0"/>
      <w:divBdr>
        <w:top w:val="none" w:sz="0" w:space="0" w:color="auto"/>
        <w:left w:val="none" w:sz="0" w:space="0" w:color="auto"/>
        <w:bottom w:val="none" w:sz="0" w:space="0" w:color="auto"/>
        <w:right w:val="none" w:sz="0" w:space="0" w:color="auto"/>
      </w:divBdr>
    </w:div>
    <w:div w:id="1410151862">
      <w:bodyDiv w:val="1"/>
      <w:marLeft w:val="0"/>
      <w:marRight w:val="0"/>
      <w:marTop w:val="0"/>
      <w:marBottom w:val="0"/>
      <w:divBdr>
        <w:top w:val="none" w:sz="0" w:space="0" w:color="auto"/>
        <w:left w:val="none" w:sz="0" w:space="0" w:color="auto"/>
        <w:bottom w:val="none" w:sz="0" w:space="0" w:color="auto"/>
        <w:right w:val="none" w:sz="0" w:space="0" w:color="auto"/>
      </w:divBdr>
    </w:div>
    <w:div w:id="1439640361">
      <w:bodyDiv w:val="1"/>
      <w:marLeft w:val="0"/>
      <w:marRight w:val="0"/>
      <w:marTop w:val="0"/>
      <w:marBottom w:val="0"/>
      <w:divBdr>
        <w:top w:val="none" w:sz="0" w:space="0" w:color="auto"/>
        <w:left w:val="none" w:sz="0" w:space="0" w:color="auto"/>
        <w:bottom w:val="none" w:sz="0" w:space="0" w:color="auto"/>
        <w:right w:val="none" w:sz="0" w:space="0" w:color="auto"/>
      </w:divBdr>
    </w:div>
    <w:div w:id="1441342101">
      <w:bodyDiv w:val="1"/>
      <w:marLeft w:val="0"/>
      <w:marRight w:val="0"/>
      <w:marTop w:val="0"/>
      <w:marBottom w:val="0"/>
      <w:divBdr>
        <w:top w:val="none" w:sz="0" w:space="0" w:color="auto"/>
        <w:left w:val="none" w:sz="0" w:space="0" w:color="auto"/>
        <w:bottom w:val="none" w:sz="0" w:space="0" w:color="auto"/>
        <w:right w:val="none" w:sz="0" w:space="0" w:color="auto"/>
      </w:divBdr>
    </w:div>
    <w:div w:id="1500803258">
      <w:bodyDiv w:val="1"/>
      <w:marLeft w:val="0"/>
      <w:marRight w:val="0"/>
      <w:marTop w:val="0"/>
      <w:marBottom w:val="0"/>
      <w:divBdr>
        <w:top w:val="none" w:sz="0" w:space="0" w:color="auto"/>
        <w:left w:val="none" w:sz="0" w:space="0" w:color="auto"/>
        <w:bottom w:val="none" w:sz="0" w:space="0" w:color="auto"/>
        <w:right w:val="none" w:sz="0" w:space="0" w:color="auto"/>
      </w:divBdr>
    </w:div>
    <w:div w:id="1544709135">
      <w:bodyDiv w:val="1"/>
      <w:marLeft w:val="0"/>
      <w:marRight w:val="0"/>
      <w:marTop w:val="0"/>
      <w:marBottom w:val="0"/>
      <w:divBdr>
        <w:top w:val="none" w:sz="0" w:space="0" w:color="auto"/>
        <w:left w:val="none" w:sz="0" w:space="0" w:color="auto"/>
        <w:bottom w:val="none" w:sz="0" w:space="0" w:color="auto"/>
        <w:right w:val="none" w:sz="0" w:space="0" w:color="auto"/>
      </w:divBdr>
    </w:div>
    <w:div w:id="1600679095">
      <w:bodyDiv w:val="1"/>
      <w:marLeft w:val="0"/>
      <w:marRight w:val="0"/>
      <w:marTop w:val="0"/>
      <w:marBottom w:val="0"/>
      <w:divBdr>
        <w:top w:val="none" w:sz="0" w:space="0" w:color="auto"/>
        <w:left w:val="none" w:sz="0" w:space="0" w:color="auto"/>
        <w:bottom w:val="none" w:sz="0" w:space="0" w:color="auto"/>
        <w:right w:val="none" w:sz="0" w:space="0" w:color="auto"/>
      </w:divBdr>
    </w:div>
    <w:div w:id="1620718279">
      <w:bodyDiv w:val="1"/>
      <w:marLeft w:val="0"/>
      <w:marRight w:val="0"/>
      <w:marTop w:val="0"/>
      <w:marBottom w:val="0"/>
      <w:divBdr>
        <w:top w:val="none" w:sz="0" w:space="0" w:color="auto"/>
        <w:left w:val="none" w:sz="0" w:space="0" w:color="auto"/>
        <w:bottom w:val="none" w:sz="0" w:space="0" w:color="auto"/>
        <w:right w:val="none" w:sz="0" w:space="0" w:color="auto"/>
      </w:divBdr>
    </w:div>
    <w:div w:id="1623223071">
      <w:bodyDiv w:val="1"/>
      <w:marLeft w:val="0"/>
      <w:marRight w:val="0"/>
      <w:marTop w:val="0"/>
      <w:marBottom w:val="0"/>
      <w:divBdr>
        <w:top w:val="none" w:sz="0" w:space="0" w:color="auto"/>
        <w:left w:val="none" w:sz="0" w:space="0" w:color="auto"/>
        <w:bottom w:val="none" w:sz="0" w:space="0" w:color="auto"/>
        <w:right w:val="none" w:sz="0" w:space="0" w:color="auto"/>
      </w:divBdr>
    </w:div>
    <w:div w:id="1690176948">
      <w:bodyDiv w:val="1"/>
      <w:marLeft w:val="0"/>
      <w:marRight w:val="0"/>
      <w:marTop w:val="0"/>
      <w:marBottom w:val="0"/>
      <w:divBdr>
        <w:top w:val="none" w:sz="0" w:space="0" w:color="auto"/>
        <w:left w:val="none" w:sz="0" w:space="0" w:color="auto"/>
        <w:bottom w:val="none" w:sz="0" w:space="0" w:color="auto"/>
        <w:right w:val="none" w:sz="0" w:space="0" w:color="auto"/>
      </w:divBdr>
    </w:div>
    <w:div w:id="1727683625">
      <w:bodyDiv w:val="1"/>
      <w:marLeft w:val="0"/>
      <w:marRight w:val="0"/>
      <w:marTop w:val="0"/>
      <w:marBottom w:val="0"/>
      <w:divBdr>
        <w:top w:val="none" w:sz="0" w:space="0" w:color="auto"/>
        <w:left w:val="none" w:sz="0" w:space="0" w:color="auto"/>
        <w:bottom w:val="none" w:sz="0" w:space="0" w:color="auto"/>
        <w:right w:val="none" w:sz="0" w:space="0" w:color="auto"/>
      </w:divBdr>
    </w:div>
    <w:div w:id="1741438733">
      <w:bodyDiv w:val="1"/>
      <w:marLeft w:val="0"/>
      <w:marRight w:val="0"/>
      <w:marTop w:val="0"/>
      <w:marBottom w:val="0"/>
      <w:divBdr>
        <w:top w:val="none" w:sz="0" w:space="0" w:color="auto"/>
        <w:left w:val="none" w:sz="0" w:space="0" w:color="auto"/>
        <w:bottom w:val="none" w:sz="0" w:space="0" w:color="auto"/>
        <w:right w:val="none" w:sz="0" w:space="0" w:color="auto"/>
      </w:divBdr>
    </w:div>
    <w:div w:id="1745373504">
      <w:bodyDiv w:val="1"/>
      <w:marLeft w:val="0"/>
      <w:marRight w:val="0"/>
      <w:marTop w:val="0"/>
      <w:marBottom w:val="0"/>
      <w:divBdr>
        <w:top w:val="none" w:sz="0" w:space="0" w:color="auto"/>
        <w:left w:val="none" w:sz="0" w:space="0" w:color="auto"/>
        <w:bottom w:val="none" w:sz="0" w:space="0" w:color="auto"/>
        <w:right w:val="none" w:sz="0" w:space="0" w:color="auto"/>
      </w:divBdr>
    </w:div>
    <w:div w:id="1758284920">
      <w:bodyDiv w:val="1"/>
      <w:marLeft w:val="0"/>
      <w:marRight w:val="0"/>
      <w:marTop w:val="0"/>
      <w:marBottom w:val="0"/>
      <w:divBdr>
        <w:top w:val="none" w:sz="0" w:space="0" w:color="auto"/>
        <w:left w:val="none" w:sz="0" w:space="0" w:color="auto"/>
        <w:bottom w:val="none" w:sz="0" w:space="0" w:color="auto"/>
        <w:right w:val="none" w:sz="0" w:space="0" w:color="auto"/>
      </w:divBdr>
    </w:div>
    <w:div w:id="1808038787">
      <w:bodyDiv w:val="1"/>
      <w:marLeft w:val="0"/>
      <w:marRight w:val="0"/>
      <w:marTop w:val="0"/>
      <w:marBottom w:val="0"/>
      <w:divBdr>
        <w:top w:val="none" w:sz="0" w:space="0" w:color="auto"/>
        <w:left w:val="none" w:sz="0" w:space="0" w:color="auto"/>
        <w:bottom w:val="none" w:sz="0" w:space="0" w:color="auto"/>
        <w:right w:val="none" w:sz="0" w:space="0" w:color="auto"/>
      </w:divBdr>
    </w:div>
    <w:div w:id="1824540628">
      <w:bodyDiv w:val="1"/>
      <w:marLeft w:val="0"/>
      <w:marRight w:val="0"/>
      <w:marTop w:val="0"/>
      <w:marBottom w:val="0"/>
      <w:divBdr>
        <w:top w:val="none" w:sz="0" w:space="0" w:color="auto"/>
        <w:left w:val="none" w:sz="0" w:space="0" w:color="auto"/>
        <w:bottom w:val="none" w:sz="0" w:space="0" w:color="auto"/>
        <w:right w:val="none" w:sz="0" w:space="0" w:color="auto"/>
      </w:divBdr>
    </w:div>
    <w:div w:id="1845627988">
      <w:bodyDiv w:val="1"/>
      <w:marLeft w:val="0"/>
      <w:marRight w:val="0"/>
      <w:marTop w:val="0"/>
      <w:marBottom w:val="0"/>
      <w:divBdr>
        <w:top w:val="none" w:sz="0" w:space="0" w:color="auto"/>
        <w:left w:val="none" w:sz="0" w:space="0" w:color="auto"/>
        <w:bottom w:val="none" w:sz="0" w:space="0" w:color="auto"/>
        <w:right w:val="none" w:sz="0" w:space="0" w:color="auto"/>
      </w:divBdr>
    </w:div>
    <w:div w:id="1875385611">
      <w:bodyDiv w:val="1"/>
      <w:marLeft w:val="0"/>
      <w:marRight w:val="0"/>
      <w:marTop w:val="0"/>
      <w:marBottom w:val="0"/>
      <w:divBdr>
        <w:top w:val="none" w:sz="0" w:space="0" w:color="auto"/>
        <w:left w:val="none" w:sz="0" w:space="0" w:color="auto"/>
        <w:bottom w:val="none" w:sz="0" w:space="0" w:color="auto"/>
        <w:right w:val="none" w:sz="0" w:space="0" w:color="auto"/>
      </w:divBdr>
    </w:div>
    <w:div w:id="1905796191">
      <w:bodyDiv w:val="1"/>
      <w:marLeft w:val="0"/>
      <w:marRight w:val="0"/>
      <w:marTop w:val="0"/>
      <w:marBottom w:val="0"/>
      <w:divBdr>
        <w:top w:val="none" w:sz="0" w:space="0" w:color="auto"/>
        <w:left w:val="none" w:sz="0" w:space="0" w:color="auto"/>
        <w:bottom w:val="none" w:sz="0" w:space="0" w:color="auto"/>
        <w:right w:val="none" w:sz="0" w:space="0" w:color="auto"/>
      </w:divBdr>
    </w:div>
    <w:div w:id="1922058789">
      <w:bodyDiv w:val="1"/>
      <w:marLeft w:val="0"/>
      <w:marRight w:val="0"/>
      <w:marTop w:val="0"/>
      <w:marBottom w:val="0"/>
      <w:divBdr>
        <w:top w:val="none" w:sz="0" w:space="0" w:color="auto"/>
        <w:left w:val="none" w:sz="0" w:space="0" w:color="auto"/>
        <w:bottom w:val="none" w:sz="0" w:space="0" w:color="auto"/>
        <w:right w:val="none" w:sz="0" w:space="0" w:color="auto"/>
      </w:divBdr>
    </w:div>
    <w:div w:id="1928494035">
      <w:bodyDiv w:val="1"/>
      <w:marLeft w:val="0"/>
      <w:marRight w:val="0"/>
      <w:marTop w:val="0"/>
      <w:marBottom w:val="0"/>
      <w:divBdr>
        <w:top w:val="none" w:sz="0" w:space="0" w:color="auto"/>
        <w:left w:val="none" w:sz="0" w:space="0" w:color="auto"/>
        <w:bottom w:val="none" w:sz="0" w:space="0" w:color="auto"/>
        <w:right w:val="none" w:sz="0" w:space="0" w:color="auto"/>
      </w:divBdr>
    </w:div>
    <w:div w:id="1930192703">
      <w:bodyDiv w:val="1"/>
      <w:marLeft w:val="0"/>
      <w:marRight w:val="0"/>
      <w:marTop w:val="0"/>
      <w:marBottom w:val="0"/>
      <w:divBdr>
        <w:top w:val="none" w:sz="0" w:space="0" w:color="auto"/>
        <w:left w:val="none" w:sz="0" w:space="0" w:color="auto"/>
        <w:bottom w:val="none" w:sz="0" w:space="0" w:color="auto"/>
        <w:right w:val="none" w:sz="0" w:space="0" w:color="auto"/>
      </w:divBdr>
    </w:div>
    <w:div w:id="1959942763">
      <w:bodyDiv w:val="1"/>
      <w:marLeft w:val="0"/>
      <w:marRight w:val="0"/>
      <w:marTop w:val="0"/>
      <w:marBottom w:val="0"/>
      <w:divBdr>
        <w:top w:val="none" w:sz="0" w:space="0" w:color="auto"/>
        <w:left w:val="none" w:sz="0" w:space="0" w:color="auto"/>
        <w:bottom w:val="none" w:sz="0" w:space="0" w:color="auto"/>
        <w:right w:val="none" w:sz="0" w:space="0" w:color="auto"/>
      </w:divBdr>
    </w:div>
    <w:div w:id="2059087190">
      <w:bodyDiv w:val="1"/>
      <w:marLeft w:val="0"/>
      <w:marRight w:val="0"/>
      <w:marTop w:val="0"/>
      <w:marBottom w:val="0"/>
      <w:divBdr>
        <w:top w:val="none" w:sz="0" w:space="0" w:color="auto"/>
        <w:left w:val="none" w:sz="0" w:space="0" w:color="auto"/>
        <w:bottom w:val="none" w:sz="0" w:space="0" w:color="auto"/>
        <w:right w:val="none" w:sz="0" w:space="0" w:color="auto"/>
      </w:divBdr>
    </w:div>
    <w:div w:id="2094930693">
      <w:bodyDiv w:val="1"/>
      <w:marLeft w:val="0"/>
      <w:marRight w:val="0"/>
      <w:marTop w:val="0"/>
      <w:marBottom w:val="0"/>
      <w:divBdr>
        <w:top w:val="none" w:sz="0" w:space="0" w:color="auto"/>
        <w:left w:val="none" w:sz="0" w:space="0" w:color="auto"/>
        <w:bottom w:val="none" w:sz="0" w:space="0" w:color="auto"/>
        <w:right w:val="none" w:sz="0" w:space="0" w:color="auto"/>
      </w:divBdr>
    </w:div>
    <w:div w:id="2117864794">
      <w:bodyDiv w:val="1"/>
      <w:marLeft w:val="0"/>
      <w:marRight w:val="0"/>
      <w:marTop w:val="0"/>
      <w:marBottom w:val="0"/>
      <w:divBdr>
        <w:top w:val="none" w:sz="0" w:space="0" w:color="auto"/>
        <w:left w:val="none" w:sz="0" w:space="0" w:color="auto"/>
        <w:bottom w:val="none" w:sz="0" w:space="0" w:color="auto"/>
        <w:right w:val="none" w:sz="0" w:space="0" w:color="auto"/>
      </w:divBdr>
    </w:div>
    <w:div w:id="212927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Loughlin, Dan</dc:creator>
  <keywords/>
  <dc:description/>
  <lastModifiedBy>Loughlin, Dan</lastModifiedBy>
  <revision>2</revision>
  <dcterms:created xsi:type="dcterms:W3CDTF">2025-06-10T17:36:00.0000000Z</dcterms:created>
  <dcterms:modified xsi:type="dcterms:W3CDTF">2025-06-13T17:10:11.8904696Z</dcterms:modified>
</coreProperties>
</file>