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9910" w14:textId="5AC5FDB3" w:rsidR="00BB7B03" w:rsidRPr="006A7D91" w:rsidRDefault="006A7D91" w:rsidP="00B622E1">
      <w:pPr>
        <w:spacing w:after="0" w:line="240" w:lineRule="auto"/>
        <w:rPr>
          <w:b/>
          <w:bCs/>
          <w:sz w:val="28"/>
          <w:szCs w:val="28"/>
        </w:rPr>
      </w:pPr>
      <w:r w:rsidRPr="006A7D91">
        <w:rPr>
          <w:b/>
          <w:bCs/>
          <w:sz w:val="28"/>
          <w:szCs w:val="28"/>
        </w:rPr>
        <w:t xml:space="preserve">Description of </w:t>
      </w:r>
      <w:r w:rsidRPr="006A7D91">
        <w:rPr>
          <w:b/>
          <w:bCs/>
          <w:i/>
          <w:iCs/>
          <w:sz w:val="28"/>
          <w:szCs w:val="28"/>
        </w:rPr>
        <w:t>Enterococcus</w:t>
      </w:r>
      <w:r w:rsidRPr="006A7D91">
        <w:rPr>
          <w:b/>
          <w:bCs/>
          <w:sz w:val="28"/>
          <w:szCs w:val="28"/>
        </w:rPr>
        <w:t xml:space="preserve"> Digital PCR Dataset</w:t>
      </w:r>
    </w:p>
    <w:p w14:paraId="12813E9F" w14:textId="77777777" w:rsidR="006A7D91" w:rsidRDefault="006A7D91" w:rsidP="00B622E1">
      <w:pPr>
        <w:spacing w:after="0" w:line="240" w:lineRule="auto"/>
      </w:pPr>
    </w:p>
    <w:p w14:paraId="0A77E642" w14:textId="77777777" w:rsidR="00084EDE" w:rsidRDefault="006A7D91" w:rsidP="00B622E1">
      <w:pPr>
        <w:spacing w:after="0" w:line="240" w:lineRule="auto"/>
        <w:rPr>
          <w:b/>
          <w:bCs/>
        </w:rPr>
      </w:pPr>
      <w:r w:rsidRPr="006A7D91">
        <w:rPr>
          <w:b/>
          <w:bCs/>
        </w:rPr>
        <w:t>Overview:</w:t>
      </w:r>
      <w:r w:rsidR="00F7676D">
        <w:rPr>
          <w:b/>
          <w:bCs/>
        </w:rPr>
        <w:t xml:space="preserve">  </w:t>
      </w:r>
    </w:p>
    <w:p w14:paraId="6C752AA2" w14:textId="5225AD58" w:rsidR="006A7D91" w:rsidRPr="00F7676D" w:rsidRDefault="00B94661" w:rsidP="00B622E1">
      <w:pPr>
        <w:spacing w:after="0" w:line="240" w:lineRule="auto"/>
        <w:rPr>
          <w:b/>
          <w:bCs/>
        </w:rPr>
      </w:pPr>
      <w:r>
        <w:t xml:space="preserve">This dataset includes repeated measures of the National Institute of Standards and Technology Standard Reference Material 2917 </w:t>
      </w:r>
      <w:r w:rsidR="00B622E1">
        <w:t xml:space="preserve">(SRM 2917) </w:t>
      </w:r>
      <w:r w:rsidR="00067C50">
        <w:fldChar w:fldCharType="begin"/>
      </w:r>
      <w:r w:rsidR="00067C50">
        <w:instrText xml:space="preserve"> ADDIN EN.CITE &lt;EndNote&gt;&lt;Cite&gt;&lt;Author&gt;Kralj&lt;/Author&gt;&lt;Year&gt;2021&lt;/Year&gt;&lt;RecNum&gt;832&lt;/RecNum&gt;&lt;DisplayText&gt;[1, 2]&lt;/DisplayText&gt;&lt;record&gt;&lt;rec-number&gt;832&lt;/rec-number&gt;&lt;foreign-keys&gt;&lt;key app="EN" db-id="z0srrv5r6z22xhewwwyxx2e0wxrfrspep99a" timestamp="1641483694"&gt;832&lt;/key&gt;&lt;/foreign-keys&gt;&lt;ref-type name="Journal Article"&gt;17&lt;/ref-type&gt;&lt;contributors&gt;&lt;authors&gt;&lt;author&gt;Kralj, J.&lt;/author&gt;&lt;author&gt;Servetas, S.&lt;/author&gt;&lt;author&gt;Hunter, M.&lt;/author&gt;&lt;author&gt;Toman, B.&lt;/author&gt;&lt;author&gt;Jackson, S.&lt;/author&gt;&lt;/authors&gt;&lt;/contributors&gt;&lt;titles&gt;&lt;title&gt;Certification of standard reference material 2917 plasmid DNA for fecal indicator detection and identification&lt;/title&gt;&lt;secondary-title&gt;NIST Special Publication&lt;/secondary-title&gt;&lt;/titles&gt;&lt;periodical&gt;&lt;full-title&gt;NIST Special Publication&lt;/full-title&gt;&lt;/periodical&gt;&lt;pages&gt;1-41&lt;/pages&gt;&lt;dates&gt;&lt;year&gt;2021&lt;/year&gt;&lt;/dates&gt;&lt;urls&gt;&lt;/urls&gt;&lt;electronic-resource-num&gt;https://doi.org/10.6028/NIST.SP.260-221&lt;/electronic-resource-num&gt;&lt;/record&gt;&lt;/Cite&gt;&lt;Cite&gt;&lt;Author&gt;Willis&lt;/Author&gt;&lt;Year&gt;2022&lt;/Year&gt;&lt;RecNum&gt;852&lt;/RecNum&gt;&lt;record&gt;&lt;rec-number&gt;852&lt;/rec-number&gt;&lt;foreign-keys&gt;&lt;key app="EN" db-id="z0srrv5r6z22xhewwwyxx2e0wxrfrspep99a" timestamp="1645111360"&gt;852&lt;/key&gt;&lt;/foreign-keys&gt;&lt;ref-type name="Journal Article"&gt;17&lt;/ref-type&gt;&lt;contributors&gt;&lt;authors&gt;&lt;author&gt;Willis, J.R.&lt;/author&gt;&lt;author&gt;Sivaganesan, M.&lt;/author&gt;&lt;author&gt;Haugland, R.A.&lt;/author&gt;&lt;author&gt;Kralj, J.&lt;/author&gt;&lt;author&gt;Servetas, S.&lt;/author&gt;&lt;author&gt;Hunter, M.E.&lt;/author&gt;&lt;author&gt;Jackson, S.A.&lt;/author&gt;&lt;author&gt;Shanks, O.C.&lt;/author&gt;&lt;/authors&gt;&lt;/contributors&gt;&lt;titles&gt;&lt;title&gt;Performance of NIST SRM 2917 with 13 recreational water quality monitoring qPCR assays&lt;/title&gt;&lt;secondary-title&gt;Water Research&lt;/secondary-title&gt;&lt;/titles&gt;&lt;periodical&gt;&lt;full-title&gt;Water Research&lt;/full-title&gt;&lt;/periodical&gt;&lt;pages&gt;118114&lt;/pages&gt;&lt;volume&gt;212&lt;/volume&gt;&lt;dates&gt;&lt;year&gt;2022&lt;/year&gt;&lt;/dates&gt;&lt;urls&gt;&lt;/urls&gt;&lt;/record&gt;&lt;/Cite&gt;&lt;/EndNote&gt;</w:instrText>
      </w:r>
      <w:r w:rsidR="00067C50">
        <w:fldChar w:fldCharType="separate"/>
      </w:r>
      <w:r w:rsidR="00067C50">
        <w:rPr>
          <w:noProof/>
        </w:rPr>
        <w:t>[1, 2]</w:t>
      </w:r>
      <w:r w:rsidR="00067C50">
        <w:fldChar w:fldCharType="end"/>
      </w:r>
      <w:r>
        <w:t xml:space="preserve"> using an </w:t>
      </w:r>
      <w:r w:rsidRPr="00B622E1">
        <w:rPr>
          <w:i/>
          <w:iCs/>
        </w:rPr>
        <w:t>Enterococcus</w:t>
      </w:r>
      <w:r>
        <w:t xml:space="preserve"> digital PCR (</w:t>
      </w:r>
      <w:proofErr w:type="spellStart"/>
      <w:r>
        <w:t>dPCR</w:t>
      </w:r>
      <w:proofErr w:type="spellEnd"/>
      <w:r>
        <w:t>) assay (</w:t>
      </w:r>
      <w:r w:rsidRPr="00F7676D">
        <w:rPr>
          <w:b/>
          <w:bCs/>
        </w:rPr>
        <w:t>Table 1</w:t>
      </w:r>
      <w:r>
        <w:t>).</w:t>
      </w:r>
    </w:p>
    <w:p w14:paraId="6842B51B" w14:textId="77777777" w:rsidR="00B622E1" w:rsidRDefault="00B622E1" w:rsidP="00B622E1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07F0B1" w14:textId="6C501361" w:rsidR="00B622E1" w:rsidRDefault="00B622E1" w:rsidP="00B622E1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C04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Table 1: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EDE" w:rsidRPr="00084E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Enterococcus</w:t>
      </w:r>
      <w:r w:rsidR="00084E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primers and probes for digital PCR.</w:t>
      </w:r>
    </w:p>
    <w:tbl>
      <w:tblPr>
        <w:tblStyle w:val="TableGrid"/>
        <w:tblpPr w:leftFromText="180" w:rightFromText="180" w:vertAnchor="text" w:horzAnchor="margin" w:tblpY="333"/>
        <w:tblW w:w="9697" w:type="dxa"/>
        <w:tblLayout w:type="fixed"/>
        <w:tblLook w:val="04A0" w:firstRow="1" w:lastRow="0" w:firstColumn="1" w:lastColumn="0" w:noHBand="0" w:noVBand="1"/>
      </w:tblPr>
      <w:tblGrid>
        <w:gridCol w:w="1597"/>
        <w:gridCol w:w="1530"/>
        <w:gridCol w:w="5400"/>
        <w:gridCol w:w="1170"/>
      </w:tblGrid>
      <w:tr w:rsidR="00B622E1" w14:paraId="70BE9A43" w14:textId="77777777" w:rsidTr="00FA5301">
        <w:tc>
          <w:tcPr>
            <w:tcW w:w="1597" w:type="dxa"/>
            <w:shd w:val="clear" w:color="auto" w:fill="D9D9D9" w:themeFill="background1" w:themeFillShade="D9"/>
          </w:tcPr>
          <w:p w14:paraId="3FA96249" w14:textId="77777777" w:rsidR="00B622E1" w:rsidRPr="00F41871" w:rsidRDefault="00B622E1" w:rsidP="00B622E1">
            <w:pPr>
              <w:pStyle w:val="Style9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i w:val="0"/>
                <w:iCs/>
                <w:sz w:val="22"/>
                <w:szCs w:val="24"/>
              </w:rPr>
            </w:pPr>
            <w:r w:rsidRPr="00F41871">
              <w:rPr>
                <w:rFonts w:ascii="Calibri" w:hAnsi="Calibri" w:cs="Calibri"/>
                <w:i w:val="0"/>
                <w:iCs/>
                <w:sz w:val="22"/>
                <w:szCs w:val="24"/>
              </w:rPr>
              <w:t>Assay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02C55E5" w14:textId="77777777" w:rsidR="00B622E1" w:rsidRPr="00F41871" w:rsidRDefault="00B622E1" w:rsidP="00B622E1">
            <w:pPr>
              <w:pStyle w:val="Style9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i w:val="0"/>
                <w:iCs/>
                <w:sz w:val="22"/>
                <w:szCs w:val="24"/>
              </w:rPr>
            </w:pPr>
            <w:r w:rsidRPr="00F41871">
              <w:rPr>
                <w:rFonts w:ascii="Calibri" w:hAnsi="Calibri" w:cs="Calibri"/>
                <w:i w:val="0"/>
                <w:iCs/>
                <w:sz w:val="22"/>
                <w:szCs w:val="24"/>
              </w:rPr>
              <w:t>Primer/Probe</w:t>
            </w:r>
          </w:p>
        </w:tc>
        <w:tc>
          <w:tcPr>
            <w:tcW w:w="5400" w:type="dxa"/>
            <w:shd w:val="clear" w:color="auto" w:fill="D9D9D9" w:themeFill="background1" w:themeFillShade="D9"/>
            <w:vAlign w:val="center"/>
          </w:tcPr>
          <w:p w14:paraId="1FE8280E" w14:textId="77777777" w:rsidR="00B622E1" w:rsidRPr="00F41871" w:rsidRDefault="00B622E1" w:rsidP="00B622E1">
            <w:pPr>
              <w:pStyle w:val="Style9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i w:val="0"/>
                <w:iCs/>
                <w:sz w:val="22"/>
                <w:szCs w:val="24"/>
              </w:rPr>
            </w:pPr>
            <w:r w:rsidRPr="00F41871">
              <w:rPr>
                <w:rFonts w:ascii="Calibri" w:hAnsi="Calibri" w:cs="Calibri"/>
                <w:i w:val="0"/>
                <w:iCs/>
                <w:sz w:val="22"/>
                <w:szCs w:val="24"/>
              </w:rPr>
              <w:t>Sequence (5’-3’)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8557036" w14:textId="77777777" w:rsidR="00B622E1" w:rsidRPr="00F41871" w:rsidRDefault="00B622E1" w:rsidP="00B622E1">
            <w:pPr>
              <w:pStyle w:val="Style9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i w:val="0"/>
                <w:iCs/>
                <w:sz w:val="22"/>
                <w:szCs w:val="24"/>
              </w:rPr>
            </w:pPr>
            <w:r w:rsidRPr="00F41871">
              <w:rPr>
                <w:rFonts w:ascii="Calibri" w:hAnsi="Calibri" w:cs="Calibri"/>
                <w:i w:val="0"/>
                <w:iCs/>
                <w:sz w:val="22"/>
                <w:szCs w:val="24"/>
              </w:rPr>
              <w:t>Reference</w:t>
            </w:r>
          </w:p>
        </w:tc>
      </w:tr>
      <w:tr w:rsidR="00B622E1" w14:paraId="0F34A374" w14:textId="77777777" w:rsidTr="00FA5301">
        <w:tc>
          <w:tcPr>
            <w:tcW w:w="1597" w:type="dxa"/>
            <w:vMerge w:val="restart"/>
            <w:vAlign w:val="center"/>
          </w:tcPr>
          <w:p w14:paraId="5B30E397" w14:textId="77777777" w:rsidR="00B622E1" w:rsidRPr="008675D3" w:rsidRDefault="00B622E1" w:rsidP="00B622E1">
            <w:pPr>
              <w:pStyle w:val="Style9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 w:val="0"/>
                <w:bCs w:val="0"/>
                <w:i w:val="0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/>
                <w:sz w:val="20"/>
                <w:szCs w:val="20"/>
              </w:rPr>
              <w:t>Entero1a</w:t>
            </w:r>
          </w:p>
        </w:tc>
        <w:tc>
          <w:tcPr>
            <w:tcW w:w="1530" w:type="dxa"/>
          </w:tcPr>
          <w:p w14:paraId="7D97FD61" w14:textId="77777777" w:rsidR="00B622E1" w:rsidRPr="008675D3" w:rsidRDefault="00B622E1" w:rsidP="00B622E1">
            <w:pPr>
              <w:pStyle w:val="Style9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 w:val="0"/>
                <w:bCs w:val="0"/>
                <w:i w:val="0"/>
                <w:iCs/>
                <w:sz w:val="20"/>
                <w:szCs w:val="20"/>
              </w:rPr>
            </w:pPr>
            <w:r w:rsidRPr="008675D3">
              <w:rPr>
                <w:rFonts w:ascii="Calibri" w:hAnsi="Calibri" w:cs="Calibri"/>
                <w:b w:val="0"/>
                <w:bCs w:val="0"/>
                <w:i w:val="0"/>
                <w:iCs/>
                <w:sz w:val="20"/>
                <w:szCs w:val="20"/>
              </w:rPr>
              <w:t>Forward Primer</w:t>
            </w:r>
          </w:p>
        </w:tc>
        <w:tc>
          <w:tcPr>
            <w:tcW w:w="5400" w:type="dxa"/>
            <w:vAlign w:val="center"/>
          </w:tcPr>
          <w:p w14:paraId="4AE07729" w14:textId="77777777" w:rsidR="00B622E1" w:rsidRPr="00B305FB" w:rsidRDefault="00B622E1" w:rsidP="00B622E1">
            <w:pPr>
              <w:pStyle w:val="Style9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0"/>
                <w:szCs w:val="20"/>
              </w:rPr>
            </w:pPr>
            <w:r w:rsidRPr="00B305FB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0"/>
                <w:szCs w:val="20"/>
              </w:rPr>
              <w:t>GAGAAATTCCAAACGAACTTG</w:t>
            </w:r>
          </w:p>
        </w:tc>
        <w:tc>
          <w:tcPr>
            <w:tcW w:w="1170" w:type="dxa"/>
            <w:vMerge w:val="restart"/>
            <w:vAlign w:val="center"/>
          </w:tcPr>
          <w:p w14:paraId="204842BA" w14:textId="41FD4027" w:rsidR="00B622E1" w:rsidRPr="008675D3" w:rsidRDefault="00B622E1" w:rsidP="00B622E1">
            <w:pPr>
              <w:pStyle w:val="Style9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 w:val="0"/>
                <w:bCs w:val="0"/>
                <w:i w:val="0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/>
                <w:sz w:val="20"/>
                <w:szCs w:val="20"/>
              </w:rPr>
              <w:fldChar w:fldCharType="begin"/>
            </w:r>
            <w:r w:rsidR="00067C50">
              <w:rPr>
                <w:rFonts w:ascii="Calibri" w:hAnsi="Calibri" w:cs="Calibri"/>
                <w:b w:val="0"/>
                <w:bCs w:val="0"/>
                <w:i w:val="0"/>
                <w:iCs/>
                <w:sz w:val="20"/>
                <w:szCs w:val="20"/>
              </w:rPr>
              <w:instrText xml:space="preserve"> ADDIN EN.CITE &lt;EndNote&gt;&lt;Cite&gt;&lt;Author&gt;Ludwig&lt;/Author&gt;&lt;Year&gt;2000&lt;/Year&gt;&lt;RecNum&gt;147&lt;/RecNum&gt;&lt;DisplayText&gt;[3, 4]&lt;/DisplayText&gt;&lt;record&gt;&lt;rec-number&gt;147&lt;/rec-number&gt;&lt;foreign-keys&gt;&lt;key app="EN" db-id="z0srrv5r6z22xhewwwyxx2e0wxrfrspep99a" timestamp="0"&gt;147&lt;/key&gt;&lt;/foreign-keys&gt;&lt;ref-type name="Journal Article"&gt;17&lt;/ref-type&gt;&lt;contributors&gt;&lt;authors&gt;&lt;author&gt;Ludwig, W.&lt;/author&gt;&lt;author&gt;Schleifer, K.H.&lt;/author&gt;&lt;/authors&gt;&lt;/contributors&gt;&lt;titles&gt;&lt;title&gt;How quantitative is quantitative PCR with respect to cell counts?&lt;/title&gt;&lt;secondary-title&gt;Systematic and Applied Microbiology&lt;/secondary-title&gt;&lt;/titles&gt;&lt;pages&gt;556-562&lt;/pages&gt;&lt;volume&gt;23&lt;/volume&gt;&lt;number&gt;4&lt;/number&gt;&lt;dates&gt;&lt;year&gt;2000&lt;/year&gt;&lt;/dates&gt;&lt;urls&gt;&lt;/urls&gt;&lt;/record&gt;&lt;/Cite&gt;&lt;Cite&gt;&lt;Author&gt;Sivaganesan&lt;/Author&gt;&lt;Year&gt;2011&lt;/Year&gt;&lt;RecNum&gt;685&lt;/RecNum&gt;&lt;record&gt;&lt;rec-number&gt;685&lt;/rec-number&gt;&lt;foreign-keys&gt;&lt;key app="EN" db-id="z0srrv5r6z22xhewwwyxx2e0wxrfrspep99a" timestamp="1494617022"&gt;685&lt;/key&gt;&lt;/foreign-keys&gt;&lt;ref-type name="Journal Article"&gt;17&lt;/ref-type&gt;&lt;contributors&gt;&lt;authors&gt;&lt;author&gt;Sivaganesan, M.&lt;/author&gt;&lt;author&gt;Siefring, S.&lt;/author&gt;&lt;author&gt;Varma, M.&lt;/author&gt;&lt;author&gt;Haugland, R.A.&lt;/author&gt;&lt;/authors&gt;&lt;/contributors&gt;&lt;titles&gt;&lt;title&gt;MPN estimation of qPCR target sequence recoveries from whole cell calibrator samples&lt;/title&gt;&lt;secondary-title&gt;Journal of Microbiological Methods&lt;/secondary-title&gt;&lt;/titles&gt;&lt;periodical&gt;&lt;full-title&gt;Journal of Microbiological Methods&lt;/full-title&gt;&lt;/periodical&gt;&lt;pages&gt;343-349&lt;/pages&gt;&lt;volume&gt;87&lt;/volume&gt;&lt;dates&gt;&lt;year&gt;2011&lt;/year&gt;&lt;/dates&gt;&lt;urls&gt;&lt;/urls&gt;&lt;/record&gt;&lt;/Cite&gt;&lt;/EndNote&gt;</w:instrText>
            </w:r>
            <w:r>
              <w:rPr>
                <w:rFonts w:ascii="Calibri" w:hAnsi="Calibri" w:cs="Calibri"/>
                <w:b w:val="0"/>
                <w:bCs w:val="0"/>
                <w:i w:val="0"/>
                <w:iCs/>
                <w:sz w:val="20"/>
                <w:szCs w:val="20"/>
              </w:rPr>
              <w:fldChar w:fldCharType="separate"/>
            </w:r>
            <w:r w:rsidR="00067C50">
              <w:rPr>
                <w:rFonts w:ascii="Calibri" w:hAnsi="Calibri" w:cs="Calibri"/>
                <w:b w:val="0"/>
                <w:bCs w:val="0"/>
                <w:i w:val="0"/>
                <w:iCs/>
                <w:noProof/>
                <w:sz w:val="20"/>
                <w:szCs w:val="20"/>
              </w:rPr>
              <w:t>[3, 4]</w:t>
            </w:r>
            <w:r>
              <w:rPr>
                <w:rFonts w:ascii="Calibri" w:hAnsi="Calibri" w:cs="Calibri"/>
                <w:b w:val="0"/>
                <w:bCs w:val="0"/>
                <w:i w:val="0"/>
                <w:iCs/>
                <w:sz w:val="20"/>
                <w:szCs w:val="20"/>
              </w:rPr>
              <w:fldChar w:fldCharType="end"/>
            </w:r>
          </w:p>
        </w:tc>
      </w:tr>
      <w:tr w:rsidR="00B622E1" w14:paraId="022F7E25" w14:textId="77777777" w:rsidTr="00FA5301">
        <w:tc>
          <w:tcPr>
            <w:tcW w:w="1597" w:type="dxa"/>
            <w:vMerge/>
            <w:vAlign w:val="center"/>
          </w:tcPr>
          <w:p w14:paraId="716F505C" w14:textId="77777777" w:rsidR="00B622E1" w:rsidRPr="008675D3" w:rsidRDefault="00B622E1" w:rsidP="00B622E1">
            <w:pPr>
              <w:pStyle w:val="Style9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 w:val="0"/>
                <w:bCs w:val="0"/>
                <w:i w:val="0"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66AD49A" w14:textId="77777777" w:rsidR="00B622E1" w:rsidRPr="008675D3" w:rsidRDefault="00B622E1" w:rsidP="00B622E1">
            <w:pPr>
              <w:pStyle w:val="Style9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 w:val="0"/>
                <w:bCs w:val="0"/>
                <w:i w:val="0"/>
                <w:iCs/>
                <w:sz w:val="20"/>
                <w:szCs w:val="20"/>
              </w:rPr>
            </w:pPr>
            <w:r w:rsidRPr="008675D3">
              <w:rPr>
                <w:rFonts w:ascii="Calibri" w:hAnsi="Calibri" w:cs="Calibri"/>
                <w:b w:val="0"/>
                <w:bCs w:val="0"/>
                <w:i w:val="0"/>
                <w:iCs/>
                <w:sz w:val="20"/>
                <w:szCs w:val="20"/>
              </w:rPr>
              <w:t>Reverse Primer</w:t>
            </w:r>
          </w:p>
        </w:tc>
        <w:tc>
          <w:tcPr>
            <w:tcW w:w="5400" w:type="dxa"/>
            <w:vAlign w:val="center"/>
          </w:tcPr>
          <w:p w14:paraId="5B6B0976" w14:textId="77777777" w:rsidR="00B622E1" w:rsidRPr="00B305FB" w:rsidRDefault="00B622E1" w:rsidP="00B622E1">
            <w:pPr>
              <w:pStyle w:val="Style9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0"/>
                <w:szCs w:val="20"/>
              </w:rPr>
            </w:pPr>
            <w:r w:rsidRPr="00B305FB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0"/>
                <w:szCs w:val="20"/>
              </w:rPr>
              <w:t>CAGTGCTCTACCTCCATCATT</w:t>
            </w:r>
          </w:p>
        </w:tc>
        <w:tc>
          <w:tcPr>
            <w:tcW w:w="1170" w:type="dxa"/>
            <w:vMerge/>
            <w:vAlign w:val="center"/>
          </w:tcPr>
          <w:p w14:paraId="3456D4D3" w14:textId="77777777" w:rsidR="00B622E1" w:rsidRPr="008675D3" w:rsidRDefault="00B622E1" w:rsidP="00B622E1">
            <w:pPr>
              <w:pStyle w:val="Style9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 w:val="0"/>
                <w:bCs w:val="0"/>
                <w:i w:val="0"/>
                <w:iCs/>
                <w:sz w:val="20"/>
                <w:szCs w:val="20"/>
              </w:rPr>
            </w:pPr>
          </w:p>
        </w:tc>
      </w:tr>
      <w:tr w:rsidR="00B622E1" w14:paraId="55A059E6" w14:textId="77777777" w:rsidTr="00FA5301">
        <w:tc>
          <w:tcPr>
            <w:tcW w:w="1597" w:type="dxa"/>
            <w:vMerge/>
            <w:vAlign w:val="center"/>
          </w:tcPr>
          <w:p w14:paraId="7306FC99" w14:textId="77777777" w:rsidR="00B622E1" w:rsidRPr="008675D3" w:rsidRDefault="00B622E1" w:rsidP="00B622E1">
            <w:pPr>
              <w:pStyle w:val="Style9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 w:val="0"/>
                <w:bCs w:val="0"/>
                <w:i w:val="0"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156B66" w14:textId="77777777" w:rsidR="00B622E1" w:rsidRPr="008675D3" w:rsidRDefault="00B622E1" w:rsidP="00B622E1">
            <w:pPr>
              <w:pStyle w:val="Style9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 w:val="0"/>
                <w:bCs w:val="0"/>
                <w:i w:val="0"/>
                <w:iCs/>
                <w:sz w:val="20"/>
                <w:szCs w:val="20"/>
              </w:rPr>
            </w:pPr>
            <w:r w:rsidRPr="008675D3">
              <w:rPr>
                <w:rFonts w:ascii="Calibri" w:hAnsi="Calibri" w:cs="Calibri"/>
                <w:b w:val="0"/>
                <w:bCs w:val="0"/>
                <w:i w:val="0"/>
                <w:iCs/>
                <w:sz w:val="20"/>
                <w:szCs w:val="20"/>
              </w:rPr>
              <w:t>Probe (FAM)</w:t>
            </w:r>
          </w:p>
        </w:tc>
        <w:tc>
          <w:tcPr>
            <w:tcW w:w="5400" w:type="dxa"/>
            <w:vAlign w:val="center"/>
          </w:tcPr>
          <w:p w14:paraId="46C61586" w14:textId="77777777" w:rsidR="00B622E1" w:rsidRPr="00B305FB" w:rsidRDefault="00B622E1" w:rsidP="00B622E1">
            <w:pPr>
              <w:pStyle w:val="Style9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0"/>
                <w:szCs w:val="20"/>
              </w:rPr>
            </w:pPr>
            <w:r w:rsidRPr="00B305FB">
              <w:rPr>
                <w:rFonts w:asciiTheme="minorHAnsi" w:hAnsiTheme="minorHAnsi" w:cstheme="minorHAnsi"/>
                <w:b w:val="0"/>
                <w:bCs w:val="0"/>
                <w:i w:val="0"/>
                <w:iCs/>
                <w:sz w:val="20"/>
                <w:szCs w:val="20"/>
              </w:rPr>
              <w:t>[FAM]TGGTTCTCTCCGAAATAGCTTTAGGGCTA[TAMRA]</w:t>
            </w:r>
          </w:p>
        </w:tc>
        <w:tc>
          <w:tcPr>
            <w:tcW w:w="1170" w:type="dxa"/>
            <w:vMerge/>
            <w:vAlign w:val="center"/>
          </w:tcPr>
          <w:p w14:paraId="38349E0E" w14:textId="77777777" w:rsidR="00B622E1" w:rsidRPr="008675D3" w:rsidRDefault="00B622E1" w:rsidP="00B622E1">
            <w:pPr>
              <w:pStyle w:val="Style9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 w:val="0"/>
                <w:bCs w:val="0"/>
                <w:i w:val="0"/>
                <w:iCs/>
                <w:sz w:val="20"/>
                <w:szCs w:val="20"/>
              </w:rPr>
            </w:pPr>
          </w:p>
        </w:tc>
      </w:tr>
    </w:tbl>
    <w:p w14:paraId="658B559D" w14:textId="77777777" w:rsidR="00B622E1" w:rsidRPr="00ED6F2C" w:rsidRDefault="00B622E1" w:rsidP="00B622E1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D606458" w14:textId="77777777" w:rsidR="00B622E1" w:rsidRPr="00ED6F2C" w:rsidRDefault="00B622E1" w:rsidP="00B622E1">
      <w:pPr>
        <w:spacing w:after="0" w:line="240" w:lineRule="auto"/>
        <w:ind w:left="2160" w:hanging="21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87A4E" w14:textId="12C750A3" w:rsidR="00B94661" w:rsidRDefault="00B622E1" w:rsidP="00B622E1">
      <w:pPr>
        <w:spacing w:after="0" w:line="240" w:lineRule="auto"/>
      </w:pPr>
      <w:r w:rsidRPr="00B622E1">
        <w:t>SRM 2917 is a ready to use, commercially available, linearized plasmid consisting of five dilutions ranging from dilution Level 1 (10.3 copies/2 µl) to Level 5 (1.04 · 10</w:t>
      </w:r>
      <w:r w:rsidRPr="00B622E1">
        <w:rPr>
          <w:vertAlign w:val="superscript"/>
        </w:rPr>
        <w:t>5</w:t>
      </w:r>
      <w:r w:rsidRPr="00B622E1">
        <w:t xml:space="preserve"> copies/2 µl).  </w:t>
      </w:r>
      <w:r>
        <w:t xml:space="preserve">This dataset reports repeated (3 replicates per instrument run for six instrument runs) measures of Dilution Level 3 </w:t>
      </w:r>
      <w:r w:rsidR="00084EDE">
        <w:t>(1.06 · 10</w:t>
      </w:r>
      <w:r w:rsidR="00084EDE" w:rsidRPr="00084EDE">
        <w:rPr>
          <w:vertAlign w:val="superscript"/>
        </w:rPr>
        <w:t>3</w:t>
      </w:r>
      <w:r w:rsidR="00084EDE">
        <w:t xml:space="preserve"> copies/2 µL) </w:t>
      </w:r>
      <w:r>
        <w:t>and Level 4 (</w:t>
      </w:r>
      <w:r w:rsidR="00084EDE">
        <w:t>1.06 · 10</w:t>
      </w:r>
      <w:r w:rsidR="00084EDE" w:rsidRPr="00084EDE">
        <w:rPr>
          <w:vertAlign w:val="superscript"/>
        </w:rPr>
        <w:t>4</w:t>
      </w:r>
      <w:r w:rsidR="00084EDE">
        <w:t xml:space="preserve"> copies/2 µL</w:t>
      </w:r>
      <w:r>
        <w:t>).</w:t>
      </w:r>
    </w:p>
    <w:p w14:paraId="1C24FF00" w14:textId="77777777" w:rsidR="00B622E1" w:rsidRDefault="00B622E1" w:rsidP="00B622E1">
      <w:pPr>
        <w:spacing w:after="0" w:line="240" w:lineRule="auto"/>
      </w:pPr>
    </w:p>
    <w:p w14:paraId="114895C6" w14:textId="622AB9C1" w:rsidR="00B94661" w:rsidRDefault="00B622E1" w:rsidP="00B622E1">
      <w:pPr>
        <w:spacing w:after="0" w:line="240" w:lineRule="auto"/>
      </w:pPr>
      <w:r w:rsidRPr="00B622E1">
        <w:t xml:space="preserve">To monitor for potential extraneous DNA contamination during </w:t>
      </w:r>
      <w:proofErr w:type="spellStart"/>
      <w:r>
        <w:t>dPCR</w:t>
      </w:r>
      <w:proofErr w:type="spellEnd"/>
      <w:r>
        <w:t xml:space="preserve"> </w:t>
      </w:r>
      <w:r w:rsidRPr="00B622E1">
        <w:t xml:space="preserve">amplification, </w:t>
      </w:r>
      <w:r>
        <w:t>three</w:t>
      </w:r>
      <w:r w:rsidRPr="00B622E1">
        <w:t xml:space="preserve"> no-template controls (NTC) with molecular grade water substituted for template DNA were performed with each instrument run.</w:t>
      </w:r>
    </w:p>
    <w:p w14:paraId="7F0A108B" w14:textId="77777777" w:rsidR="00B622E1" w:rsidRDefault="00B622E1" w:rsidP="00B622E1">
      <w:pPr>
        <w:spacing w:after="0" w:line="240" w:lineRule="auto"/>
        <w:rPr>
          <w:b/>
          <w:bCs/>
        </w:rPr>
      </w:pPr>
    </w:p>
    <w:p w14:paraId="197133EB" w14:textId="52576D54" w:rsidR="006A7D91" w:rsidRDefault="006A7D91" w:rsidP="00B622E1">
      <w:pPr>
        <w:spacing w:after="0" w:line="240" w:lineRule="auto"/>
      </w:pPr>
      <w:r w:rsidRPr="004E42F8">
        <w:rPr>
          <w:b/>
          <w:bCs/>
        </w:rPr>
        <w:t>Point of Contact:</w:t>
      </w:r>
      <w:r>
        <w:t xml:space="preserve"> Orin Shanks US EPA / ORD / CEMM / WECD / BMB</w:t>
      </w:r>
    </w:p>
    <w:p w14:paraId="26E17AB1" w14:textId="77777777" w:rsidR="006A7D91" w:rsidRDefault="006A7D91" w:rsidP="00B622E1">
      <w:pPr>
        <w:spacing w:after="0" w:line="240" w:lineRule="auto"/>
      </w:pPr>
    </w:p>
    <w:p w14:paraId="332C943F" w14:textId="77777777" w:rsidR="006A7D91" w:rsidRDefault="006A7D91" w:rsidP="00B622E1">
      <w:pPr>
        <w:spacing w:after="0" w:line="240" w:lineRule="auto"/>
      </w:pPr>
      <w:r w:rsidRPr="004E42F8">
        <w:rPr>
          <w:b/>
          <w:bCs/>
        </w:rPr>
        <w:t>Disclaimer:</w:t>
      </w:r>
      <w:r>
        <w:t xml:space="preserve"> </w:t>
      </w:r>
      <w:r w:rsidRPr="004E42F8">
        <w:t>This research dataset has been reviewed in accordance with U.S. Environmental P</w:t>
      </w:r>
      <w:r>
        <w:t xml:space="preserve">rotection </w:t>
      </w:r>
      <w:r w:rsidRPr="004E42F8">
        <w:t xml:space="preserve">Agency (U.S. EPA), Office of Research and Development, and approved for release. </w:t>
      </w:r>
      <w:r>
        <w:t>Mention</w:t>
      </w:r>
      <w:r w:rsidRPr="004E42F8">
        <w:t xml:space="preserve"> of brand names or vendors does not </w:t>
      </w:r>
      <w:r>
        <w:t>constitute</w:t>
      </w:r>
      <w:r w:rsidRPr="004E42F8">
        <w:t xml:space="preserve"> an endorsement of products or services by the U.S. EPA.</w:t>
      </w:r>
    </w:p>
    <w:p w14:paraId="503FF45A" w14:textId="77777777" w:rsidR="006A7D91" w:rsidRDefault="006A7D91" w:rsidP="00B622E1">
      <w:pPr>
        <w:spacing w:after="0" w:line="240" w:lineRule="auto"/>
      </w:pPr>
    </w:p>
    <w:p w14:paraId="408DF4C4" w14:textId="77777777" w:rsidR="006A7D91" w:rsidRPr="004E42F8" w:rsidRDefault="006A7D91" w:rsidP="00B622E1">
      <w:pPr>
        <w:spacing w:after="0" w:line="240" w:lineRule="auto"/>
        <w:rPr>
          <w:b/>
          <w:bCs/>
        </w:rPr>
      </w:pPr>
      <w:r w:rsidRPr="004E42F8">
        <w:rPr>
          <w:b/>
          <w:bCs/>
        </w:rPr>
        <w:t>References:</w:t>
      </w:r>
    </w:p>
    <w:p w14:paraId="55479F57" w14:textId="77777777" w:rsidR="00067C50" w:rsidRPr="00067C50" w:rsidRDefault="00067C50" w:rsidP="00067C50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067C50">
        <w:t>1.</w:t>
      </w:r>
      <w:r w:rsidRPr="00067C50">
        <w:tab/>
        <w:t xml:space="preserve">Kralj, J., et al., </w:t>
      </w:r>
      <w:r w:rsidRPr="00067C50">
        <w:rPr>
          <w:i/>
        </w:rPr>
        <w:t>Certification of standard reference material 2917 plasmid DNA for fecal indicator detection and identification.</w:t>
      </w:r>
      <w:r w:rsidRPr="00067C50">
        <w:t xml:space="preserve"> NIST Special Publication, 2021: p. 1-41.</w:t>
      </w:r>
    </w:p>
    <w:p w14:paraId="49E59BE9" w14:textId="77777777" w:rsidR="00067C50" w:rsidRPr="00067C50" w:rsidRDefault="00067C50" w:rsidP="00067C50">
      <w:pPr>
        <w:pStyle w:val="EndNoteBibliography"/>
        <w:spacing w:after="0"/>
        <w:ind w:left="720" w:hanging="720"/>
      </w:pPr>
      <w:r w:rsidRPr="00067C50">
        <w:t>2.</w:t>
      </w:r>
      <w:r w:rsidRPr="00067C50">
        <w:tab/>
        <w:t xml:space="preserve">Willis, J.R., et al., </w:t>
      </w:r>
      <w:r w:rsidRPr="00067C50">
        <w:rPr>
          <w:i/>
        </w:rPr>
        <w:t>Performance of NIST SRM 2917 with 13 recreational water quality monitoring qPCR assays.</w:t>
      </w:r>
      <w:r w:rsidRPr="00067C50">
        <w:t xml:space="preserve"> Water Research, 2022. </w:t>
      </w:r>
      <w:r w:rsidRPr="00067C50">
        <w:rPr>
          <w:b/>
        </w:rPr>
        <w:t>212</w:t>
      </w:r>
      <w:r w:rsidRPr="00067C50">
        <w:t>: p. 118114.</w:t>
      </w:r>
    </w:p>
    <w:p w14:paraId="4380489A" w14:textId="77777777" w:rsidR="00067C50" w:rsidRPr="00067C50" w:rsidRDefault="00067C50" w:rsidP="00067C50">
      <w:pPr>
        <w:pStyle w:val="EndNoteBibliography"/>
        <w:spacing w:after="0"/>
        <w:ind w:left="720" w:hanging="720"/>
      </w:pPr>
      <w:r w:rsidRPr="00067C50">
        <w:t>3.</w:t>
      </w:r>
      <w:r w:rsidRPr="00067C50">
        <w:tab/>
        <w:t xml:space="preserve">Ludwig, W. and K.H. Schleifer, </w:t>
      </w:r>
      <w:r w:rsidRPr="00067C50">
        <w:rPr>
          <w:i/>
        </w:rPr>
        <w:t>How quantitative is quantitative PCR with respect to cell counts?</w:t>
      </w:r>
      <w:r w:rsidRPr="00067C50">
        <w:t xml:space="preserve"> Systematic and Applied Microbiology, 2000. </w:t>
      </w:r>
      <w:r w:rsidRPr="00067C50">
        <w:rPr>
          <w:b/>
        </w:rPr>
        <w:t>23</w:t>
      </w:r>
      <w:r w:rsidRPr="00067C50">
        <w:t>(4): p. 556-562.</w:t>
      </w:r>
    </w:p>
    <w:p w14:paraId="47978DD5" w14:textId="77777777" w:rsidR="00067C50" w:rsidRPr="00067C50" w:rsidRDefault="00067C50" w:rsidP="00067C50">
      <w:pPr>
        <w:pStyle w:val="EndNoteBibliography"/>
        <w:ind w:left="720" w:hanging="720"/>
      </w:pPr>
      <w:r w:rsidRPr="00067C50">
        <w:t>4.</w:t>
      </w:r>
      <w:r w:rsidRPr="00067C50">
        <w:tab/>
        <w:t xml:space="preserve">Sivaganesan, M., et al., </w:t>
      </w:r>
      <w:r w:rsidRPr="00067C50">
        <w:rPr>
          <w:i/>
        </w:rPr>
        <w:t>MPN estimation of qPCR target sequence recoveries from whole cell calibrator samples.</w:t>
      </w:r>
      <w:r w:rsidRPr="00067C50">
        <w:t xml:space="preserve"> Journal of Microbiological Methods, 2011. </w:t>
      </w:r>
      <w:r w:rsidRPr="00067C50">
        <w:rPr>
          <w:b/>
        </w:rPr>
        <w:t>87</w:t>
      </w:r>
      <w:r w:rsidRPr="00067C50">
        <w:t>: p. 343-349.</w:t>
      </w:r>
    </w:p>
    <w:p w14:paraId="7BD94A36" w14:textId="5FD58E8B" w:rsidR="006A7D91" w:rsidRDefault="00067C50" w:rsidP="00B622E1">
      <w:pPr>
        <w:spacing w:after="0" w:line="240" w:lineRule="auto"/>
      </w:pPr>
      <w:r>
        <w:fldChar w:fldCharType="end"/>
      </w:r>
    </w:p>
    <w:sectPr w:rsidR="006A7D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3A97" w14:textId="77777777" w:rsidR="006A7D91" w:rsidRDefault="006A7D91" w:rsidP="006A7D91">
      <w:pPr>
        <w:spacing w:after="0" w:line="240" w:lineRule="auto"/>
      </w:pPr>
      <w:r>
        <w:separator/>
      </w:r>
    </w:p>
  </w:endnote>
  <w:endnote w:type="continuationSeparator" w:id="0">
    <w:p w14:paraId="1C0C5274" w14:textId="77777777" w:rsidR="006A7D91" w:rsidRDefault="006A7D91" w:rsidP="006A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250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79E17" w14:textId="3F82EDA1" w:rsidR="006A7D91" w:rsidRDefault="006A7D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FE944D" w14:textId="77777777" w:rsidR="006A7D91" w:rsidRDefault="006A7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7BEA" w14:textId="77777777" w:rsidR="006A7D91" w:rsidRDefault="006A7D91" w:rsidP="006A7D91">
      <w:pPr>
        <w:spacing w:after="0" w:line="240" w:lineRule="auto"/>
      </w:pPr>
      <w:r>
        <w:separator/>
      </w:r>
    </w:p>
  </w:footnote>
  <w:footnote w:type="continuationSeparator" w:id="0">
    <w:p w14:paraId="2FAAF981" w14:textId="77777777" w:rsidR="006A7D91" w:rsidRDefault="006A7D91" w:rsidP="006A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00C53"/>
    <w:multiLevelType w:val="multilevel"/>
    <w:tmpl w:val="B196510A"/>
    <w:lvl w:ilvl="0">
      <w:start w:val="1"/>
      <w:numFmt w:val="decimal"/>
      <w:pStyle w:val="Style9"/>
      <w:lvlText w:val="%1."/>
      <w:lvlJc w:val="left"/>
      <w:pPr>
        <w:ind w:left="504" w:hanging="504"/>
      </w:pPr>
      <w:rPr>
        <w:rFonts w:asciiTheme="majorHAnsi" w:hAnsiTheme="majorHAnsi" w:hint="default"/>
        <w:b/>
        <w:i w:val="0"/>
        <w:sz w:val="28"/>
        <w:szCs w:val="28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1944" w:hanging="792"/>
      </w:pPr>
      <w:rPr>
        <w:rFonts w:hint="default"/>
        <w:b w:val="0"/>
        <w:i w:val="0"/>
        <w:iCs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 w16cid:durableId="84601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srrv5r6z22xhewwwyxx2e0wxrfrspep99a&quot;&gt;EPA-Converted-Saved&lt;record-ids&gt;&lt;item&gt;147&lt;/item&gt;&lt;item&gt;685&lt;/item&gt;&lt;item&gt;832&lt;/item&gt;&lt;item&gt;852&lt;/item&gt;&lt;/record-ids&gt;&lt;/item&gt;&lt;/Libraries&gt;"/>
  </w:docVars>
  <w:rsids>
    <w:rsidRoot w:val="006A7D91"/>
    <w:rsid w:val="00067C50"/>
    <w:rsid w:val="00084EDE"/>
    <w:rsid w:val="003C1302"/>
    <w:rsid w:val="00526F51"/>
    <w:rsid w:val="00682B75"/>
    <w:rsid w:val="006A7D91"/>
    <w:rsid w:val="00723793"/>
    <w:rsid w:val="00A70B60"/>
    <w:rsid w:val="00B622E1"/>
    <w:rsid w:val="00B8651F"/>
    <w:rsid w:val="00B94661"/>
    <w:rsid w:val="00BB7B03"/>
    <w:rsid w:val="00C61A8F"/>
    <w:rsid w:val="00F7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024CBD"/>
  <w15:chartTrackingRefBased/>
  <w15:docId w15:val="{6B181A71-3D25-4C81-BBF5-8205D441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D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D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7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D91"/>
  </w:style>
  <w:style w:type="paragraph" w:styleId="Footer">
    <w:name w:val="footer"/>
    <w:basedOn w:val="Normal"/>
    <w:link w:val="FooterChar"/>
    <w:uiPriority w:val="99"/>
    <w:unhideWhenUsed/>
    <w:rsid w:val="006A7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D91"/>
  </w:style>
  <w:style w:type="table" w:styleId="TableGrid">
    <w:name w:val="Table Grid"/>
    <w:basedOn w:val="TableNormal"/>
    <w:uiPriority w:val="59"/>
    <w:rsid w:val="00B622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Heading1"/>
    <w:link w:val="Style9Char"/>
    <w:qFormat/>
    <w:rsid w:val="00B622E1"/>
    <w:pPr>
      <w:keepLines w:val="0"/>
      <w:numPr>
        <w:numId w:val="1"/>
      </w:numPr>
      <w:spacing w:before="0" w:after="0" w:line="240" w:lineRule="auto"/>
    </w:pPr>
    <w:rPr>
      <w:rFonts w:ascii="Cambria" w:eastAsia="Times New Roman" w:hAnsi="Cambria" w:cs="Times New Roman"/>
      <w:b/>
      <w:bCs/>
      <w:i/>
      <w:color w:val="auto"/>
      <w:kern w:val="32"/>
      <w:sz w:val="28"/>
      <w:szCs w:val="32"/>
      <w14:ligatures w14:val="none"/>
    </w:rPr>
  </w:style>
  <w:style w:type="character" w:customStyle="1" w:styleId="Style9Char">
    <w:name w:val="Style9 Char"/>
    <w:basedOn w:val="DefaultParagraphFont"/>
    <w:link w:val="Style9"/>
    <w:rsid w:val="00B622E1"/>
    <w:rPr>
      <w:rFonts w:ascii="Cambria" w:eastAsia="Times New Roman" w:hAnsi="Cambria" w:cs="Times New Roman"/>
      <w:b/>
      <w:bCs/>
      <w:i/>
      <w:kern w:val="32"/>
      <w:sz w:val="28"/>
      <w:szCs w:val="32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067C50"/>
    <w:pPr>
      <w:spacing w:after="0"/>
      <w:jc w:val="center"/>
    </w:pPr>
    <w:rPr>
      <w:rFonts w:ascii="Aptos" w:hAnsi="Apto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67C50"/>
    <w:rPr>
      <w:rFonts w:ascii="Aptos" w:hAnsi="Aptos"/>
      <w:noProof/>
    </w:rPr>
  </w:style>
  <w:style w:type="paragraph" w:customStyle="1" w:styleId="EndNoteBibliography">
    <w:name w:val="EndNote Bibliography"/>
    <w:basedOn w:val="Normal"/>
    <w:link w:val="EndNoteBibliographyChar"/>
    <w:rsid w:val="00067C50"/>
    <w:pPr>
      <w:spacing w:line="240" w:lineRule="auto"/>
    </w:pPr>
    <w:rPr>
      <w:rFonts w:ascii="Aptos" w:hAnsi="Apto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67C50"/>
    <w:rPr>
      <w:rFonts w:ascii="Aptos" w:hAnsi="Aptos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Shanks, Orin</dc:creator>
  <cp:keywords/>
  <dc:description/>
  <cp:lastModifiedBy>Shanks, Orin</cp:lastModifiedBy>
  <cp:revision>4</cp:revision>
  <dcterms:created xsi:type="dcterms:W3CDTF">2025-04-14T18:19:00Z</dcterms:created>
  <dcterms:modified xsi:type="dcterms:W3CDTF">2025-04-15T15:12:00Z</dcterms:modified>
</cp:coreProperties>
</file>