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52C4" w14:textId="052898C8" w:rsidR="0085206F" w:rsidRDefault="0085206F" w:rsidP="0085206F">
      <w:pPr>
        <w:pStyle w:val="ListParagraph"/>
        <w:numPr>
          <w:ilvl w:val="0"/>
          <w:numId w:val="1"/>
        </w:numPr>
      </w:pPr>
      <w:r>
        <w:t xml:space="preserve"> </w:t>
      </w:r>
      <w:r w:rsidR="00E55EEA">
        <w:t>Solution</w:t>
      </w:r>
      <w:r>
        <w:t xml:space="preserve"> Plate 1 Layout</w:t>
      </w:r>
    </w:p>
    <w:p w14:paraId="22768823" w14:textId="36BF5F3C" w:rsidR="0085206F" w:rsidRDefault="0085206F">
      <w:r w:rsidRPr="0085206F">
        <w:rPr>
          <w:noProof/>
        </w:rPr>
        <w:drawing>
          <wp:inline distT="0" distB="0" distL="0" distR="0" wp14:anchorId="517DAFB7" wp14:editId="0C338D7A">
            <wp:extent cx="5943600" cy="1896110"/>
            <wp:effectExtent l="0" t="0" r="0" b="8890"/>
            <wp:docPr id="393989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4C84" w14:textId="16AC3255" w:rsidR="0085206F" w:rsidRDefault="00E55EEA" w:rsidP="0085206F">
      <w:pPr>
        <w:pStyle w:val="ListParagraph"/>
        <w:numPr>
          <w:ilvl w:val="0"/>
          <w:numId w:val="1"/>
        </w:numPr>
      </w:pPr>
      <w:r>
        <w:t>Solution</w:t>
      </w:r>
      <w:r w:rsidR="0085206F">
        <w:t xml:space="preserve"> Plate 2 Layout</w:t>
      </w:r>
    </w:p>
    <w:p w14:paraId="487F1484" w14:textId="0B1CD311" w:rsidR="0085206F" w:rsidRDefault="0085206F">
      <w:r w:rsidRPr="0085206F">
        <w:rPr>
          <w:noProof/>
        </w:rPr>
        <w:drawing>
          <wp:inline distT="0" distB="0" distL="0" distR="0" wp14:anchorId="2FC088EC" wp14:editId="150F8839">
            <wp:extent cx="5943600" cy="1896110"/>
            <wp:effectExtent l="0" t="0" r="0" b="8890"/>
            <wp:docPr id="9382838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A626" w14:textId="77777777" w:rsidR="0085206F" w:rsidRDefault="0085206F"/>
    <w:p w14:paraId="4D7D07E8" w14:textId="66650B32" w:rsidR="0085206F" w:rsidRDefault="0085206F">
      <w:r>
        <w:t>C. Test Plate Layout</w:t>
      </w:r>
    </w:p>
    <w:p w14:paraId="6B05F58C" w14:textId="6010FD5E" w:rsidR="0085206F" w:rsidRDefault="0085206F">
      <w:r w:rsidRPr="0085206F">
        <w:rPr>
          <w:noProof/>
        </w:rPr>
        <w:drawing>
          <wp:inline distT="0" distB="0" distL="0" distR="0" wp14:anchorId="459426E6" wp14:editId="7B6A9D35">
            <wp:extent cx="5943600" cy="2886075"/>
            <wp:effectExtent l="0" t="0" r="0" b="9525"/>
            <wp:docPr id="11540122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15BC" w14:textId="1408E34E" w:rsidR="0085206F" w:rsidRDefault="0085206F">
      <w:r>
        <w:lastRenderedPageBreak/>
        <w:t xml:space="preserve">Supplemental Figure </w:t>
      </w:r>
      <w:r w:rsidR="0050376E">
        <w:t>1</w:t>
      </w:r>
      <w:r>
        <w:t>.  Template for the layout for feeder plates and test plate</w:t>
      </w:r>
      <w:r w:rsidR="0050376E">
        <w:t xml:space="preserve"> for single concentration testing phase</w:t>
      </w:r>
      <w:r>
        <w:t xml:space="preserve">.  Each feeder plate </w:t>
      </w:r>
      <w:r w:rsidR="00FC79F0">
        <w:t xml:space="preserve">(A and B) </w:t>
      </w:r>
      <w:r>
        <w:t>is filled with aliquots of test chemicals (1 replicate of each of 72 test agents per feeder plate</w:t>
      </w:r>
      <w:r w:rsidR="0068450E">
        <w:t>, black text</w:t>
      </w:r>
      <w:r>
        <w:t>)</w:t>
      </w:r>
      <w:r w:rsidR="0068450E">
        <w:t xml:space="preserve">, a 12 concentration series of standard TPO inhibitor methimazole (MMI; one well per concentration, green text), a single high concentration (final assay concentration 87.5µM) of each of 6 reference chemicals (one well each of resorcinol – RSC; </w:t>
      </w:r>
      <w:r>
        <w:t xml:space="preserve"> </w:t>
      </w:r>
      <w:r w:rsidR="0068450E" w:rsidRPr="0068450E">
        <w:t xml:space="preserve">2,2′,4,4′-tetrahydroxybenzophenone </w:t>
      </w:r>
      <w:r w:rsidR="0068450E">
        <w:t xml:space="preserve">- </w:t>
      </w:r>
      <w:r w:rsidR="0068450E" w:rsidRPr="0068450E">
        <w:t>BP2</w:t>
      </w:r>
      <w:r w:rsidR="0068450E">
        <w:t xml:space="preserve">; </w:t>
      </w:r>
      <w:r w:rsidR="0068450E" w:rsidRPr="0068450E">
        <w:t xml:space="preserve">dibutyl phthalate </w:t>
      </w:r>
      <w:r w:rsidR="0068450E">
        <w:t xml:space="preserve">– </w:t>
      </w:r>
      <w:r w:rsidR="0068450E" w:rsidRPr="0068450E">
        <w:t>DBP</w:t>
      </w:r>
      <w:r w:rsidR="0068450E">
        <w:t xml:space="preserve">; </w:t>
      </w:r>
      <w:r w:rsidR="0068450E" w:rsidRPr="0068450E">
        <w:t xml:space="preserve">sodium perchlorate </w:t>
      </w:r>
      <w:r w:rsidR="0068450E">
        <w:t xml:space="preserve">- </w:t>
      </w:r>
      <w:r w:rsidR="0068450E" w:rsidRPr="0068450E">
        <w:t>Na</w:t>
      </w:r>
      <w:r w:rsidR="0068450E">
        <w:t>P</w:t>
      </w:r>
      <w:r w:rsidR="0068450E" w:rsidRPr="0068450E">
        <w:t>er</w:t>
      </w:r>
      <w:r w:rsidR="0068450E">
        <w:t xml:space="preserve">; </w:t>
      </w:r>
      <w:r w:rsidR="0068450E" w:rsidRPr="0068450E">
        <w:t xml:space="preserve">sulfamethazine </w:t>
      </w:r>
      <w:r w:rsidR="0068450E">
        <w:t xml:space="preserve">– </w:t>
      </w:r>
      <w:r w:rsidR="0068450E" w:rsidRPr="0068450E">
        <w:t>SMZ</w:t>
      </w:r>
      <w:r w:rsidR="0068450E">
        <w:t xml:space="preserve">;  and triclosan – TSC), 4 wells of DMSO control </w:t>
      </w:r>
      <w:r w:rsidR="00FC79F0">
        <w:t xml:space="preserve">(for inhibitor free enzyme control), and 2 wells of deionized water (for enzyme-free blank).  To load test materials into each 384 well assay plate, 2.1 </w:t>
      </w:r>
      <w:proofErr w:type="spellStart"/>
      <w:r w:rsidR="00FC79F0">
        <w:t>μl</w:t>
      </w:r>
      <w:proofErr w:type="spellEnd"/>
      <w:r w:rsidR="00FC79F0">
        <w:t xml:space="preserve"> from each of 96 wells of a feeder plate are transferred simultaneously into one of 4 X 96 well templates in the assay plate.  2 feeder plates are used to populate the assay plate such that each well of each feeder plate results in 2 replicate wells in each assay plate (</w:t>
      </w:r>
      <w:proofErr w:type="spellStart"/>
      <w:r w:rsidR="00FC79F0">
        <w:t>eg.</w:t>
      </w:r>
      <w:proofErr w:type="spellEnd"/>
      <w:r w:rsidR="00FC79F0">
        <w:t xml:space="preserve">  yellow and blue wells in assay plate in C are populated from feeder plates 1 (A)  and 2 (B), respectively).   </w:t>
      </w:r>
      <w:r w:rsidR="0050376E">
        <w:t>As similar strategy was used for the multiple concentration phase AUR-</w:t>
      </w:r>
      <w:proofErr w:type="spellStart"/>
      <w:r w:rsidR="0050376E">
        <w:t>hPTO</w:t>
      </w:r>
      <w:proofErr w:type="spellEnd"/>
      <w:r w:rsidR="0050376E">
        <w:t xml:space="preserve"> assay.</w:t>
      </w:r>
    </w:p>
    <w:sectPr w:rsidR="00852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B7A9E"/>
    <w:multiLevelType w:val="hybridMultilevel"/>
    <w:tmpl w:val="5A6435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9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6F"/>
    <w:rsid w:val="001C6749"/>
    <w:rsid w:val="0050376E"/>
    <w:rsid w:val="0068450E"/>
    <w:rsid w:val="0085206F"/>
    <w:rsid w:val="00951EB5"/>
    <w:rsid w:val="009E6E56"/>
    <w:rsid w:val="00B71CCA"/>
    <w:rsid w:val="00B726ED"/>
    <w:rsid w:val="00C51BE4"/>
    <w:rsid w:val="00C810C7"/>
    <w:rsid w:val="00E55EEA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D63A"/>
  <w15:chartTrackingRefBased/>
  <w15:docId w15:val="{CA0DEC58-D905-4A60-8337-C328C27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Mike (HC/SC)</dc:creator>
  <cp:keywords/>
  <dc:description/>
  <cp:lastModifiedBy>Wade, Mike (HC/SC)</cp:lastModifiedBy>
  <cp:revision>3</cp:revision>
  <dcterms:created xsi:type="dcterms:W3CDTF">2024-07-03T20:01:00Z</dcterms:created>
  <dcterms:modified xsi:type="dcterms:W3CDTF">2024-07-16T15:01:00Z</dcterms:modified>
</cp:coreProperties>
</file>