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bidi w:val="0"/>
        <w:spacing w:lineRule="auto" w:line="360" w:before="480" w:after="240"/>
        <w:rPr>
          <w:rFonts w:ascii="Comic Sans MS" w:hAnsi="Comic Sans MS"/>
          <w:sz w:val="28"/>
          <w:szCs w:val="28"/>
        </w:rPr>
      </w:pPr>
      <w:r>
        <w:rPr>
          <w:rFonts w:ascii="Comic Sans MS" w:hAnsi="Comic Sans MS"/>
          <w:sz w:val="28"/>
          <w:szCs w:val="28"/>
        </w:rPr>
        <w:t>Supplementary Information: Development of Chemical Categories for Per- and Polyfluoroalkyl Substances (PFAS) and the Proof-of-Concept Approach to the Identification of Potential Candidates for Tiered Toxicological Testing and Human Health Assessment</w:t>
      </w:r>
    </w:p>
    <w:p>
      <w:pPr>
        <w:pStyle w:val="Author"/>
        <w:spacing w:lineRule="auto" w:line="360"/>
        <w:rPr>
          <w:rFonts w:ascii="Comic Sans MS" w:hAnsi="Comic Sans MS"/>
        </w:rPr>
      </w:pPr>
      <w:r>
        <w:rPr/>
        <w:t>G. Patlewicz</w:t>
      </w:r>
      <w:r>
        <w:rPr>
          <w:vertAlign w:val="superscript"/>
        </w:rPr>
        <w:t>1*</w:t>
      </w:r>
      <w:r>
        <w:rPr/>
        <w:t>, R. S. Judson</w:t>
      </w:r>
      <w:r>
        <w:rPr>
          <w:vertAlign w:val="superscript"/>
        </w:rPr>
        <w:t>1</w:t>
      </w:r>
      <w:r>
        <w:rPr/>
        <w:t>, A. J. Williams</w:t>
      </w:r>
      <w:r>
        <w:rPr>
          <w:vertAlign w:val="superscript"/>
        </w:rPr>
        <w:t>1</w:t>
      </w:r>
      <w:r>
        <w:rPr/>
        <w:t>, T. Butler</w:t>
      </w:r>
      <w:r>
        <w:rPr>
          <w:vertAlign w:val="superscript"/>
        </w:rPr>
        <w:t>2</w:t>
      </w:r>
      <w:r>
        <w:rPr/>
        <w:t>, S. Barone Jr.</w:t>
      </w:r>
      <w:r>
        <w:rPr>
          <w:vertAlign w:val="superscript"/>
        </w:rPr>
        <w:t>2</w:t>
      </w:r>
      <w:r>
        <w:rPr/>
        <w:t xml:space="preserve">, K. </w:t>
      </w:r>
      <w:r>
        <w:rPr/>
        <w:t>E.</w:t>
      </w:r>
      <w:r>
        <w:rPr/>
        <w:t xml:space="preserve"> Carstens</w:t>
      </w:r>
      <w:r>
        <w:rPr>
          <w:vertAlign w:val="superscript"/>
        </w:rPr>
        <w:t>1</w:t>
      </w:r>
      <w:r>
        <w:rPr/>
        <w:t>, J. Cowden</w:t>
      </w:r>
      <w:r>
        <w:rPr>
          <w:vertAlign w:val="superscript"/>
        </w:rPr>
        <w:t>1</w:t>
      </w:r>
      <w:r>
        <w:rPr/>
        <w:t>, J. L. Dawson</w:t>
      </w:r>
      <w:r>
        <w:rPr>
          <w:vertAlign w:val="superscript"/>
        </w:rPr>
        <w:t>2</w:t>
      </w:r>
      <w:r>
        <w:rPr/>
        <w:t xml:space="preserve">, S. </w:t>
      </w:r>
      <w:r>
        <w:rPr/>
        <w:t>J.</w:t>
      </w:r>
      <w:r>
        <w:rPr/>
        <w:t xml:space="preserve"> Degitz</w:t>
      </w:r>
      <w:r>
        <w:rPr>
          <w:vertAlign w:val="superscript"/>
        </w:rPr>
        <w:t>1</w:t>
      </w:r>
      <w:r>
        <w:rPr/>
        <w:t>, K. Fay</w:t>
      </w:r>
      <w:r>
        <w:rPr>
          <w:vertAlign w:val="superscript"/>
        </w:rPr>
        <w:t>2</w:t>
      </w:r>
      <w:r>
        <w:rPr/>
        <w:t>, T. R. Henry</w:t>
      </w:r>
      <w:r>
        <w:rPr>
          <w:vertAlign w:val="superscript"/>
        </w:rPr>
        <w:t>2^</w:t>
      </w:r>
      <w:r>
        <w:rPr/>
        <w:t>, A. Lowit</w:t>
      </w:r>
      <w:r>
        <w:rPr>
          <w:vertAlign w:val="superscript"/>
        </w:rPr>
        <w:t>2</w:t>
      </w:r>
      <w:r>
        <w:rPr/>
        <w:t>, S. Padilla</w:t>
      </w:r>
      <w:r>
        <w:rPr>
          <w:vertAlign w:val="superscript"/>
        </w:rPr>
        <w:t>1</w:t>
      </w:r>
      <w:r>
        <w:rPr/>
        <w:t>, K. Paul Friedman</w:t>
      </w:r>
      <w:r>
        <w:rPr>
          <w:vertAlign w:val="superscript"/>
        </w:rPr>
        <w:t>1</w:t>
      </w:r>
      <w:r>
        <w:rPr/>
        <w:t>, M. B. Phillips</w:t>
      </w:r>
      <w:r>
        <w:rPr>
          <w:vertAlign w:val="superscript"/>
        </w:rPr>
        <w:t>2</w:t>
      </w:r>
      <w:r>
        <w:rPr/>
        <w:t>, D. Turk</w:t>
      </w:r>
      <w:r>
        <w:rPr>
          <w:vertAlign w:val="superscript"/>
        </w:rPr>
        <w:t>2</w:t>
      </w:r>
      <w:r>
        <w:rPr/>
        <w:t xml:space="preserve">, J. </w:t>
      </w:r>
      <w:r>
        <w:rPr/>
        <w:t>F.</w:t>
      </w:r>
      <w:r>
        <w:rPr/>
        <w:t xml:space="preserve"> Wambaugh</w:t>
      </w:r>
      <w:r>
        <w:rPr>
          <w:vertAlign w:val="superscript"/>
        </w:rPr>
        <w:t>1</w:t>
      </w:r>
      <w:r>
        <w:rPr/>
        <w:t xml:space="preserve">, B. </w:t>
      </w:r>
      <w:r>
        <w:rPr/>
        <w:t>A</w:t>
      </w:r>
      <w:r>
        <w:rPr/>
        <w:t xml:space="preserve"> Wetmore</w:t>
      </w:r>
      <w:r>
        <w:rPr>
          <w:vertAlign w:val="superscript"/>
        </w:rPr>
        <w:t>1</w:t>
      </w:r>
      <w:r>
        <w:rPr/>
        <w:t>, R. S. Thomas</w:t>
      </w:r>
      <w:r>
        <w:rPr>
          <w:vertAlign w:val="superscript"/>
        </w:rPr>
        <w:t>1</w:t>
      </w:r>
    </w:p>
    <w:p>
      <w:pPr>
        <w:pStyle w:val="Normal"/>
        <w:bidi w:val="0"/>
        <w:spacing w:lineRule="auto" w:line="360"/>
        <w:jc w:val="start"/>
        <w:rPr>
          <w:rFonts w:ascii="Comic Sans MS" w:hAnsi="Comic Sans MS"/>
        </w:rPr>
      </w:pPr>
      <w:r>
        <w:rPr>
          <w:vertAlign w:val="superscript"/>
        </w:rPr>
        <w:t>1</w:t>
      </w:r>
      <w:r>
        <w:rPr/>
        <w:t>Center for Computational Toxicology &amp; Exposure (CCTE), U.S. Environmental Protection Agency, Research Triangle Park, Durham, NC, 27709, USA</w:t>
      </w:r>
    </w:p>
    <w:p>
      <w:pPr>
        <w:pStyle w:val="Normal"/>
        <w:bidi w:val="0"/>
        <w:spacing w:lineRule="auto" w:line="360"/>
        <w:jc w:val="start"/>
        <w:rPr>
          <w:rFonts w:ascii="Comic Sans MS" w:hAnsi="Comic Sans MS"/>
        </w:rPr>
      </w:pPr>
      <w:r>
        <w:rPr>
          <w:vertAlign w:val="superscript"/>
        </w:rPr>
        <w:t>2</w:t>
      </w:r>
      <w:r>
        <w:rPr/>
        <w:t>Office of Chemical Safety and Pollution Prevention (OSCPP), US Environmental Protection Agency, DC, USA</w:t>
      </w:r>
    </w:p>
    <w:p>
      <w:pPr>
        <w:pStyle w:val="Normal"/>
        <w:bidi w:val="0"/>
        <w:spacing w:lineRule="auto" w:line="480"/>
        <w:jc w:val="both"/>
        <w:rPr>
          <w:rFonts w:ascii="Comic Sans MS" w:hAnsi="Comic Sans MS" w:cs="" w:cstheme="minorHAnsi"/>
        </w:rPr>
      </w:pPr>
      <w:r>
        <w:rPr>
          <w:rFonts w:cs="" w:cstheme="minorHAnsi"/>
        </w:rPr>
        <w:t xml:space="preserve">*Corresponding author. Grace Patlewicz Tel: +1 (919) 541-1540 Email: </w:t>
      </w:r>
      <w:hyperlink r:id="rId2">
        <w:r>
          <w:rPr>
            <w:rStyle w:val="InternetLink"/>
            <w:rFonts w:cs="" w:cstheme="minorHAnsi"/>
          </w:rPr>
          <w:t>patlewicz.grace@epa.gov</w:t>
        </w:r>
      </w:hyperlink>
    </w:p>
    <w:p>
      <w:pPr>
        <w:pStyle w:val="Normal"/>
        <w:bidi w:val="0"/>
        <w:spacing w:lineRule="auto" w:line="480"/>
        <w:jc w:val="both"/>
        <w:rPr>
          <w:rFonts w:ascii="Comic Sans MS" w:hAnsi="Comic Sans MS" w:cs="" w:cstheme="minorHAnsi"/>
        </w:rPr>
      </w:pPr>
      <w:r>
        <w:rPr>
          <w:rFonts w:cs="" w:cstheme="minorHAnsi"/>
        </w:rPr>
        <w:t>^Retired</w:t>
      </w:r>
      <w:r>
        <w:br w:type="page"/>
      </w:r>
    </w:p>
    <w:p>
      <w:pPr>
        <w:pStyle w:val="Heading1"/>
        <w:bidi w:val="0"/>
        <w:jc w:val="start"/>
        <w:rPr>
          <w:rFonts w:ascii="Comic Sans MS" w:hAnsi="Comic Sans MS"/>
        </w:rPr>
      </w:pPr>
      <w:r>
        <w:rPr>
          <w:rFonts w:ascii="Comic Sans MS" w:hAnsi="Comic Sans MS"/>
        </w:rPr>
        <w:t>Supplementary information</w:t>
      </w:r>
    </w:p>
    <w:p>
      <w:pPr>
        <w:pStyle w:val="Heading2"/>
        <w:bidi w:val="0"/>
        <w:jc w:val="start"/>
        <w:rPr>
          <w:rFonts w:ascii="Comic Sans MS" w:hAnsi="Comic Sans MS"/>
        </w:rPr>
      </w:pPr>
      <w:r>
        <w:rPr>
          <w:rFonts w:ascii="Comic Sans MS" w:hAnsi="Comic Sans MS"/>
        </w:rPr>
        <w:t>S</w:t>
      </w:r>
      <w:bookmarkStart w:id="0" w:name="sec-supp"/>
      <w:r>
        <w:rPr>
          <w:rFonts w:ascii="Comic Sans MS" w:hAnsi="Comic Sans MS"/>
        </w:rPr>
        <w:t>.1 Evaluating the feasibility of subdividing the primary categories</w:t>
      </w:r>
    </w:p>
    <w:p>
      <w:pPr>
        <w:pStyle w:val="FirstParagraph"/>
        <w:bidi w:val="0"/>
        <w:spacing w:lineRule="auto" w:line="480"/>
        <w:jc w:val="both"/>
        <w:rPr>
          <w:rFonts w:ascii="Comic Sans MS" w:hAnsi="Comic Sans MS"/>
        </w:rPr>
      </w:pPr>
      <w:r>
        <w:rPr/>
        <w:t xml:space="preserve">Corina Symphony on the command line (licensed from Molecular Networks GmBH and Altamira LLC) was used to compute the 129 PFAS ToxPrints [44]. The Fisher’s exact test was used to compute an odds ratio and associated p value for each PFAS ToxPrint relative to the OECD primary category designation. This was comparable with the methodology discussed in Wang et al. [57]. A PFAS ToxPrint was considered enriched if it had an odds ratio greater than or equal to 3, a one-sided Fishers exact p-value less than 0.05 (probability value of the odds ratio being greater than 1) and the number of True Positives (TP) was determined to be greater than or equal to 3. For the “unclassified” primary category, the top enriched ToxPrints were PFAS bond and chain features including pfas_bond:S(=O)O_sulfonicAcid_acyclic_(chain)_SCF, pfas_chain:FT_n1_OP, pfas_chain:FT_n2_OP the latter represent fluorotelomer chains with either 1 or 2 CH2 units and an organophosphorus terminus. On the otherhand, the “PFAA precursors” had alcohols and carbonyls as enriched functional groups (pfas_bond:COH_alcohol_pri-alkyl_CF, pfas_bond:CC(=O)C_ketone_generic_CF). The intention was to explore whether certain types of features were specifically enriched in these broad primary categories to consider subcategorizing them to reduce the starting membership. The full set of enrichments for all primary categories are provided as a separate data file. </w:t>
      </w:r>
      <w:bookmarkEnd w:id="0"/>
    </w:p>
    <w:p>
      <w:pPr>
        <w:pStyle w:val="Heading2"/>
        <w:bidi w:val="0"/>
        <w:jc w:val="start"/>
        <w:rPr>
          <w:rFonts w:ascii="Comic Sans MS" w:hAnsi="Comic Sans MS"/>
        </w:rPr>
      </w:pPr>
      <w:r>
        <w:rPr>
          <w:rFonts w:ascii="Comic Sans MS" w:hAnsi="Comic Sans MS"/>
        </w:rPr>
        <w:t>Supplementary Figures</w:t>
      </w:r>
    </w:p>
    <w:tbl>
      <w:tblPr>
        <w:tblStyle w:val="Table"/>
        <w:tblW w:w="5000" w:type="pct"/>
        <w:jc w:val="start"/>
        <w:tblInd w:w="-108" w:type="dxa"/>
        <w:tblLayout w:type="fixed"/>
        <w:tblCellMar>
          <w:top w:w="0" w:type="dxa"/>
          <w:start w:w="108" w:type="dxa"/>
          <w:bottom w:w="0" w:type="dxa"/>
          <w:end w:w="108" w:type="dxa"/>
        </w:tblCellMar>
        <w:tblLook w:val="0000" w:noHBand="0" w:noVBand="0" w:firstColumn="0" w:lastRow="0" w:lastColumn="0" w:firstRow="0"/>
      </w:tblPr>
      <w:tblGrid>
        <w:gridCol w:w="9972"/>
      </w:tblGrid>
      <w:tr>
        <w:trPr/>
        <w:tc>
          <w:tcPr>
            <w:tcW w:w="9972" w:type="dxa"/>
            <w:tcBorders/>
          </w:tcPr>
          <w:p>
            <w:pPr>
              <w:pStyle w:val="Normal"/>
              <w:widowControl w:val="false"/>
              <w:bidi w:val="0"/>
              <w:spacing w:before="0" w:after="200"/>
              <w:jc w:val="center"/>
              <w:rPr>
                <w:rFonts w:ascii="Comic Sans MS" w:hAnsi="Comic Sans MS" w:eastAsia="Cambria" w:cs=""/>
                <w:kern w:val="0"/>
                <w:sz w:val="24"/>
                <w:szCs w:val="24"/>
                <w:lang w:val="en-US" w:eastAsia="en-US" w:bidi="ar-SA"/>
              </w:rPr>
            </w:pPr>
            <w:r>
              <w:rPr/>
              <w:drawing>
                <wp:inline distT="0" distB="0" distL="0" distR="0">
                  <wp:extent cx="5334000" cy="3470275"/>
                  <wp:effectExtent l="0" t="0" r="0" b="0"/>
                  <wp:docPr id="1"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0" descr="" title=""/>
                          <pic:cNvPicPr>
                            <a:picLocks noChangeAspect="1" noChangeArrowheads="1"/>
                          </pic:cNvPicPr>
                        </pic:nvPicPr>
                        <pic:blipFill>
                          <a:blip r:embed="rId3"/>
                          <a:stretch>
                            <a:fillRect/>
                          </a:stretch>
                        </pic:blipFill>
                        <pic:spPr bwMode="auto">
                          <a:xfrm>
                            <a:off x="0" y="0"/>
                            <a:ext cx="5334000" cy="3470275"/>
                          </a:xfrm>
                          <a:prstGeom prst="rect">
                            <a:avLst/>
                          </a:prstGeom>
                        </pic:spPr>
                      </pic:pic>
                    </a:graphicData>
                  </a:graphic>
                </wp:inline>
              </w:drawing>
            </w:r>
          </w:p>
          <w:p>
            <w:pPr>
              <w:pStyle w:val="ImageCaption"/>
              <w:widowControl w:val="false"/>
              <w:bidi w:val="0"/>
              <w:spacing w:before="200" w:after="120"/>
              <w:jc w:val="start"/>
              <w:rPr>
                <w:rFonts w:ascii="Comic Sans MS" w:hAnsi="Comic Sans MS" w:eastAsia="Cambria" w:cs=""/>
                <w:i w:val="false"/>
                <w:i w:val="false"/>
                <w:iCs w:val="false"/>
                <w:kern w:val="0"/>
                <w:sz w:val="24"/>
                <w:szCs w:val="24"/>
                <w:lang w:val="en-US" w:eastAsia="en-US" w:bidi="ar-SA"/>
              </w:rPr>
            </w:pPr>
            <w:bookmarkStart w:id="1" w:name="fig-miti"/>
            <w:r>
              <w:rPr>
                <w:rFonts w:eastAsia="Cambria" w:cs=""/>
                <w:i w:val="false"/>
                <w:iCs w:val="false"/>
                <w:kern w:val="0"/>
                <w:sz w:val="24"/>
                <w:szCs w:val="24"/>
                <w:lang w:val="en-US" w:eastAsia="en-US" w:bidi="ar-SA"/>
              </w:rPr>
              <w:t>Figure S1: Overlap of MITI training data substances with TSCA substances using Morgan chemical fingers and represented in a UMAP plot</w:t>
            </w:r>
            <w:bookmarkEnd w:id="1"/>
          </w:p>
        </w:tc>
      </w:tr>
    </w:tbl>
    <w:p>
      <w:pPr>
        <w:pStyle w:val="TextBody"/>
        <w:bidi w:val="0"/>
        <w:jc w:val="start"/>
        <w:rPr>
          <w:rFonts w:ascii="Comic Sans MS" w:hAnsi="Comic Sans MS"/>
        </w:rPr>
      </w:pPr>
      <w:r>
        <w:rPr/>
        <w:t xml:space="preserve"> </w:t>
      </w:r>
    </w:p>
    <w:tbl>
      <w:tblPr>
        <w:tblStyle w:val="Table"/>
        <w:tblW w:w="5000" w:type="pct"/>
        <w:jc w:val="start"/>
        <w:tblInd w:w="-108" w:type="dxa"/>
        <w:tblLayout w:type="fixed"/>
        <w:tblCellMar>
          <w:top w:w="0" w:type="dxa"/>
          <w:start w:w="108" w:type="dxa"/>
          <w:bottom w:w="0" w:type="dxa"/>
          <w:end w:w="108" w:type="dxa"/>
        </w:tblCellMar>
        <w:tblLook w:val="0000" w:noHBand="0" w:noVBand="0" w:firstColumn="0" w:lastRow="0" w:lastColumn="0" w:firstRow="0"/>
      </w:tblPr>
      <w:tblGrid>
        <w:gridCol w:w="9972"/>
      </w:tblGrid>
      <w:tr>
        <w:trPr/>
        <w:tc>
          <w:tcPr>
            <w:tcW w:w="9972" w:type="dxa"/>
            <w:tcBorders/>
          </w:tcPr>
          <w:p>
            <w:pPr>
              <w:pStyle w:val="Normal"/>
              <w:widowControl w:val="false"/>
              <w:bidi w:val="0"/>
              <w:spacing w:before="0" w:after="200"/>
              <w:jc w:val="center"/>
              <w:rPr>
                <w:rFonts w:ascii="Comic Sans MS" w:hAnsi="Comic Sans MS" w:eastAsia="Cambria" w:cs=""/>
                <w:kern w:val="0"/>
                <w:sz w:val="24"/>
                <w:szCs w:val="24"/>
                <w:lang w:val="en-US" w:eastAsia="en-US" w:bidi="ar-SA"/>
              </w:rPr>
            </w:pPr>
            <w:r>
              <w:rPr/>
              <w:drawing>
                <wp:inline distT="0" distB="0" distL="0" distR="0">
                  <wp:extent cx="5334000" cy="3303905"/>
                  <wp:effectExtent l="0" t="0" r="0" b="0"/>
                  <wp:docPr id="2"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 descr="" title=""/>
                          <pic:cNvPicPr>
                            <a:picLocks noChangeAspect="1" noChangeArrowheads="1"/>
                          </pic:cNvPicPr>
                        </pic:nvPicPr>
                        <pic:blipFill>
                          <a:blip r:embed="rId4"/>
                          <a:stretch>
                            <a:fillRect/>
                          </a:stretch>
                        </pic:blipFill>
                        <pic:spPr bwMode="auto">
                          <a:xfrm>
                            <a:off x="0" y="0"/>
                            <a:ext cx="5334000" cy="3303905"/>
                          </a:xfrm>
                          <a:prstGeom prst="rect">
                            <a:avLst/>
                          </a:prstGeom>
                        </pic:spPr>
                      </pic:pic>
                    </a:graphicData>
                  </a:graphic>
                </wp:inline>
              </w:drawing>
            </w:r>
          </w:p>
          <w:p>
            <w:pPr>
              <w:pStyle w:val="ImageCaption"/>
              <w:widowControl w:val="false"/>
              <w:bidi w:val="0"/>
              <w:spacing w:before="200" w:after="120"/>
              <w:jc w:val="start"/>
              <w:rPr>
                <w:rFonts w:ascii="Comic Sans MS" w:hAnsi="Comic Sans MS" w:eastAsia="Cambria" w:cs=""/>
                <w:i w:val="false"/>
                <w:i w:val="false"/>
                <w:iCs w:val="false"/>
                <w:kern w:val="0"/>
                <w:sz w:val="24"/>
                <w:szCs w:val="24"/>
                <w:lang w:val="en-US" w:eastAsia="en-US" w:bidi="ar-SA"/>
              </w:rPr>
            </w:pPr>
            <w:bookmarkStart w:id="2" w:name="fig-ecdfs-within"/>
            <w:r>
              <w:rPr>
                <w:rFonts w:eastAsia="Cambria" w:cs=""/>
                <w:i w:val="false"/>
                <w:iCs w:val="false"/>
                <w:kern w:val="0"/>
                <w:sz w:val="24"/>
                <w:szCs w:val="24"/>
                <w:lang w:val="en-US" w:eastAsia="en-US" w:bidi="ar-SA"/>
              </w:rPr>
              <w:t>Figure S2: ECDFs of the within categories based on the chain length threshold of 7</w:t>
            </w:r>
            <w:bookmarkEnd w:id="2"/>
          </w:p>
        </w:tc>
      </w:tr>
    </w:tbl>
    <w:p>
      <w:pPr>
        <w:pStyle w:val="Normal"/>
        <w:bidi w:val="0"/>
        <w:jc w:val="start"/>
        <w:rPr>
          <w:rFonts w:ascii="Comic Sans MS" w:hAnsi="Comic Sans MS"/>
        </w:rPr>
      </w:pPr>
      <w:r>
        <w:rPr/>
      </w:r>
      <w:r>
        <w:br w:type="page"/>
      </w:r>
    </w:p>
    <w:tbl>
      <w:tblPr>
        <w:tblStyle w:val="Table"/>
        <w:tblW w:w="5000" w:type="pct"/>
        <w:jc w:val="start"/>
        <w:tblInd w:w="-108" w:type="dxa"/>
        <w:tblLayout w:type="fixed"/>
        <w:tblCellMar>
          <w:top w:w="0" w:type="dxa"/>
          <w:start w:w="108" w:type="dxa"/>
          <w:bottom w:w="0" w:type="dxa"/>
          <w:end w:w="108" w:type="dxa"/>
        </w:tblCellMar>
        <w:tblLook w:val="0000" w:noHBand="0" w:noVBand="0" w:firstColumn="0" w:lastRow="0" w:lastColumn="0" w:firstRow="0"/>
      </w:tblPr>
      <w:tblGrid>
        <w:gridCol w:w="9972"/>
      </w:tblGrid>
      <w:tr>
        <w:trPr/>
        <w:tc>
          <w:tcPr>
            <w:tcW w:w="9972" w:type="dxa"/>
            <w:tcBorders/>
          </w:tcPr>
          <w:p>
            <w:pPr>
              <w:pStyle w:val="Normal"/>
              <w:pageBreakBefore/>
              <w:widowControl w:val="false"/>
              <w:bidi w:val="0"/>
              <w:spacing w:before="0" w:after="200"/>
              <w:jc w:val="center"/>
              <w:rPr>
                <w:rFonts w:ascii="Comic Sans MS" w:hAnsi="Comic Sans MS" w:eastAsia="Cambria" w:cs=""/>
                <w:kern w:val="0"/>
                <w:sz w:val="24"/>
                <w:szCs w:val="24"/>
                <w:lang w:val="en-US" w:eastAsia="en-US" w:bidi="ar-SA"/>
              </w:rPr>
            </w:pPr>
            <w:r>
              <w:rPr/>
              <w:drawing>
                <wp:inline distT="0" distB="0" distL="0" distR="0">
                  <wp:extent cx="5334000" cy="2887980"/>
                  <wp:effectExtent l="0" t="0" r="0" b="0"/>
                  <wp:docPr id="3"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2" descr="" title=""/>
                          <pic:cNvPicPr>
                            <a:picLocks noChangeAspect="1" noChangeArrowheads="1"/>
                          </pic:cNvPicPr>
                        </pic:nvPicPr>
                        <pic:blipFill>
                          <a:blip r:embed="rId5"/>
                          <a:stretch>
                            <a:fillRect/>
                          </a:stretch>
                        </pic:blipFill>
                        <pic:spPr bwMode="auto">
                          <a:xfrm>
                            <a:off x="0" y="0"/>
                            <a:ext cx="5334000" cy="2887980"/>
                          </a:xfrm>
                          <a:prstGeom prst="rect">
                            <a:avLst/>
                          </a:prstGeom>
                        </pic:spPr>
                      </pic:pic>
                    </a:graphicData>
                  </a:graphic>
                </wp:inline>
              </w:drawing>
            </w:r>
          </w:p>
          <w:p>
            <w:pPr>
              <w:pStyle w:val="ImageCaption"/>
              <w:widowControl w:val="false"/>
              <w:bidi w:val="0"/>
              <w:spacing w:before="200" w:after="120"/>
              <w:jc w:val="start"/>
              <w:rPr>
                <w:rFonts w:ascii="Comic Sans MS" w:hAnsi="Comic Sans MS" w:eastAsia="Cambria" w:cs=""/>
                <w:i w:val="false"/>
                <w:i w:val="false"/>
                <w:iCs w:val="false"/>
                <w:kern w:val="0"/>
                <w:sz w:val="24"/>
                <w:szCs w:val="24"/>
                <w:lang w:val="en-US" w:eastAsia="en-US" w:bidi="ar-SA"/>
              </w:rPr>
            </w:pPr>
            <w:bookmarkStart w:id="3" w:name="fig-ecdfs-bet"/>
            <w:r>
              <w:rPr>
                <w:rFonts w:eastAsia="Cambria" w:cs=""/>
                <w:i w:val="false"/>
                <w:iCs w:val="false"/>
                <w:kern w:val="0"/>
                <w:sz w:val="24"/>
                <w:szCs w:val="24"/>
                <w:lang w:val="en-US" w:eastAsia="en-US" w:bidi="ar-SA"/>
              </w:rPr>
              <w:t>Figure S3: EDCFs for selected between category combinations for carbon chain length categories</w:t>
            </w:r>
            <w:bookmarkEnd w:id="3"/>
          </w:p>
        </w:tc>
      </w:tr>
    </w:tbl>
    <w:p>
      <w:pPr>
        <w:pStyle w:val="TextBody"/>
        <w:bidi w:val="0"/>
        <w:jc w:val="start"/>
        <w:rPr>
          <w:rFonts w:ascii="Comic Sans MS" w:hAnsi="Comic Sans MS"/>
        </w:rPr>
      </w:pPr>
      <w:r>
        <w:rPr/>
        <w:t xml:space="preserve"> </w:t>
      </w:r>
    </w:p>
    <w:tbl>
      <w:tblPr>
        <w:tblStyle w:val="Table"/>
        <w:tblW w:w="5000" w:type="pct"/>
        <w:jc w:val="start"/>
        <w:tblInd w:w="-108" w:type="dxa"/>
        <w:tblLayout w:type="fixed"/>
        <w:tblCellMar>
          <w:top w:w="0" w:type="dxa"/>
          <w:start w:w="108" w:type="dxa"/>
          <w:bottom w:w="0" w:type="dxa"/>
          <w:end w:w="108" w:type="dxa"/>
        </w:tblCellMar>
        <w:tblLook w:val="0000" w:noHBand="0" w:noVBand="0" w:firstColumn="0" w:lastRow="0" w:lastColumn="0" w:firstRow="0"/>
      </w:tblPr>
      <w:tblGrid>
        <w:gridCol w:w="9972"/>
      </w:tblGrid>
      <w:tr>
        <w:trPr/>
        <w:tc>
          <w:tcPr>
            <w:tcW w:w="9972" w:type="dxa"/>
            <w:tcBorders/>
          </w:tcPr>
          <w:p>
            <w:pPr>
              <w:pStyle w:val="Normal"/>
              <w:widowControl w:val="false"/>
              <w:bidi w:val="0"/>
              <w:spacing w:before="0" w:after="200"/>
              <w:jc w:val="center"/>
              <w:rPr>
                <w:rFonts w:ascii="Comic Sans MS" w:hAnsi="Comic Sans MS" w:eastAsia="Cambria" w:cs=""/>
                <w:kern w:val="0"/>
                <w:sz w:val="24"/>
                <w:szCs w:val="24"/>
                <w:lang w:val="en-US" w:eastAsia="en-US" w:bidi="ar-SA"/>
              </w:rPr>
            </w:pPr>
            <w:r>
              <w:rPr/>
              <w:drawing>
                <wp:inline distT="0" distB="0" distL="0" distR="0">
                  <wp:extent cx="5334000" cy="3162300"/>
                  <wp:effectExtent l="0" t="0" r="0" b="0"/>
                  <wp:docPr id="4"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 descr="" title=""/>
                          <pic:cNvPicPr>
                            <a:picLocks noChangeAspect="1" noChangeArrowheads="1"/>
                          </pic:cNvPicPr>
                        </pic:nvPicPr>
                        <pic:blipFill>
                          <a:blip r:embed="rId6"/>
                          <a:stretch>
                            <a:fillRect/>
                          </a:stretch>
                        </pic:blipFill>
                        <pic:spPr bwMode="auto">
                          <a:xfrm>
                            <a:off x="0" y="0"/>
                            <a:ext cx="5334000" cy="3162300"/>
                          </a:xfrm>
                          <a:prstGeom prst="rect">
                            <a:avLst/>
                          </a:prstGeom>
                        </pic:spPr>
                      </pic:pic>
                    </a:graphicData>
                  </a:graphic>
                </wp:inline>
              </w:drawing>
            </w:r>
          </w:p>
          <w:p>
            <w:pPr>
              <w:pStyle w:val="ImageCaption"/>
              <w:widowControl w:val="false"/>
              <w:bidi w:val="0"/>
              <w:spacing w:before="200" w:after="120"/>
              <w:jc w:val="start"/>
              <w:rPr>
                <w:rFonts w:ascii="Comic Sans MS" w:hAnsi="Comic Sans MS" w:eastAsia="Cambria" w:cs=""/>
                <w:i w:val="false"/>
                <w:i w:val="false"/>
                <w:iCs w:val="false"/>
                <w:kern w:val="0"/>
                <w:sz w:val="24"/>
                <w:szCs w:val="24"/>
                <w:lang w:val="en-US" w:eastAsia="en-US" w:bidi="ar-SA"/>
              </w:rPr>
            </w:pPr>
            <w:bookmarkStart w:id="4" w:name="fig-ecdfs-left"/>
            <w:r>
              <w:rPr>
                <w:rFonts w:eastAsia="Cambria" w:cs=""/>
                <w:i w:val="false"/>
                <w:iCs w:val="false"/>
                <w:kern w:val="0"/>
                <w:sz w:val="24"/>
                <w:szCs w:val="24"/>
                <w:lang w:val="en-US" w:eastAsia="en-US" w:bidi="ar-SA"/>
              </w:rPr>
              <w:t>Figure S4: EDCFs for selected terminal categories to demonstrate left shift in pairwise distance</w:t>
            </w:r>
            <w:bookmarkEnd w:id="4"/>
          </w:p>
        </w:tc>
      </w:tr>
    </w:tbl>
    <w:p>
      <w:pPr>
        <w:pStyle w:val="TextBody"/>
        <w:bidi w:val="0"/>
        <w:jc w:val="start"/>
        <w:rPr>
          <w:rFonts w:ascii="Comic Sans MS" w:hAnsi="Comic Sans MS"/>
        </w:rPr>
      </w:pPr>
      <w:r>
        <w:rPr/>
        <w:t xml:space="preserve"> </w:t>
      </w:r>
    </w:p>
    <w:tbl>
      <w:tblPr>
        <w:tblStyle w:val="Table"/>
        <w:tblW w:w="5000" w:type="pct"/>
        <w:jc w:val="start"/>
        <w:tblInd w:w="-108" w:type="dxa"/>
        <w:tblLayout w:type="fixed"/>
        <w:tblCellMar>
          <w:top w:w="0" w:type="dxa"/>
          <w:start w:w="108" w:type="dxa"/>
          <w:bottom w:w="0" w:type="dxa"/>
          <w:end w:w="108" w:type="dxa"/>
        </w:tblCellMar>
        <w:tblLook w:val="0000" w:noHBand="0" w:noVBand="0" w:firstColumn="0" w:lastRow="0" w:lastColumn="0" w:firstRow="0"/>
      </w:tblPr>
      <w:tblGrid>
        <w:gridCol w:w="9972"/>
      </w:tblGrid>
      <w:tr>
        <w:trPr/>
        <w:tc>
          <w:tcPr>
            <w:tcW w:w="9972" w:type="dxa"/>
            <w:tcBorders/>
          </w:tcPr>
          <w:p>
            <w:pPr>
              <w:pStyle w:val="Normal"/>
              <w:widowControl w:val="false"/>
              <w:bidi w:val="0"/>
              <w:spacing w:before="0" w:after="200"/>
              <w:jc w:val="center"/>
              <w:rPr>
                <w:rFonts w:ascii="Comic Sans MS" w:hAnsi="Comic Sans MS" w:eastAsia="Cambria" w:cs=""/>
                <w:kern w:val="0"/>
                <w:sz w:val="24"/>
                <w:szCs w:val="24"/>
                <w:lang w:val="en-US" w:eastAsia="en-US" w:bidi="ar-SA"/>
              </w:rPr>
            </w:pPr>
            <w:r>
              <w:rPr/>
              <w:drawing>
                <wp:inline distT="0" distB="0" distL="0" distR="0">
                  <wp:extent cx="5334000" cy="4000500"/>
                  <wp:effectExtent l="0" t="0" r="0" b="0"/>
                  <wp:docPr id="5"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4" descr="" title=""/>
                          <pic:cNvPicPr>
                            <a:picLocks noChangeAspect="1" noChangeArrowheads="1"/>
                          </pic:cNvPicPr>
                        </pic:nvPicPr>
                        <pic:blipFill>
                          <a:blip r:embed="rId7"/>
                          <a:stretch>
                            <a:fillRect/>
                          </a:stretch>
                        </pic:blipFill>
                        <pic:spPr bwMode="auto">
                          <a:xfrm>
                            <a:off x="0" y="0"/>
                            <a:ext cx="5334000" cy="4000500"/>
                          </a:xfrm>
                          <a:prstGeom prst="rect">
                            <a:avLst/>
                          </a:prstGeom>
                        </pic:spPr>
                      </pic:pic>
                    </a:graphicData>
                  </a:graphic>
                </wp:inline>
              </w:drawing>
            </w:r>
          </w:p>
          <w:p>
            <w:pPr>
              <w:pStyle w:val="ImageCaption"/>
              <w:widowControl w:val="false"/>
              <w:bidi w:val="0"/>
              <w:spacing w:before="200" w:after="120"/>
              <w:jc w:val="start"/>
              <w:rPr>
                <w:rFonts w:ascii="Comic Sans MS" w:hAnsi="Comic Sans MS" w:eastAsia="Cambria" w:cs=""/>
                <w:i w:val="false"/>
                <w:i w:val="false"/>
                <w:iCs w:val="false"/>
                <w:kern w:val="0"/>
                <w:sz w:val="24"/>
                <w:szCs w:val="24"/>
                <w:lang w:val="en-US" w:eastAsia="en-US" w:bidi="ar-SA"/>
              </w:rPr>
            </w:pPr>
            <w:bookmarkStart w:id="5" w:name="fig-cat-mem"/>
            <w:r>
              <w:rPr>
                <w:rFonts w:eastAsia="Cambria" w:cs=""/>
                <w:i w:val="false"/>
                <w:iCs w:val="false"/>
                <w:kern w:val="0"/>
                <w:sz w:val="24"/>
                <w:szCs w:val="24"/>
                <w:lang w:val="en-US" w:eastAsia="en-US" w:bidi="ar-SA"/>
              </w:rPr>
              <w:t>Figure S5: Correlation between terminal categories with large membership size and the number of designations represented amongst their memberships</w:t>
            </w:r>
            <w:bookmarkEnd w:id="5"/>
          </w:p>
        </w:tc>
      </w:tr>
    </w:tbl>
    <w:p>
      <w:pPr>
        <w:pStyle w:val="TextBody"/>
        <w:bidi w:val="0"/>
        <w:jc w:val="start"/>
        <w:rPr>
          <w:rFonts w:ascii="Comic Sans MS" w:hAnsi="Comic Sans MS"/>
        </w:rPr>
      </w:pPr>
      <w:r>
        <w:rPr/>
        <w:t xml:space="preserve"> </w:t>
      </w:r>
    </w:p>
    <w:tbl>
      <w:tblPr>
        <w:tblStyle w:val="Table"/>
        <w:tblW w:w="5000" w:type="pct"/>
        <w:jc w:val="start"/>
        <w:tblInd w:w="-108" w:type="dxa"/>
        <w:tblLayout w:type="fixed"/>
        <w:tblCellMar>
          <w:top w:w="0" w:type="dxa"/>
          <w:start w:w="108" w:type="dxa"/>
          <w:bottom w:w="0" w:type="dxa"/>
          <w:end w:w="108" w:type="dxa"/>
        </w:tblCellMar>
        <w:tblLook w:val="0000" w:noHBand="0" w:noVBand="0" w:firstColumn="0" w:lastRow="0" w:lastColumn="0" w:firstRow="0"/>
      </w:tblPr>
      <w:tblGrid>
        <w:gridCol w:w="9972"/>
      </w:tblGrid>
      <w:tr>
        <w:trPr/>
        <w:tc>
          <w:tcPr>
            <w:tcW w:w="9972" w:type="dxa"/>
            <w:tcBorders/>
          </w:tcPr>
          <w:p>
            <w:pPr>
              <w:pStyle w:val="Normal"/>
              <w:widowControl w:val="false"/>
              <w:bidi w:val="0"/>
              <w:spacing w:before="0" w:after="200"/>
              <w:jc w:val="center"/>
              <w:rPr>
                <w:rFonts w:ascii="Comic Sans MS" w:hAnsi="Comic Sans MS" w:eastAsia="Cambria" w:cs=""/>
                <w:kern w:val="0"/>
                <w:sz w:val="24"/>
                <w:szCs w:val="24"/>
                <w:lang w:val="en-US" w:eastAsia="en-US" w:bidi="ar-SA"/>
              </w:rPr>
            </w:pPr>
            <w:bookmarkStart w:id="6" w:name="fig-pods-all"/>
            <w:r>
              <w:rPr/>
              <w:drawing>
                <wp:inline distT="0" distB="0" distL="0" distR="0">
                  <wp:extent cx="5334000" cy="3556000"/>
                  <wp:effectExtent l="0" t="0" r="0" b="0"/>
                  <wp:docPr id="6"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 descr="" title=""/>
                          <pic:cNvPicPr>
                            <a:picLocks noChangeAspect="1" noChangeArrowheads="1"/>
                          </pic:cNvPicPr>
                        </pic:nvPicPr>
                        <pic:blipFill>
                          <a:blip r:embed="rId8"/>
                          <a:stretch>
                            <a:fillRect/>
                          </a:stretch>
                        </pic:blipFill>
                        <pic:spPr bwMode="auto">
                          <a:xfrm>
                            <a:off x="0" y="0"/>
                            <a:ext cx="5334000" cy="3556000"/>
                          </a:xfrm>
                          <a:prstGeom prst="rect">
                            <a:avLst/>
                          </a:prstGeom>
                        </pic:spPr>
                      </pic:pic>
                    </a:graphicData>
                  </a:graphic>
                </wp:inline>
              </w:drawing>
            </w:r>
          </w:p>
          <w:p>
            <w:pPr>
              <w:pStyle w:val="ImageCaption"/>
              <w:widowControl w:val="false"/>
              <w:bidi w:val="0"/>
              <w:spacing w:before="200" w:after="120"/>
              <w:jc w:val="start"/>
              <w:rPr>
                <w:rFonts w:ascii="Comic Sans MS" w:hAnsi="Comic Sans MS" w:eastAsia="Cambria" w:cs=""/>
                <w:i w:val="false"/>
                <w:i w:val="false"/>
                <w:iCs w:val="false"/>
                <w:kern w:val="0"/>
                <w:sz w:val="24"/>
                <w:szCs w:val="24"/>
                <w:lang w:val="en-US" w:eastAsia="en-US" w:bidi="ar-SA"/>
              </w:rPr>
            </w:pPr>
            <w:r>
              <w:rPr>
                <w:rFonts w:eastAsia="Cambria" w:cs=""/>
                <w:i w:val="false"/>
                <w:iCs w:val="false"/>
                <w:kern w:val="0"/>
                <w:sz w:val="24"/>
                <w:szCs w:val="24"/>
                <w:lang w:val="en-US" w:eastAsia="en-US" w:bidi="ar-SA"/>
              </w:rPr>
              <w:t xml:space="preserve">Figure S6: Boxplots of the variation of 25th percentiles of point of departure values (PODs) from non-cancer and repro/developmental studies. The box in the boxplot reflects the quartiles of the dataset, whilst the whiskers extend to + 1.5 * inter-quartile range (IQR). Outliers are shown as points if they exceed 1.5 * IQR. The repro/developmental boxplot is shown </w:t>
            </w:r>
            <w:r>
              <w:rPr>
                <w:rFonts w:eastAsia="Cambria" w:cs=""/>
                <w:i w:val="false"/>
                <w:iCs w:val="false"/>
                <w:kern w:val="0"/>
                <w:sz w:val="24"/>
                <w:szCs w:val="24"/>
                <w:u w:val="single"/>
                <w:lang w:val="en-US" w:eastAsia="en-US" w:bidi="ar-SA"/>
              </w:rPr>
              <w:t>below</w:t>
            </w:r>
            <w:r>
              <w:rPr>
                <w:rFonts w:eastAsia="Cambria" w:cs=""/>
                <w:i w:val="false"/>
                <w:iCs w:val="false"/>
                <w:kern w:val="0"/>
                <w:sz w:val="24"/>
                <w:szCs w:val="24"/>
                <w:lang w:val="en-US" w:eastAsia="en-US" w:bidi="ar-SA"/>
              </w:rPr>
              <w:t xml:space="preserve"> the non-cancer boxplot for a given terminal category.</w:t>
            </w:r>
            <w:bookmarkEnd w:id="6"/>
          </w:p>
        </w:tc>
      </w:tr>
    </w:tbl>
    <w:p>
      <w:pPr>
        <w:pStyle w:val="TextBody"/>
        <w:bidi w:val="0"/>
        <w:jc w:val="start"/>
        <w:rPr>
          <w:rFonts w:ascii="Comic Sans MS" w:hAnsi="Comic Sans MS"/>
        </w:rPr>
      </w:pPr>
      <w:r>
        <w:rPr/>
        <w:t xml:space="preserve"> </w:t>
      </w:r>
    </w:p>
    <w:tbl>
      <w:tblPr>
        <w:tblStyle w:val="Table"/>
        <w:tblW w:w="5000" w:type="pct"/>
        <w:jc w:val="start"/>
        <w:tblInd w:w="-108" w:type="dxa"/>
        <w:tblLayout w:type="fixed"/>
        <w:tblCellMar>
          <w:top w:w="0" w:type="dxa"/>
          <w:start w:w="108" w:type="dxa"/>
          <w:bottom w:w="0" w:type="dxa"/>
          <w:end w:w="108" w:type="dxa"/>
        </w:tblCellMar>
        <w:tblLook w:val="0000" w:noHBand="0" w:noVBand="0" w:firstColumn="0" w:lastRow="0" w:lastColumn="0" w:firstRow="0"/>
      </w:tblPr>
      <w:tblGrid>
        <w:gridCol w:w="9972"/>
      </w:tblGrid>
      <w:tr>
        <w:trPr/>
        <w:tc>
          <w:tcPr>
            <w:tcW w:w="9972" w:type="dxa"/>
            <w:tcBorders/>
          </w:tcPr>
          <w:p>
            <w:pPr>
              <w:pStyle w:val="Normal"/>
              <w:widowControl w:val="false"/>
              <w:bidi w:val="0"/>
              <w:spacing w:before="0" w:after="200"/>
              <w:jc w:val="center"/>
              <w:rPr>
                <w:rFonts w:ascii="Comic Sans MS" w:hAnsi="Comic Sans MS" w:eastAsia="Cambria" w:cs=""/>
                <w:kern w:val="0"/>
                <w:sz w:val="24"/>
                <w:szCs w:val="24"/>
                <w:lang w:val="en-US" w:eastAsia="en-US" w:bidi="ar-SA"/>
              </w:rPr>
            </w:pPr>
            <w:r>
              <w:rPr/>
              <w:drawing>
                <wp:inline distT="0" distB="0" distL="0" distR="0">
                  <wp:extent cx="5334000" cy="6400800"/>
                  <wp:effectExtent l="0" t="0" r="0" b="0"/>
                  <wp:docPr id="7"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6" descr="" title=""/>
                          <pic:cNvPicPr>
                            <a:picLocks noChangeAspect="1" noChangeArrowheads="1"/>
                          </pic:cNvPicPr>
                        </pic:nvPicPr>
                        <pic:blipFill>
                          <a:blip r:embed="rId9"/>
                          <a:stretch>
                            <a:fillRect/>
                          </a:stretch>
                        </pic:blipFill>
                        <pic:spPr bwMode="auto">
                          <a:xfrm>
                            <a:off x="0" y="0"/>
                            <a:ext cx="5334000" cy="6400800"/>
                          </a:xfrm>
                          <a:prstGeom prst="rect">
                            <a:avLst/>
                          </a:prstGeom>
                        </pic:spPr>
                      </pic:pic>
                    </a:graphicData>
                  </a:graphic>
                </wp:inline>
              </w:drawing>
            </w:r>
          </w:p>
          <w:p>
            <w:pPr>
              <w:pStyle w:val="ImageCaption"/>
              <w:widowControl w:val="false"/>
              <w:bidi w:val="0"/>
              <w:spacing w:before="200" w:after="120"/>
              <w:jc w:val="start"/>
              <w:rPr>
                <w:rFonts w:ascii="Comic Sans MS" w:hAnsi="Comic Sans MS" w:eastAsia="Cambria" w:cs=""/>
                <w:i w:val="false"/>
                <w:i w:val="false"/>
                <w:iCs w:val="false"/>
                <w:kern w:val="0"/>
                <w:sz w:val="24"/>
                <w:szCs w:val="24"/>
                <w:lang w:val="en-US" w:eastAsia="en-US" w:bidi="ar-SA"/>
              </w:rPr>
            </w:pPr>
            <w:bookmarkStart w:id="7" w:name="fig-nams-hm"/>
            <w:r>
              <w:rPr>
                <w:rFonts w:eastAsia="Cambria" w:cs=""/>
                <w:i w:val="false"/>
                <w:iCs w:val="false"/>
                <w:kern w:val="0"/>
                <w:sz w:val="24"/>
                <w:szCs w:val="24"/>
                <w:lang w:val="en-US" w:eastAsia="en-US" w:bidi="ar-SA"/>
              </w:rPr>
              <w:t>Figure S7: Heatmap of NAM flags for substances tested that overlap with the PFAS inventory</w:t>
            </w:r>
            <w:bookmarkEnd w:id="7"/>
          </w:p>
        </w:tc>
      </w:tr>
    </w:tbl>
    <w:p>
      <w:pPr>
        <w:pStyle w:val="TextBody"/>
        <w:bidi w:val="0"/>
        <w:spacing w:lineRule="auto" w:line="480"/>
        <w:jc w:val="both"/>
        <w:rPr>
          <w:rFonts w:ascii="Comic Sans MS" w:hAnsi="Comic Sans MS" w:cs="" w:cstheme="minorHAnsi"/>
        </w:rPr>
      </w:pPr>
      <w:r>
        <w:rPr>
          <w:rFonts w:cs="" w:cstheme="minorHAnsi"/>
        </w:rPr>
        <w:t xml:space="preserve"> </w:t>
      </w:r>
      <w:r>
        <w:br w:type="page"/>
      </w:r>
    </w:p>
    <w:p>
      <w:pPr>
        <w:pStyle w:val="Normal"/>
        <w:widowControl/>
        <w:bidi w:val="0"/>
        <w:spacing w:before="0" w:after="200"/>
        <w:jc w:val="center"/>
        <w:rPr>
          <w:rFonts w:ascii="Comic Sans MS" w:hAnsi="Comic Sans MS" w:eastAsia="Cambria" w:cs=""/>
          <w:kern w:val="0"/>
          <w:sz w:val="24"/>
          <w:szCs w:val="24"/>
          <w:lang w:val="en-US" w:eastAsia="en-US" w:bidi="ar-SA"/>
        </w:rPr>
      </w:pPr>
      <w:r>
        <w:rPr/>
        <w:drawing>
          <wp:inline distT="0" distB="0" distL="0" distR="0">
            <wp:extent cx="3200400" cy="3830320"/>
            <wp:effectExtent l="0" t="0" r="0" b="0"/>
            <wp:docPr id="8"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 descr="" title=""/>
                    <pic:cNvPicPr>
                      <a:picLocks noChangeAspect="1" noChangeArrowheads="1"/>
                    </pic:cNvPicPr>
                  </pic:nvPicPr>
                  <pic:blipFill>
                    <a:blip r:embed="rId10"/>
                    <a:stretch>
                      <a:fillRect/>
                    </a:stretch>
                  </pic:blipFill>
                  <pic:spPr bwMode="auto">
                    <a:xfrm>
                      <a:off x="0" y="0"/>
                      <a:ext cx="3200400" cy="3830320"/>
                    </a:xfrm>
                    <a:prstGeom prst="rect">
                      <a:avLst/>
                    </a:prstGeom>
                  </pic:spPr>
                </pic:pic>
              </a:graphicData>
            </a:graphic>
          </wp:inline>
        </w:drawing>
      </w:r>
    </w:p>
    <w:p>
      <w:pPr>
        <w:pStyle w:val="ImageCaption"/>
        <w:widowControl/>
        <w:bidi w:val="0"/>
        <w:spacing w:lineRule="auto" w:line="480" w:before="200" w:after="120"/>
        <w:jc w:val="start"/>
        <w:rPr>
          <w:rFonts w:ascii="Comic Sans MS" w:hAnsi="Comic Sans MS" w:cs="" w:cstheme="minorHAnsi"/>
        </w:rPr>
      </w:pPr>
      <w:bookmarkStart w:id="8" w:name="fig-rfc"/>
      <w:r>
        <w:rPr>
          <w:rFonts w:eastAsia="Cambria" w:cs="" w:cstheme="minorHAnsi"/>
          <w:i w:val="false"/>
          <w:iCs w:val="false"/>
          <w:kern w:val="0"/>
          <w:sz w:val="24"/>
          <w:szCs w:val="24"/>
          <w:lang w:val="en-US" w:eastAsia="en-US" w:bidi="ar-SA"/>
        </w:rPr>
        <w:t>Figure S8: Barplot of the performance scores for the random forest classification model as applied to the hold out set of terminal categori</w:t>
      </w:r>
      <w:bookmarkEnd w:id="8"/>
      <w:r>
        <w:rPr>
          <w:rFonts w:eastAsia="Cambria" w:cs="" w:cstheme="minorHAnsi"/>
          <w:i w:val="false"/>
          <w:iCs w:val="false"/>
          <w:kern w:val="0"/>
          <w:sz w:val="24"/>
          <w:szCs w:val="24"/>
          <w:lang w:val="en-US" w:eastAsia="en-US" w:bidi="ar-SA"/>
        </w:rPr>
        <w:t>es</w:t>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mic Sans MS">
    <w:charset w:val="01"/>
    <w:family w:val="script"/>
    <w:pitch w:val="default"/>
  </w:font>
</w:fonts>
</file>

<file path=word/settings.xml><?xml version="1.0" encoding="utf-8"?>
<w:settings xmlns:w="http://schemas.openxmlformats.org/wordprocessingml/2006/main">
  <w:zoom w:percent="86"/>
  <w:trackRevisions/>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omic Sans MS" w:hAnsi="Comic Sans MS" w:eastAsia="Noto Serif CJK SC" w:cs="Lohit Devanagari"/>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Comic Sans MS" w:hAnsi="Comic Sans MS" w:eastAsia="Noto Serif CJK SC" w:cs="Lohit Devanagari"/>
      <w:color w:val="auto"/>
      <w:kern w:val="2"/>
      <w:sz w:val="24"/>
      <w:szCs w:val="24"/>
      <w:lang w:val="en-US" w:eastAsia="zh-CN" w:bidi="hi-IN"/>
    </w:rPr>
  </w:style>
  <w:style w:type="paragraph" w:styleId="Heading1">
    <w:name w:val="Heading 1"/>
    <w:basedOn w:val="Normal"/>
    <w:next w:val="TextBody"/>
    <w:qFormat/>
    <w:pPr>
      <w:keepNext w:val="true"/>
      <w:keepLines/>
      <w:spacing w:before="480" w:after="0"/>
      <w:outlineLvl w:val="0"/>
    </w:pPr>
    <w:rPr>
      <w:rFonts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qFormat/>
    <w:pPr>
      <w:keepNext w:val="true"/>
      <w:keepLines/>
      <w:spacing w:before="200" w:after="0"/>
      <w:outlineLvl w:val="1"/>
    </w:pPr>
    <w:rPr>
      <w:rFonts w:eastAsia="" w:cs="" w:asciiTheme="majorHAnsi" w:cstheme="majorBidi" w:eastAsiaTheme="majorEastAsia" w:hAnsiTheme="majorHAnsi"/>
      <w:b/>
      <w:bCs/>
      <w:color w:val="4F81BD" w:themeColor="accent1"/>
      <w:sz w:val="28"/>
      <w:szCs w:val="28"/>
    </w:rPr>
  </w:style>
  <w:style w:type="character" w:styleId="DefaultParagraphFont">
    <w:name w:val="Default Paragraph Font"/>
    <w:qFormat/>
    <w:rPr/>
  </w:style>
  <w:style w:type="character" w:styleId="BodyTextChar">
    <w:name w:val="Body Text Char"/>
    <w:basedOn w:val="DefaultParagraphFont"/>
    <w:qFormat/>
    <w:rPr/>
  </w:style>
  <w:style w:type="character" w:styleId="InternetLink">
    <w:name w:val="Hyperlink"/>
    <w:basedOn w:val="BodyTextChar"/>
    <w:rPr>
      <w:color w:val="4F81BD" w:themeColor="accent1"/>
    </w:rPr>
  </w:style>
  <w:style w:type="character" w:styleId="VisitedInternetLink">
    <w:name w:val="FollowedHyperlink"/>
    <w:basedOn w:val="DefaultParagraphFont"/>
    <w:rPr>
      <w:color w:val="954F72"/>
      <w:u w:val="single"/>
    </w:rPr>
  </w:style>
  <w:style w:type="character" w:styleId="LineNumbering">
    <w:name w:val="Line Numbering"/>
    <w:rPr/>
  </w:style>
  <w:style w:type="paragraph" w:styleId="Heading">
    <w:name w:val="Heading"/>
    <w:basedOn w:val="Normal"/>
    <w:next w:val="TextBody"/>
    <w:qFormat/>
    <w:pPr>
      <w:keepNext w:val="true"/>
      <w:spacing w:before="240" w:after="120"/>
    </w:pPr>
    <w:rPr>
      <w:rFonts w:ascii="Comic Sans MS" w:hAnsi="Comic Sans M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Comic Sans MS" w:hAnsi="Comic Sans MS" w:cs="Lohit Devanagari"/>
    </w:rPr>
  </w:style>
  <w:style w:type="paragraph" w:styleId="Caption">
    <w:name w:val="Caption"/>
    <w:basedOn w:val="Normal"/>
    <w:qFormat/>
    <w:pPr>
      <w:suppressLineNumbers/>
      <w:spacing w:before="120" w:after="120"/>
    </w:pPr>
    <w:rPr>
      <w:rFonts w:ascii="Comic Sans MS" w:hAnsi="Comic Sans MS" w:cs="Lohit Devanagari"/>
      <w:i/>
      <w:iCs/>
      <w:sz w:val="24"/>
      <w:szCs w:val="24"/>
    </w:rPr>
  </w:style>
  <w:style w:type="paragraph" w:styleId="Index">
    <w:name w:val="Index"/>
    <w:basedOn w:val="Normal"/>
    <w:qFormat/>
    <w:pPr>
      <w:suppressLineNumbers/>
    </w:pPr>
    <w:rPr>
      <w:rFonts w:ascii="Comic Sans MS" w:hAnsi="Comic Sans MS" w:cs="Lohit Devanagari"/>
    </w:rPr>
  </w:style>
  <w:style w:type="paragraph" w:styleId="Title">
    <w:name w:val="Title"/>
    <w:basedOn w:val="Normal"/>
    <w:next w:val="TextBody"/>
    <w:qFormat/>
    <w:pPr>
      <w:keepNext w:val="true"/>
      <w:keepLines/>
      <w:spacing w:before="480" w:after="240"/>
      <w:jc w:val="center"/>
    </w:pPr>
    <w:rPr>
      <w:rFonts w:eastAsia="" w:cs="" w:asciiTheme="majorHAnsi" w:cstheme="majorBidi" w:eastAsiaTheme="majorEastAsia" w:hAnsiTheme="majorHAnsi"/>
      <w:b/>
      <w:bCs/>
      <w:color w:val="345A8A" w:themeColor="accent1" w:themeShade="b5"/>
      <w:sz w:val="36"/>
      <w:szCs w:val="36"/>
    </w:rPr>
  </w:style>
  <w:style w:type="paragraph" w:styleId="Author">
    <w:name w:val="Author"/>
    <w:next w:val="TextBody"/>
    <w:qFormat/>
    <w:pPr>
      <w:keepNext w:val="true"/>
      <w:keepLines/>
      <w:widowControl/>
      <w:suppressAutoHyphens w:val="true"/>
      <w:bidi w:val="0"/>
      <w:spacing w:before="0" w:after="200"/>
      <w:jc w:val="center"/>
    </w:pPr>
    <w:rPr>
      <w:rFonts w:ascii="Comic Sans MS" w:hAnsi="Comic Sans MS" w:eastAsia="Noto Serif CJK SC" w:cs="Lohit Devanagari"/>
      <w:color w:val="auto"/>
      <w:kern w:val="2"/>
      <w:sz w:val="24"/>
      <w:szCs w:val="24"/>
      <w:lang w:val="en-US" w:eastAsia="zh-CN" w:bidi="hi-IN"/>
    </w:rPr>
  </w:style>
  <w:style w:type="paragraph" w:styleId="FirstParagraph">
    <w:name w:val="First Paragraph"/>
    <w:basedOn w:val="TextBody"/>
    <w:next w:val="TextBody"/>
    <w:qFormat/>
    <w:pPr/>
    <w:rPr/>
  </w:style>
  <w:style w:type="paragraph" w:styleId="ImageCaption">
    <w:name w:val="Image Caption"/>
    <w:basedOn w:val="Caption"/>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patlewicz.grace@epa.gov"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48</TotalTime>
  <Application>LibreOffice/7.3.7.2$Linux_X86_64 LibreOffice_project/30$Build-2</Application>
  <AppVersion>15.0000</AppVersion>
  <Pages>8</Pages>
  <Words>531</Words>
  <Characters>3096</Characters>
  <CharactersWithSpaces>3616</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2024-08-06T07:02:49Z</dcterms:created>
  <dc:creator/>
  <dc:description/>
  <dc:language>en-US</dc:language>
  <cp:lastModifiedBy/>
  <dcterms:modified xsi:type="dcterms:W3CDTF">2024-08-19T12:42:13Z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