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C3838" w14:textId="7C7676E6" w:rsidR="002C026E" w:rsidRPr="002C026E" w:rsidRDefault="002C026E" w:rsidP="002C026E">
      <w:pPr>
        <w:spacing w:after="0" w:line="240" w:lineRule="auto"/>
        <w:rPr>
          <w:b/>
          <w:bCs/>
        </w:rPr>
      </w:pPr>
      <w:bookmarkStart w:id="0" w:name="_Hlk79919540"/>
      <w:r>
        <w:rPr>
          <w:b/>
          <w:bCs/>
        </w:rPr>
        <w:t>Supplementary Information for</w:t>
      </w:r>
    </w:p>
    <w:p w14:paraId="4BBACFD3" w14:textId="77777777" w:rsidR="002C026E" w:rsidRDefault="002C026E" w:rsidP="002C026E">
      <w:pPr>
        <w:spacing w:after="0" w:line="240" w:lineRule="auto"/>
        <w:rPr>
          <w:b/>
          <w:bCs/>
        </w:rPr>
      </w:pPr>
    </w:p>
    <w:p w14:paraId="50EE880B" w14:textId="77777777" w:rsidR="0088384C" w:rsidRPr="007B6F41" w:rsidRDefault="0088384C" w:rsidP="0088384C">
      <w:pPr>
        <w:spacing w:after="0" w:line="240" w:lineRule="auto"/>
      </w:pPr>
      <w:bookmarkStart w:id="1" w:name="_Hlk144218908"/>
      <w:bookmarkEnd w:id="0"/>
      <w:r w:rsidRPr="007B6F41">
        <w:rPr>
          <w:b/>
          <w:bCs/>
        </w:rPr>
        <w:t>Title</w:t>
      </w:r>
      <w:r w:rsidRPr="007B6F41">
        <w:t xml:space="preserve"> </w:t>
      </w:r>
      <w:r>
        <w:t xml:space="preserve">Cross-Species Molecular Docking Method to Support Predictions of Species Susceptibility to Chemical Effects </w:t>
      </w:r>
    </w:p>
    <w:p w14:paraId="69E5F2FF" w14:textId="77777777" w:rsidR="0088384C" w:rsidRPr="007B6F41" w:rsidRDefault="0088384C" w:rsidP="0088384C">
      <w:pPr>
        <w:spacing w:after="0" w:line="240" w:lineRule="auto"/>
        <w:rPr>
          <w:b/>
          <w:bCs/>
        </w:rPr>
      </w:pPr>
    </w:p>
    <w:p w14:paraId="35A81B25" w14:textId="77777777" w:rsidR="0088384C" w:rsidRPr="007B6F41" w:rsidRDefault="0088384C" w:rsidP="0088384C">
      <w:pPr>
        <w:spacing w:after="0" w:line="240" w:lineRule="auto"/>
        <w:rPr>
          <w:vertAlign w:val="superscript"/>
        </w:rPr>
      </w:pPr>
      <w:r w:rsidRPr="007B6F41">
        <w:rPr>
          <w:b/>
          <w:bCs/>
        </w:rPr>
        <w:t xml:space="preserve">Authors </w:t>
      </w:r>
      <w:bookmarkStart w:id="2" w:name="_Hlk144219554"/>
      <w:r w:rsidRPr="007B6F41">
        <w:t xml:space="preserve">Peter </w:t>
      </w:r>
      <w:r>
        <w:t xml:space="preserve">G. </w:t>
      </w:r>
      <w:r w:rsidRPr="007B6F41">
        <w:t>Schumann</w:t>
      </w:r>
      <w:r>
        <w:t xml:space="preserve"> </w:t>
      </w:r>
      <w:r w:rsidRPr="007B6F41">
        <w:rPr>
          <w:vertAlign w:val="superscript"/>
        </w:rPr>
        <w:t>a</w:t>
      </w:r>
      <w:r w:rsidRPr="007B6F41">
        <w:t>,</w:t>
      </w:r>
      <w:r>
        <w:t xml:space="preserve"> Daniel Chang </w:t>
      </w:r>
      <w:r>
        <w:rPr>
          <w:vertAlign w:val="superscript"/>
        </w:rPr>
        <w:t>b</w:t>
      </w:r>
      <w:r w:rsidRPr="00C22675">
        <w:t>,</w:t>
      </w:r>
      <w:r>
        <w:t xml:space="preserve"> Sally Mayasich</w:t>
      </w:r>
      <w:r>
        <w:rPr>
          <w:vertAlign w:val="superscript"/>
        </w:rPr>
        <w:t xml:space="preserve"> c, d</w:t>
      </w:r>
      <w:r>
        <w:t xml:space="preserve">, Sara Vliet </w:t>
      </w:r>
      <w:r>
        <w:rPr>
          <w:vertAlign w:val="superscript"/>
        </w:rPr>
        <w:t>d</w:t>
      </w:r>
      <w:r>
        <w:t xml:space="preserve">, Terry Brown </w:t>
      </w:r>
      <w:r>
        <w:rPr>
          <w:vertAlign w:val="superscript"/>
        </w:rPr>
        <w:t>e</w:t>
      </w:r>
      <w:r>
        <w:t xml:space="preserve">, </w:t>
      </w:r>
      <w:r w:rsidRPr="007B6F41">
        <w:t>Carlie</w:t>
      </w:r>
      <w:r>
        <w:t xml:space="preserve"> A.</w:t>
      </w:r>
      <w:r w:rsidRPr="007B6F41">
        <w:t xml:space="preserve"> LaLone</w:t>
      </w:r>
      <w:r>
        <w:t xml:space="preserve"> </w:t>
      </w:r>
      <w:r w:rsidRPr="007B6F41">
        <w:rPr>
          <w:vertAlign w:val="superscript"/>
        </w:rPr>
        <w:t>*</w:t>
      </w:r>
      <w:bookmarkEnd w:id="2"/>
      <w:r>
        <w:rPr>
          <w:vertAlign w:val="superscript"/>
        </w:rPr>
        <w:t>d</w:t>
      </w:r>
    </w:p>
    <w:p w14:paraId="0D26339C" w14:textId="77777777" w:rsidR="0088384C" w:rsidRPr="007B6F41" w:rsidRDefault="0088384C" w:rsidP="0088384C">
      <w:pPr>
        <w:spacing w:after="0" w:line="240" w:lineRule="auto"/>
      </w:pPr>
    </w:p>
    <w:p w14:paraId="0D96A0FF" w14:textId="77777777" w:rsidR="0088384C" w:rsidRDefault="0088384C" w:rsidP="0088384C">
      <w:pPr>
        <w:spacing w:after="0" w:line="240" w:lineRule="auto"/>
      </w:pPr>
      <w:bookmarkStart w:id="3" w:name="_Hlk144219621"/>
      <w:r w:rsidRPr="007B6F41">
        <w:rPr>
          <w:vertAlign w:val="superscript"/>
        </w:rPr>
        <w:t>a</w:t>
      </w:r>
      <w:r w:rsidRPr="007B6F41">
        <w:t xml:space="preserve"> </w:t>
      </w:r>
      <w:r>
        <w:t>Oak Ridge Institute for Science and Education</w:t>
      </w:r>
      <w:r w:rsidRPr="009251AD">
        <w:t>, Duluth, Minnesota, USA</w:t>
      </w:r>
    </w:p>
    <w:p w14:paraId="66AB0863" w14:textId="77777777" w:rsidR="0088384C" w:rsidRDefault="0088384C" w:rsidP="0088384C">
      <w:pPr>
        <w:spacing w:after="0" w:line="240" w:lineRule="auto"/>
      </w:pPr>
      <w:r>
        <w:rPr>
          <w:vertAlign w:val="superscript"/>
        </w:rPr>
        <w:t>b</w:t>
      </w:r>
      <w:r>
        <w:t xml:space="preserve"> U.S. Environmental Protection Agency, Office of Research and Development, </w:t>
      </w:r>
      <w:r w:rsidRPr="007B6F41">
        <w:t>Center for Computational Toxicology and Exposure</w:t>
      </w:r>
      <w:r>
        <w:t>, Chemical Characterization and Exposure Division, Research Triangle Park, North Carolina, USA</w:t>
      </w:r>
    </w:p>
    <w:p w14:paraId="4A6DAF2E" w14:textId="77777777" w:rsidR="0088384C" w:rsidRPr="00E27BCA" w:rsidRDefault="0088384C" w:rsidP="0088384C">
      <w:pPr>
        <w:spacing w:after="0" w:line="240" w:lineRule="auto"/>
      </w:pPr>
      <w:r>
        <w:rPr>
          <w:vertAlign w:val="superscript"/>
        </w:rPr>
        <w:t>c</w:t>
      </w:r>
      <w:r>
        <w:t xml:space="preserve"> </w:t>
      </w:r>
      <w:r w:rsidRPr="00E27BCA">
        <w:t>Aquatic Sciences Center, University of Wisconsin‐Madison, Madison, Wisconsin, USA</w:t>
      </w:r>
    </w:p>
    <w:p w14:paraId="6CE66328" w14:textId="77777777" w:rsidR="0088384C" w:rsidRDefault="0088384C" w:rsidP="0088384C">
      <w:pPr>
        <w:spacing w:after="0" w:line="240" w:lineRule="auto"/>
      </w:pPr>
      <w:r>
        <w:rPr>
          <w:vertAlign w:val="superscript"/>
        </w:rPr>
        <w:t>d</w:t>
      </w:r>
      <w:r>
        <w:t xml:space="preserve"> </w:t>
      </w:r>
      <w:r w:rsidRPr="007B6F41">
        <w:t>U.S. Environmental Protection Agency, Office of Research and Development, Center for Computational Toxicology and Exposure, Great Lakes Toxicology and Ecology Division, Duluth, Minnesota, USA</w:t>
      </w:r>
    </w:p>
    <w:p w14:paraId="5D76E180" w14:textId="77777777" w:rsidR="0088384C" w:rsidRDefault="0088384C" w:rsidP="0088384C">
      <w:pPr>
        <w:spacing w:after="0" w:line="240" w:lineRule="auto"/>
      </w:pPr>
      <w:r>
        <w:rPr>
          <w:vertAlign w:val="superscript"/>
        </w:rPr>
        <w:t>e</w:t>
      </w:r>
      <w:r>
        <w:t xml:space="preserve"> </w:t>
      </w:r>
      <w:r w:rsidRPr="007B6F41">
        <w:t xml:space="preserve">U.S. Environmental Protection Agency, Office of Research and Development, Center for Computational Toxicology and Exposure, </w:t>
      </w:r>
      <w:r>
        <w:t>Scientific Computing and Data Curation Division</w:t>
      </w:r>
      <w:r w:rsidRPr="007B6F41">
        <w:t>, Duluth, Minnesota, USA</w:t>
      </w:r>
    </w:p>
    <w:bookmarkEnd w:id="3"/>
    <w:p w14:paraId="5C0E9E9C" w14:textId="77777777" w:rsidR="00613072" w:rsidRPr="007B6F41" w:rsidRDefault="00613072" w:rsidP="00613072">
      <w:pPr>
        <w:spacing w:after="0" w:line="240" w:lineRule="auto"/>
        <w:rPr>
          <w:vertAlign w:val="superscript"/>
        </w:rPr>
      </w:pPr>
    </w:p>
    <w:p w14:paraId="37E7A874" w14:textId="77777777" w:rsidR="00613072" w:rsidRPr="007B6F41" w:rsidRDefault="00613072" w:rsidP="00613072">
      <w:pPr>
        <w:shd w:val="clear" w:color="auto" w:fill="FFFFFF" w:themeFill="background1"/>
        <w:spacing w:after="0" w:line="240" w:lineRule="auto"/>
        <w:textAlignment w:val="baseline"/>
        <w:rPr>
          <w:rFonts w:eastAsia="Times New Roman"/>
          <w:b/>
          <w:bCs/>
        </w:rPr>
      </w:pPr>
      <w:r w:rsidRPr="007B6F41">
        <w:rPr>
          <w:vertAlign w:val="superscript"/>
        </w:rPr>
        <w:t>*</w:t>
      </w:r>
      <w:r w:rsidRPr="007B6F41">
        <w:rPr>
          <w:rFonts w:eastAsia="Times New Roman"/>
          <w:b/>
          <w:bCs/>
        </w:rPr>
        <w:t>Corresponding Author:</w:t>
      </w:r>
      <w:r>
        <w:rPr>
          <w:rFonts w:eastAsia="Times New Roman"/>
          <w:b/>
          <w:bCs/>
        </w:rPr>
        <w:t xml:space="preserve"> </w:t>
      </w:r>
      <w:bookmarkStart w:id="4" w:name="_Hlk144219668"/>
      <w:r w:rsidRPr="009251AD">
        <w:rPr>
          <w:rFonts w:eastAsia="Times New Roman"/>
        </w:rPr>
        <w:t>lalone.carlie@epa.gov</w:t>
      </w:r>
      <w:bookmarkEnd w:id="4"/>
    </w:p>
    <w:p w14:paraId="4D36458D" w14:textId="77777777" w:rsidR="00613072" w:rsidRPr="007B6F41" w:rsidRDefault="00613072" w:rsidP="00613072">
      <w:pPr>
        <w:shd w:val="clear" w:color="auto" w:fill="FFFFFF" w:themeFill="background1"/>
        <w:spacing w:after="0" w:line="240" w:lineRule="auto"/>
        <w:textAlignment w:val="baseline"/>
        <w:rPr>
          <w:rFonts w:eastAsia="Times New Roman"/>
        </w:rPr>
      </w:pPr>
    </w:p>
    <w:p w14:paraId="36172324" w14:textId="77777777" w:rsidR="00613072" w:rsidRPr="007B6F41" w:rsidRDefault="00613072" w:rsidP="00613072">
      <w:pPr>
        <w:shd w:val="clear" w:color="auto" w:fill="FFFFFF" w:themeFill="background1"/>
        <w:spacing w:after="0" w:line="240" w:lineRule="auto"/>
        <w:textAlignment w:val="baseline"/>
        <w:rPr>
          <w:rFonts w:eastAsia="Times New Roman"/>
        </w:rPr>
      </w:pPr>
      <w:r w:rsidRPr="007B6F41">
        <w:rPr>
          <w:rFonts w:eastAsia="Times New Roman"/>
        </w:rPr>
        <w:t>Any use of trade, firm, or product, names is for descriptive purposes only and does not imply endorsement by the authors or the U.S. Government.</w:t>
      </w:r>
    </w:p>
    <w:bookmarkEnd w:id="1"/>
    <w:p w14:paraId="13EA6C4A" w14:textId="23491832" w:rsidR="002C026E" w:rsidRDefault="002C026E" w:rsidP="002C026E">
      <w:pPr>
        <w:shd w:val="clear" w:color="auto" w:fill="FFFFFF" w:themeFill="background1"/>
        <w:spacing w:after="0" w:line="240" w:lineRule="auto"/>
        <w:textAlignment w:val="baseline"/>
        <w:rPr>
          <w:rFonts w:eastAsia="Times New Roman"/>
        </w:rPr>
      </w:pPr>
    </w:p>
    <w:p w14:paraId="2BCE1152" w14:textId="79780C8B" w:rsidR="00E8587E" w:rsidRDefault="002C026E" w:rsidP="003E3BFB">
      <w:pPr>
        <w:shd w:val="clear" w:color="auto" w:fill="FFFFFF" w:themeFill="background1"/>
        <w:spacing w:after="0" w:line="240" w:lineRule="auto"/>
        <w:textAlignment w:val="baseline"/>
        <w:rPr>
          <w:rFonts w:eastAsia="Times New Roman"/>
          <w:b/>
          <w:bCs/>
        </w:rPr>
      </w:pPr>
      <w:r w:rsidRPr="002C026E">
        <w:rPr>
          <w:rFonts w:eastAsia="Times New Roman"/>
          <w:b/>
          <w:bCs/>
        </w:rPr>
        <w:t xml:space="preserve">This PDF </w:t>
      </w:r>
      <w:r>
        <w:rPr>
          <w:rFonts w:eastAsia="Times New Roman"/>
          <w:b/>
          <w:bCs/>
        </w:rPr>
        <w:t xml:space="preserve">file </w:t>
      </w:r>
      <w:r w:rsidRPr="002C026E">
        <w:rPr>
          <w:rFonts w:eastAsia="Times New Roman"/>
          <w:b/>
          <w:bCs/>
        </w:rPr>
        <w:t>includes:</w:t>
      </w:r>
    </w:p>
    <w:p w14:paraId="7D8C4CC4" w14:textId="0A69FF15" w:rsidR="003E3BFB" w:rsidRDefault="003E3BFB" w:rsidP="003E3BFB">
      <w:pPr>
        <w:shd w:val="clear" w:color="auto" w:fill="FFFFFF" w:themeFill="background1"/>
        <w:spacing w:after="0" w:line="240" w:lineRule="auto"/>
        <w:textAlignment w:val="baseline"/>
        <w:rPr>
          <w:rFonts w:eastAsia="Times New Roman"/>
          <w:b/>
          <w:bCs/>
        </w:rPr>
      </w:pPr>
    </w:p>
    <w:p w14:paraId="3760EA4B" w14:textId="7FBC8E43" w:rsidR="00E8587E" w:rsidRDefault="00E8587E" w:rsidP="00E8587E">
      <w:pPr>
        <w:shd w:val="clear" w:color="auto" w:fill="FFFFFF" w:themeFill="background1"/>
        <w:spacing w:after="0" w:line="240" w:lineRule="auto"/>
        <w:ind w:firstLine="720"/>
        <w:textAlignment w:val="baseline"/>
        <w:rPr>
          <w:rFonts w:eastAsia="Times New Roman"/>
        </w:rPr>
      </w:pPr>
      <w:r>
        <w:rPr>
          <w:rFonts w:eastAsia="Times New Roman"/>
        </w:rPr>
        <w:t>Supplementary text</w:t>
      </w:r>
    </w:p>
    <w:p w14:paraId="1F6B701E" w14:textId="3DE48CB5" w:rsidR="003E3BFB" w:rsidRDefault="009A1606" w:rsidP="00F702C8">
      <w:pPr>
        <w:shd w:val="clear" w:color="auto" w:fill="FFFFFF" w:themeFill="background1"/>
        <w:spacing w:after="0" w:line="240" w:lineRule="auto"/>
        <w:ind w:firstLine="720"/>
        <w:textAlignment w:val="baseline"/>
        <w:rPr>
          <w:rFonts w:eastAsia="Times New Roman"/>
        </w:rPr>
      </w:pPr>
      <w:r>
        <w:rPr>
          <w:rFonts w:eastAsia="Times New Roman"/>
        </w:rPr>
        <w:t xml:space="preserve">Supplementary </w:t>
      </w:r>
      <w:r w:rsidR="00F702C8">
        <w:rPr>
          <w:rFonts w:eastAsia="Times New Roman"/>
        </w:rPr>
        <w:t xml:space="preserve">Figures S1 to </w:t>
      </w:r>
      <w:r w:rsidR="00153641">
        <w:rPr>
          <w:rFonts w:eastAsia="Times New Roman"/>
        </w:rPr>
        <w:t>S4</w:t>
      </w:r>
    </w:p>
    <w:p w14:paraId="2FD7551B" w14:textId="6862C052" w:rsidR="009A1606" w:rsidRDefault="009A1606" w:rsidP="00F702C8">
      <w:pPr>
        <w:shd w:val="clear" w:color="auto" w:fill="FFFFFF" w:themeFill="background1"/>
        <w:spacing w:after="0" w:line="240" w:lineRule="auto"/>
        <w:ind w:firstLine="720"/>
        <w:textAlignment w:val="baseline"/>
        <w:rPr>
          <w:rFonts w:eastAsia="Times New Roman"/>
        </w:rPr>
      </w:pPr>
      <w:r>
        <w:rPr>
          <w:rFonts w:eastAsia="Times New Roman"/>
        </w:rPr>
        <w:t>Supplementary Table S1</w:t>
      </w:r>
    </w:p>
    <w:p w14:paraId="2FD1834B" w14:textId="1D4C2547" w:rsidR="000D1282" w:rsidRDefault="000D1282" w:rsidP="000D1282">
      <w:pPr>
        <w:shd w:val="clear" w:color="auto" w:fill="FFFFFF" w:themeFill="background1"/>
        <w:spacing w:after="0" w:line="240" w:lineRule="auto"/>
        <w:textAlignment w:val="baseline"/>
        <w:rPr>
          <w:rFonts w:eastAsia="Times New Roman"/>
        </w:rPr>
      </w:pPr>
    </w:p>
    <w:p w14:paraId="0D3EE4BF" w14:textId="3BDD100D" w:rsidR="000D1282" w:rsidRDefault="000D1282" w:rsidP="000D1282">
      <w:pPr>
        <w:shd w:val="clear" w:color="auto" w:fill="FFFFFF" w:themeFill="background1"/>
        <w:spacing w:after="0" w:line="240" w:lineRule="auto"/>
        <w:textAlignment w:val="baseline"/>
        <w:rPr>
          <w:rFonts w:eastAsia="Times New Roman"/>
          <w:b/>
          <w:bCs/>
        </w:rPr>
      </w:pPr>
      <w:r>
        <w:rPr>
          <w:rFonts w:eastAsia="Times New Roman"/>
          <w:b/>
          <w:bCs/>
        </w:rPr>
        <w:t>Supplementary Information Text</w:t>
      </w:r>
    </w:p>
    <w:p w14:paraId="2ABD9C43" w14:textId="47209280" w:rsidR="000D1282" w:rsidRDefault="000D1282" w:rsidP="000D1282">
      <w:pPr>
        <w:shd w:val="clear" w:color="auto" w:fill="FFFFFF" w:themeFill="background1"/>
        <w:spacing w:after="0" w:line="240" w:lineRule="auto"/>
        <w:textAlignment w:val="baseline"/>
        <w:rPr>
          <w:rFonts w:eastAsia="Times New Roman"/>
          <w:b/>
          <w:bCs/>
        </w:rPr>
      </w:pPr>
    </w:p>
    <w:p w14:paraId="7EA14DE1" w14:textId="3AC40FFE" w:rsidR="000D1282" w:rsidRDefault="000D1282" w:rsidP="000D1282">
      <w:pPr>
        <w:shd w:val="clear" w:color="auto" w:fill="FFFFFF" w:themeFill="background1"/>
        <w:spacing w:after="0" w:line="240" w:lineRule="auto"/>
        <w:textAlignment w:val="baseline"/>
        <w:rPr>
          <w:rFonts w:eastAsia="Times New Roman"/>
          <w:b/>
          <w:bCs/>
        </w:rPr>
      </w:pPr>
      <w:r>
        <w:rPr>
          <w:rFonts w:eastAsia="Times New Roman"/>
          <w:b/>
          <w:bCs/>
        </w:rPr>
        <w:t>Advanced search criteria for generating the human androgen receptor ensemble</w:t>
      </w:r>
    </w:p>
    <w:p w14:paraId="25A0271A" w14:textId="2D47D46D" w:rsidR="000D1282" w:rsidRDefault="000D1282" w:rsidP="000D1282">
      <w:pPr>
        <w:pStyle w:val="NormalWeb"/>
        <w:spacing w:before="0" w:beforeAutospacing="0" w:after="0" w:afterAutospacing="0"/>
      </w:pPr>
    </w:p>
    <w:p w14:paraId="3C953A85" w14:textId="3F5F2F58" w:rsidR="00247AD7" w:rsidRDefault="000D1282" w:rsidP="00247AD7">
      <w:pPr>
        <w:pStyle w:val="NormalWeb"/>
        <w:spacing w:before="0" w:beforeAutospacing="0" w:after="0" w:afterAutospacing="0"/>
      </w:pPr>
      <w:r>
        <w:rPr>
          <w:color w:val="000000"/>
          <w:shd w:val="clear" w:color="auto" w:fill="FFFFFF"/>
        </w:rPr>
        <w:t xml:space="preserve">The </w:t>
      </w:r>
      <w:r w:rsidRPr="000071EF">
        <w:rPr>
          <w:color w:val="000000"/>
          <w:shd w:val="clear" w:color="auto" w:fill="FFFFFF"/>
        </w:rPr>
        <w:t>Research Collaboratory for Structural Bioinformatics Protein Data Bank (RCSB PDB)</w:t>
      </w:r>
      <w:r>
        <w:rPr>
          <w:color w:val="000000"/>
          <w:shd w:val="clear" w:color="auto" w:fill="FFFFFF"/>
        </w:rPr>
        <w:t xml:space="preserve"> was accessed </w:t>
      </w:r>
      <w:r w:rsidR="002704F0">
        <w:rPr>
          <w:color w:val="000000"/>
          <w:shd w:val="clear" w:color="auto" w:fill="FFFFFF"/>
        </w:rPr>
        <w:t xml:space="preserve">on 8/21/23 to generate </w:t>
      </w:r>
      <w:r w:rsidR="0020065B">
        <w:rPr>
          <w:color w:val="000000"/>
          <w:shd w:val="clear" w:color="auto" w:fill="FFFFFF"/>
        </w:rPr>
        <w:t>an</w:t>
      </w:r>
      <w:r w:rsidR="002704F0">
        <w:rPr>
          <w:color w:val="000000"/>
          <w:shd w:val="clear" w:color="auto" w:fill="FFFFFF"/>
        </w:rPr>
        <w:t xml:space="preserve"> ensemble set</w:t>
      </w:r>
      <w:r w:rsidR="00247AD7">
        <w:rPr>
          <w:color w:val="000000"/>
          <w:shd w:val="clear" w:color="auto" w:fill="FFFFFF"/>
        </w:rPr>
        <w:t xml:space="preserve"> comprised of</w:t>
      </w:r>
      <w:r w:rsidR="0020065B">
        <w:rPr>
          <w:color w:val="000000"/>
          <w:shd w:val="clear" w:color="auto" w:fill="FFFFFF"/>
        </w:rPr>
        <w:t xml:space="preserve"> 47 human AR structures</w:t>
      </w:r>
      <w:r w:rsidR="00247AD7">
        <w:rPr>
          <w:color w:val="000000"/>
          <w:shd w:val="clear" w:color="auto" w:fill="FFFFFF"/>
        </w:rPr>
        <w:t xml:space="preserve">: </w:t>
      </w:r>
      <w:r w:rsidR="00247AD7" w:rsidRPr="00247AD7">
        <w:t>1e3g, 1t5z, 1t63, 1t65, 1xow, 1xq3, 2am9, 2ama, 2amb, 2ao6, 2ax9, 2axa, 2hvc, 2pio, 2pip, 2piq, 2pir, 2pit, 2piu, 2piv, 2pix, 2pkl, 2pnu, 2q7i, 2q7j, 2yhd, 2ylo, 2ylp, 2ylq, 3b5r, 3b65, 3b66, 3b67, 3b68, 3l3x, 3l3z, 3rlj, 3v49, 3v4a, 4hlw, 4k7a, 4ql8, 5cj6, 5jjm, 5v8q, 5vo4, 8e1a</w:t>
      </w:r>
      <w:r w:rsidR="00247AD7">
        <w:t>.</w:t>
      </w:r>
    </w:p>
    <w:p w14:paraId="41A81F0E" w14:textId="69BC3EFD" w:rsidR="0020065B" w:rsidRDefault="0020065B" w:rsidP="00247AD7">
      <w:pPr>
        <w:pStyle w:val="NormalWeb"/>
        <w:spacing w:before="0" w:beforeAutospacing="0" w:after="0" w:afterAutospacing="0"/>
      </w:pPr>
    </w:p>
    <w:p w14:paraId="75C9671E" w14:textId="51FB9CBF" w:rsidR="0020065B" w:rsidRDefault="0020065B" w:rsidP="00247AD7">
      <w:pPr>
        <w:pStyle w:val="NormalWeb"/>
        <w:spacing w:before="0" w:beforeAutospacing="0" w:after="0" w:afterAutospacing="0"/>
      </w:pPr>
      <w:r>
        <w:t xml:space="preserve">The advanced search criteria </w:t>
      </w:r>
      <w:r w:rsidR="004D3B86">
        <w:t>were</w:t>
      </w:r>
      <w:r>
        <w:t xml:space="preserve"> as follows:</w:t>
      </w:r>
    </w:p>
    <w:p w14:paraId="5CFCD03D" w14:textId="6A64F854" w:rsidR="0020065B" w:rsidRDefault="0020065B" w:rsidP="00247AD7">
      <w:pPr>
        <w:pStyle w:val="NormalWeb"/>
        <w:spacing w:before="0" w:beforeAutospacing="0" w:after="0" w:afterAutospacing="0"/>
      </w:pPr>
      <w:r w:rsidRPr="000D1282">
        <w:rPr>
          <w:b/>
          <w:bCs/>
        </w:rPr>
        <w:t>QUERY:</w:t>
      </w:r>
      <w:r w:rsidRPr="000D1282">
        <w:t> (Gene Name = "AR" </w:t>
      </w:r>
      <w:r w:rsidRPr="000D1282">
        <w:rPr>
          <w:b/>
          <w:bCs/>
        </w:rPr>
        <w:t>AND</w:t>
      </w:r>
      <w:r w:rsidRPr="000D1282">
        <w:t> Entry Polymer Types = "Protein (only)" </w:t>
      </w:r>
      <w:r w:rsidRPr="000D1282">
        <w:rPr>
          <w:b/>
          <w:bCs/>
        </w:rPr>
        <w:t>AND</w:t>
      </w:r>
      <w:r w:rsidRPr="000D1282">
        <w:t> Refinement Resolution </w:t>
      </w:r>
      <w:r w:rsidRPr="000D1282">
        <w:rPr>
          <w:b/>
          <w:bCs/>
        </w:rPr>
        <w:t>&lt;=</w:t>
      </w:r>
      <w:r w:rsidRPr="000D1282">
        <w:t> 2.5 </w:t>
      </w:r>
      <w:r w:rsidRPr="000D1282">
        <w:rPr>
          <w:b/>
          <w:bCs/>
        </w:rPr>
        <w:t>AND</w:t>
      </w:r>
      <w:r w:rsidRPr="000D1282">
        <w:t> Scientific Name of the Source Organism = "Homo sapiens" </w:t>
      </w:r>
      <w:r w:rsidRPr="000D1282">
        <w:rPr>
          <w:b/>
          <w:bCs/>
        </w:rPr>
        <w:t>AND</w:t>
      </w:r>
      <w:r w:rsidRPr="000D1282">
        <w:t> Polymer Entity Mutation Count </w:t>
      </w:r>
      <w:r w:rsidRPr="000D1282">
        <w:rPr>
          <w:b/>
          <w:bCs/>
        </w:rPr>
        <w:t>=</w:t>
      </w:r>
      <w:r w:rsidRPr="000D1282">
        <w:t> 0 </w:t>
      </w:r>
      <w:r w:rsidRPr="000D1282">
        <w:rPr>
          <w:b/>
          <w:bCs/>
        </w:rPr>
        <w:t>AND</w:t>
      </w:r>
      <w:r w:rsidRPr="000D1282">
        <w:t> Structure Title </w:t>
      </w:r>
      <w:r w:rsidRPr="000D1282">
        <w:rPr>
          <w:b/>
          <w:bCs/>
        </w:rPr>
        <w:t>NOT</w:t>
      </w:r>
      <w:r w:rsidRPr="000D1282">
        <w:t> </w:t>
      </w:r>
      <w:r w:rsidRPr="000D1282">
        <w:rPr>
          <w:b/>
          <w:bCs/>
        </w:rPr>
        <w:t>HAS EXACT PHRASE</w:t>
      </w:r>
      <w:r w:rsidRPr="000D1282">
        <w:t> "mutant") </w:t>
      </w:r>
      <w:r w:rsidRPr="000D1282">
        <w:rPr>
          <w:b/>
          <w:bCs/>
        </w:rPr>
        <w:t>AND</w:t>
      </w:r>
      <w:r w:rsidRPr="000D1282">
        <w:t> (Full Text = "androgen receptor" </w:t>
      </w:r>
      <w:r w:rsidRPr="000D1282">
        <w:rPr>
          <w:b/>
          <w:bCs/>
        </w:rPr>
        <w:t>AND</w:t>
      </w:r>
      <w:r w:rsidRPr="000D1282">
        <w:t xml:space="preserve"> Full Text = </w:t>
      </w:r>
      <w:r w:rsidRPr="000D1282">
        <w:lastRenderedPageBreak/>
        <w:t>"AR") </w:t>
      </w:r>
      <w:r w:rsidRPr="000D1282">
        <w:rPr>
          <w:b/>
          <w:bCs/>
        </w:rPr>
        <w:t>AND</w:t>
      </w:r>
      <w:r w:rsidRPr="000D1282">
        <w:t> Structure Similarity </w:t>
      </w:r>
      <w:r w:rsidRPr="000D1282">
        <w:rPr>
          <w:b/>
          <w:bCs/>
        </w:rPr>
        <w:t>WHERE</w:t>
      </w:r>
      <w:r w:rsidRPr="000D1282">
        <w:t> (Entry ID = "2AMA" </w:t>
      </w:r>
      <w:r w:rsidRPr="000D1282">
        <w:rPr>
          <w:b/>
          <w:bCs/>
        </w:rPr>
        <w:t>AND</w:t>
      </w:r>
      <w:r w:rsidRPr="000D1282">
        <w:t> Chain ID = "A" </w:t>
      </w:r>
      <w:r w:rsidRPr="000D1282">
        <w:rPr>
          <w:b/>
          <w:bCs/>
        </w:rPr>
        <w:t>AND</w:t>
      </w:r>
      <w:r w:rsidRPr="000D1282">
        <w:t> Shape Match = "Strict")</w:t>
      </w:r>
    </w:p>
    <w:p w14:paraId="116FF853" w14:textId="43F2D6A2" w:rsidR="00A709F3" w:rsidRDefault="00A709F3" w:rsidP="0090556B">
      <w:pPr>
        <w:pStyle w:val="NormalWeb"/>
        <w:spacing w:before="0" w:beforeAutospacing="0" w:after="0" w:afterAutospacing="0"/>
      </w:pPr>
    </w:p>
    <w:p w14:paraId="7AF688C5" w14:textId="10311E72" w:rsidR="00A709F3" w:rsidRPr="00AD21E1" w:rsidRDefault="00B564F6" w:rsidP="00A709F3">
      <w:r>
        <w:rPr>
          <w:noProof/>
        </w:rPr>
        <w:drawing>
          <wp:inline distT="0" distB="0" distL="0" distR="0" wp14:anchorId="4769C5D1" wp14:editId="2E800BC7">
            <wp:extent cx="5943600" cy="2373630"/>
            <wp:effectExtent l="0" t="0" r="0" b="762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373630"/>
                    </a:xfrm>
                    <a:prstGeom prst="rect">
                      <a:avLst/>
                    </a:prstGeom>
                  </pic:spPr>
                </pic:pic>
              </a:graphicData>
            </a:graphic>
          </wp:inline>
        </w:drawing>
      </w:r>
    </w:p>
    <w:p w14:paraId="23E1B389" w14:textId="5DFA0641" w:rsidR="00A709F3" w:rsidRPr="00A709F3" w:rsidRDefault="00A709F3" w:rsidP="00A709F3">
      <w:r w:rsidRPr="00A709F3">
        <w:rPr>
          <w:b/>
          <w:bCs/>
        </w:rPr>
        <w:t xml:space="preserve">Figure S1. </w:t>
      </w:r>
      <w:r w:rsidRPr="00A709F3">
        <w:t>Histograms of the ligand RMSD values calculated for each of the binding modes generated from the docking simulations of the 268 species structures for (</w:t>
      </w:r>
      <w:r w:rsidRPr="00D540A0">
        <w:rPr>
          <w:b/>
          <w:bCs/>
        </w:rPr>
        <w:t>A</w:t>
      </w:r>
      <w:r w:rsidRPr="00A709F3">
        <w:t>) DHT and (</w:t>
      </w:r>
      <w:r w:rsidRPr="00D540A0">
        <w:rPr>
          <w:b/>
          <w:bCs/>
        </w:rPr>
        <w:t>B</w:t>
      </w:r>
      <w:r w:rsidRPr="00A709F3">
        <w:t xml:space="preserve">) </w:t>
      </w:r>
      <w:r w:rsidR="007D2AA9">
        <w:t>FHPMPC</w:t>
      </w:r>
      <w:r w:rsidRPr="00A709F3">
        <w:t>.</w:t>
      </w:r>
    </w:p>
    <w:p w14:paraId="53B4DB60" w14:textId="5C50CE43" w:rsidR="003E3BFB" w:rsidRDefault="003E3BFB">
      <w:r>
        <w:rPr>
          <w:noProof/>
        </w:rPr>
        <w:drawing>
          <wp:inline distT="0" distB="0" distL="0" distR="0" wp14:anchorId="443D30B5" wp14:editId="56D9BAEB">
            <wp:extent cx="5934075" cy="3343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2305B8C2" w14:textId="104FB905" w:rsidR="003E3BFB" w:rsidRPr="00AD21E1" w:rsidRDefault="003E3BFB">
      <w:r w:rsidRPr="00AD21E1">
        <w:rPr>
          <w:b/>
          <w:bCs/>
        </w:rPr>
        <w:t>Figure S</w:t>
      </w:r>
      <w:r w:rsidR="00A709F3">
        <w:rPr>
          <w:b/>
          <w:bCs/>
        </w:rPr>
        <w:t>2</w:t>
      </w:r>
      <w:r w:rsidRPr="00AD21E1">
        <w:rPr>
          <w:b/>
          <w:bCs/>
        </w:rPr>
        <w:t xml:space="preserve">. </w:t>
      </w:r>
      <w:r w:rsidR="00AB4463" w:rsidRPr="00AD21E1">
        <w:t>An example of determining the binding pocket shape similarity between the reference structure (</w:t>
      </w:r>
      <w:r w:rsidR="00AB4463" w:rsidRPr="00AD21E1">
        <w:rPr>
          <w:i/>
          <w:iCs/>
        </w:rPr>
        <w:t>Homo sapiens</w:t>
      </w:r>
      <w:r w:rsidR="00AB4463" w:rsidRPr="00AD21E1">
        <w:t>; PDB ID:2AMA) and a query structure (</w:t>
      </w:r>
      <w:r w:rsidR="00AB4463" w:rsidRPr="00AD21E1">
        <w:rPr>
          <w:i/>
          <w:iCs/>
        </w:rPr>
        <w:t>Gallus gallus</w:t>
      </w:r>
      <w:r w:rsidR="00AB4463" w:rsidRPr="00AD21E1">
        <w:t>) using the PPS-align algorithm (</w:t>
      </w:r>
      <w:hyperlink r:id="rId6" w:history="1">
        <w:r w:rsidR="00AB4463" w:rsidRPr="00AD21E1">
          <w:rPr>
            <w:rStyle w:val="Hyperlink"/>
          </w:rPr>
          <w:t>www.zhanggroup.org/PPS-align/</w:t>
        </w:r>
      </w:hyperlink>
      <w:r w:rsidR="00AB4463" w:rsidRPr="00AD21E1">
        <w:t xml:space="preserve">). In this example, the PPS-score was 0.8368 with a pocket RMSD of 0.3818 and a sequence identity of 91.67%. </w:t>
      </w:r>
    </w:p>
    <w:p w14:paraId="68F611FE" w14:textId="431D1C35" w:rsidR="003E3BFB" w:rsidRDefault="003E3BFB">
      <w:r>
        <w:rPr>
          <w:noProof/>
        </w:rPr>
        <w:lastRenderedPageBreak/>
        <w:drawing>
          <wp:inline distT="0" distB="0" distL="0" distR="0" wp14:anchorId="08B4654E" wp14:editId="31997D00">
            <wp:extent cx="5934075" cy="3343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ECFFC6A" w14:textId="6D142782" w:rsidR="003E3BFB" w:rsidRPr="00AD21E1" w:rsidRDefault="003E3BFB">
      <w:r w:rsidRPr="00AD21E1">
        <w:rPr>
          <w:b/>
          <w:bCs/>
        </w:rPr>
        <w:t>Figure S</w:t>
      </w:r>
      <w:r w:rsidR="00A709F3">
        <w:rPr>
          <w:b/>
          <w:bCs/>
        </w:rPr>
        <w:t>3</w:t>
      </w:r>
      <w:r w:rsidRPr="00AD21E1">
        <w:rPr>
          <w:b/>
          <w:bCs/>
        </w:rPr>
        <w:t xml:space="preserve">. </w:t>
      </w:r>
      <w:r w:rsidR="00AB4463" w:rsidRPr="00AD21E1">
        <w:t xml:space="preserve">An example of calculating the protein-ligand interaction fingerprint (PLIF) similarity using the </w:t>
      </w:r>
      <w:proofErr w:type="spellStart"/>
      <w:r w:rsidR="00AB4463" w:rsidRPr="00AD21E1">
        <w:t>Tanimoto</w:t>
      </w:r>
      <w:proofErr w:type="spellEnd"/>
      <w:r w:rsidR="00AB4463" w:rsidRPr="00AD21E1">
        <w:t xml:space="preserve"> coefficient (Tc). (</w:t>
      </w:r>
      <w:r w:rsidR="00AB4463" w:rsidRPr="00D540A0">
        <w:rPr>
          <w:b/>
          <w:bCs/>
        </w:rPr>
        <w:t>A</w:t>
      </w:r>
      <w:r w:rsidR="00AB4463" w:rsidRPr="00AD21E1">
        <w:t xml:space="preserve">) The position of </w:t>
      </w:r>
      <w:r w:rsidR="007D2AA9">
        <w:t>FHPMPC</w:t>
      </w:r>
      <w:r w:rsidR="00AB4463" w:rsidRPr="00AD21E1">
        <w:t xml:space="preserve"> after the simulated binding using the </w:t>
      </w:r>
      <w:r w:rsidR="00AB4463" w:rsidRPr="00AD21E1">
        <w:rPr>
          <w:i/>
          <w:iCs/>
        </w:rPr>
        <w:t xml:space="preserve">Equus caballus </w:t>
      </w:r>
      <w:r w:rsidR="00AB4463" w:rsidRPr="00AD21E1">
        <w:t xml:space="preserve">AR structure </w:t>
      </w:r>
      <w:r w:rsidR="00C66B46" w:rsidRPr="00AD21E1">
        <w:t xml:space="preserve">is shown (blue) in relation to the position of </w:t>
      </w:r>
      <w:r w:rsidR="007D2AA9">
        <w:t>FHPMPC</w:t>
      </w:r>
      <w:r w:rsidR="00C66B46" w:rsidRPr="00AD21E1">
        <w:t xml:space="preserve"> according to the reference structure (</w:t>
      </w:r>
      <w:r w:rsidR="00C66B46" w:rsidRPr="00AD21E1">
        <w:rPr>
          <w:i/>
          <w:iCs/>
        </w:rPr>
        <w:t>Homo sapiens</w:t>
      </w:r>
      <w:r w:rsidR="00C66B46" w:rsidRPr="00AD21E1">
        <w:t xml:space="preserve">; PDB ID:5VO4; magenta). The major intermolecular interactions determined using the Protein-Ligand Interaction Profiler (PLIP; </w:t>
      </w:r>
      <w:hyperlink r:id="rId8" w:history="1">
        <w:r w:rsidR="00C66B46" w:rsidRPr="00AD21E1">
          <w:rPr>
            <w:rStyle w:val="Hyperlink"/>
            <w:rFonts w:eastAsia="Times New Roman"/>
          </w:rPr>
          <w:t>https://plip-tool.biotec.tu-dresden.de/plip-web/plip/index</w:t>
        </w:r>
      </w:hyperlink>
      <w:r w:rsidR="00C66B46" w:rsidRPr="00AD21E1">
        <w:t>) tool are shown for the reference structure (</w:t>
      </w:r>
      <w:r w:rsidR="00C66B46" w:rsidRPr="00D540A0">
        <w:rPr>
          <w:b/>
          <w:bCs/>
        </w:rPr>
        <w:t>B</w:t>
      </w:r>
      <w:r w:rsidR="00C66B46" w:rsidRPr="00AD21E1">
        <w:t xml:space="preserve">) and the </w:t>
      </w:r>
      <w:r w:rsidR="00C66B46" w:rsidRPr="00AD21E1">
        <w:rPr>
          <w:i/>
          <w:iCs/>
        </w:rPr>
        <w:t>E</w:t>
      </w:r>
      <w:r w:rsidR="00C66B46" w:rsidRPr="00AD21E1">
        <w:t>.</w:t>
      </w:r>
      <w:r w:rsidR="00C66B46" w:rsidRPr="00AD21E1">
        <w:rPr>
          <w:i/>
          <w:iCs/>
        </w:rPr>
        <w:t xml:space="preserve"> caballus </w:t>
      </w:r>
      <w:r w:rsidR="00C66B46" w:rsidRPr="00AD21E1">
        <w:t>query structure (</w:t>
      </w:r>
      <w:r w:rsidR="00C66B46" w:rsidRPr="00D540A0">
        <w:rPr>
          <w:b/>
          <w:bCs/>
        </w:rPr>
        <w:t>C</w:t>
      </w:r>
      <w:r w:rsidR="00C66B46" w:rsidRPr="00AD21E1">
        <w:t>). After determining the Van der Waals (</w:t>
      </w:r>
      <w:proofErr w:type="spellStart"/>
      <w:r w:rsidR="00C66B46" w:rsidRPr="00AD21E1">
        <w:t>vdw</w:t>
      </w:r>
      <w:proofErr w:type="spellEnd"/>
      <w:r w:rsidR="00C66B46" w:rsidRPr="00AD21E1">
        <w:t xml:space="preserve">) contacts, </w:t>
      </w:r>
      <w:r w:rsidR="00EF4F22" w:rsidRPr="00AD21E1">
        <w:t>all</w:t>
      </w:r>
      <w:r w:rsidR="00C66B46" w:rsidRPr="00AD21E1">
        <w:t xml:space="preserve"> the intermolecular interactions for each protein-ligand model are converted to bit vectors (</w:t>
      </w:r>
      <w:r w:rsidR="00C66B46" w:rsidRPr="00D540A0">
        <w:rPr>
          <w:b/>
          <w:bCs/>
        </w:rPr>
        <w:t>D</w:t>
      </w:r>
      <w:r w:rsidR="00C66B46" w:rsidRPr="00AD21E1">
        <w:t xml:space="preserve">) where “1” represents the presence of an interaction and “0” represents the absence of that interaction. The similarity between these bit vectors is calculated using the Tc. In this example, the Tc = 0.773. </w:t>
      </w:r>
    </w:p>
    <w:p w14:paraId="4E11CF02" w14:textId="1C16837C" w:rsidR="00591BFD" w:rsidRDefault="00B564F6">
      <w:r>
        <w:rPr>
          <w:noProof/>
        </w:rPr>
        <w:lastRenderedPageBreak/>
        <w:drawing>
          <wp:inline distT="0" distB="0" distL="0" distR="0" wp14:anchorId="26BEE1BC" wp14:editId="331291DD">
            <wp:extent cx="5943600" cy="496062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960620"/>
                    </a:xfrm>
                    <a:prstGeom prst="rect">
                      <a:avLst/>
                    </a:prstGeom>
                  </pic:spPr>
                </pic:pic>
              </a:graphicData>
            </a:graphic>
          </wp:inline>
        </w:drawing>
      </w:r>
    </w:p>
    <w:p w14:paraId="79796655" w14:textId="77777777" w:rsidR="00FD5E34" w:rsidRDefault="003E3BFB" w:rsidP="00FD5E34">
      <w:r w:rsidRPr="00AD21E1">
        <w:rPr>
          <w:b/>
          <w:bCs/>
        </w:rPr>
        <w:t>Figure S</w:t>
      </w:r>
      <w:r w:rsidR="00A709F3">
        <w:rPr>
          <w:b/>
          <w:bCs/>
        </w:rPr>
        <w:t>4</w:t>
      </w:r>
      <w:r w:rsidRPr="00AD21E1">
        <w:rPr>
          <w:b/>
          <w:bCs/>
        </w:rPr>
        <w:t xml:space="preserve">. </w:t>
      </w:r>
      <w:r w:rsidR="008528CB" w:rsidRPr="00AD21E1">
        <w:t xml:space="preserve">Elbow plots for determining the ideal value of </w:t>
      </w:r>
      <w:r w:rsidR="008528CB" w:rsidRPr="00AD21E1">
        <w:rPr>
          <w:i/>
          <w:iCs/>
        </w:rPr>
        <w:t xml:space="preserve">k </w:t>
      </w:r>
      <w:r w:rsidR="008528CB" w:rsidRPr="00AD21E1">
        <w:t xml:space="preserve">for the </w:t>
      </w:r>
      <w:r w:rsidR="008528CB" w:rsidRPr="00AD21E1">
        <w:rPr>
          <w:i/>
          <w:iCs/>
        </w:rPr>
        <w:t>k</w:t>
      </w:r>
      <w:r w:rsidR="008528CB" w:rsidRPr="00AD21E1">
        <w:t>-means clustering analyses are shown for the ensemble-docking results for DHT (</w:t>
      </w:r>
      <w:r w:rsidR="008528CB" w:rsidRPr="00D540A0">
        <w:rPr>
          <w:b/>
          <w:bCs/>
        </w:rPr>
        <w:t>A</w:t>
      </w:r>
      <w:r w:rsidR="008528CB" w:rsidRPr="00AD21E1">
        <w:t xml:space="preserve">) and </w:t>
      </w:r>
      <w:r w:rsidR="007D2AA9">
        <w:t>FHPMPC</w:t>
      </w:r>
      <w:r w:rsidR="008528CB" w:rsidRPr="00AD21E1">
        <w:t xml:space="preserve"> (</w:t>
      </w:r>
      <w:r w:rsidR="008528CB" w:rsidRPr="00D540A0">
        <w:rPr>
          <w:b/>
          <w:bCs/>
        </w:rPr>
        <w:t>B</w:t>
      </w:r>
      <w:r w:rsidR="008528CB" w:rsidRPr="00AD21E1">
        <w:t xml:space="preserve">). The within-clusters sum of squared error (SSE) is plotted against various values of </w:t>
      </w:r>
      <w:r w:rsidR="008528CB" w:rsidRPr="00AD21E1">
        <w:rPr>
          <w:i/>
          <w:iCs/>
        </w:rPr>
        <w:t>k</w:t>
      </w:r>
      <w:r w:rsidR="008528CB" w:rsidRPr="00AD21E1">
        <w:t>. The red dots represent the point at which the SSE values begin to level-out</w:t>
      </w:r>
      <w:r w:rsidR="00C42566" w:rsidRPr="00AD21E1">
        <w:t xml:space="preserve"> (</w:t>
      </w:r>
      <w:r w:rsidR="00C42566" w:rsidRPr="00AD21E1">
        <w:rPr>
          <w:i/>
          <w:iCs/>
        </w:rPr>
        <w:t xml:space="preserve">k </w:t>
      </w:r>
      <w:r w:rsidR="00C42566" w:rsidRPr="00AD21E1">
        <w:t xml:space="preserve">= 3 for DHT and </w:t>
      </w:r>
      <w:r w:rsidR="007D2AA9">
        <w:t>FHPMPC</w:t>
      </w:r>
      <w:r w:rsidR="00C42566" w:rsidRPr="00AD21E1">
        <w:t>)</w:t>
      </w:r>
      <w:r w:rsidR="006276DF" w:rsidRPr="00AD21E1">
        <w:t xml:space="preserve">, which could be considered the ideal value for </w:t>
      </w:r>
      <w:r w:rsidR="006276DF" w:rsidRPr="00AD21E1">
        <w:rPr>
          <w:i/>
          <w:iCs/>
        </w:rPr>
        <w:t>k</w:t>
      </w:r>
      <w:r w:rsidR="008528CB" w:rsidRPr="00AD21E1">
        <w:t>.</w:t>
      </w:r>
      <w:r w:rsidR="006276DF" w:rsidRPr="00AD21E1">
        <w:t xml:space="preserve"> </w:t>
      </w:r>
      <w:r w:rsidR="008528CB" w:rsidRPr="00AD21E1">
        <w:t>Silhouette plots were created for the same purpose</w:t>
      </w:r>
      <w:r w:rsidR="006276DF" w:rsidRPr="00AD21E1">
        <w:t xml:space="preserve"> for (</w:t>
      </w:r>
      <w:r w:rsidR="006276DF" w:rsidRPr="00D540A0">
        <w:rPr>
          <w:b/>
          <w:bCs/>
        </w:rPr>
        <w:t>C</w:t>
      </w:r>
      <w:r w:rsidR="006276DF" w:rsidRPr="00AD21E1">
        <w:t>) DHT and (</w:t>
      </w:r>
      <w:r w:rsidR="006276DF" w:rsidRPr="00D540A0">
        <w:rPr>
          <w:b/>
          <w:bCs/>
        </w:rPr>
        <w:t>D</w:t>
      </w:r>
      <w:r w:rsidR="006276DF" w:rsidRPr="00AD21E1">
        <w:t xml:space="preserve">) </w:t>
      </w:r>
      <w:r w:rsidR="007D2AA9">
        <w:t>FHPMPC</w:t>
      </w:r>
      <w:r w:rsidR="006276DF" w:rsidRPr="00AD21E1">
        <w:t xml:space="preserve">. In this case, a silhouette score, which is a measure of how distinct clusters are from one another, is plotted against various values of </w:t>
      </w:r>
      <w:r w:rsidR="006276DF" w:rsidRPr="00AD21E1">
        <w:rPr>
          <w:i/>
          <w:iCs/>
        </w:rPr>
        <w:t>k</w:t>
      </w:r>
      <w:r w:rsidR="006276DF" w:rsidRPr="00AD21E1">
        <w:t xml:space="preserve">. Again, the red dots represent the ideal value of </w:t>
      </w:r>
      <w:r w:rsidR="006276DF" w:rsidRPr="00AD21E1">
        <w:rPr>
          <w:i/>
          <w:iCs/>
        </w:rPr>
        <w:t xml:space="preserve">k </w:t>
      </w:r>
      <w:r w:rsidR="006276DF" w:rsidRPr="00AD21E1">
        <w:t>(i.e., the number of clusters that results in the lowest degree of cluster overlap)</w:t>
      </w:r>
      <w:r w:rsidR="00C42566" w:rsidRPr="00AD21E1">
        <w:t xml:space="preserve">, which was </w:t>
      </w:r>
      <w:r w:rsidR="00C42566" w:rsidRPr="00AD21E1">
        <w:rPr>
          <w:i/>
          <w:iCs/>
        </w:rPr>
        <w:t xml:space="preserve">k </w:t>
      </w:r>
      <w:r w:rsidR="00C42566" w:rsidRPr="00AD21E1">
        <w:t xml:space="preserve">= 2 for DHT and </w:t>
      </w:r>
      <w:r w:rsidR="00C42566" w:rsidRPr="00AD21E1">
        <w:rPr>
          <w:i/>
          <w:iCs/>
        </w:rPr>
        <w:t xml:space="preserve">k </w:t>
      </w:r>
      <w:r w:rsidR="00C42566" w:rsidRPr="00AD21E1">
        <w:t xml:space="preserve">= 4 for </w:t>
      </w:r>
      <w:r w:rsidR="007D2AA9">
        <w:t>FHPMPC</w:t>
      </w:r>
      <w:r w:rsidR="006276DF" w:rsidRPr="00AD21E1">
        <w:t xml:space="preserve">. Lastly, plots for determining the ideal value of </w:t>
      </w:r>
      <w:r w:rsidR="00B564F6">
        <w:rPr>
          <w:i/>
          <w:iCs/>
        </w:rPr>
        <w:t>k</w:t>
      </w:r>
      <w:r w:rsidR="006276DF" w:rsidRPr="00AD21E1">
        <w:t xml:space="preserve"> for the </w:t>
      </w:r>
      <w:r w:rsidR="006276DF" w:rsidRPr="00AD21E1">
        <w:rPr>
          <w:i/>
          <w:iCs/>
        </w:rPr>
        <w:t>k</w:t>
      </w:r>
      <w:r w:rsidR="006276DF" w:rsidRPr="00AD21E1">
        <w:t>-nearest neighbors</w:t>
      </w:r>
      <w:r w:rsidR="00C42566" w:rsidRPr="00AD21E1">
        <w:t xml:space="preserve"> (</w:t>
      </w:r>
      <w:proofErr w:type="spellStart"/>
      <w:r w:rsidR="00C42566" w:rsidRPr="00AD21E1">
        <w:t>kNN</w:t>
      </w:r>
      <w:proofErr w:type="spellEnd"/>
      <w:r w:rsidR="00C42566" w:rsidRPr="00AD21E1">
        <w:t>)</w:t>
      </w:r>
      <w:r w:rsidR="006276DF" w:rsidRPr="00AD21E1">
        <w:t xml:space="preserve"> classification models are shown for (</w:t>
      </w:r>
      <w:r w:rsidR="006276DF" w:rsidRPr="00D540A0">
        <w:rPr>
          <w:b/>
          <w:bCs/>
        </w:rPr>
        <w:t>E</w:t>
      </w:r>
      <w:r w:rsidR="006276DF" w:rsidRPr="00AD21E1">
        <w:t>) DHT and (</w:t>
      </w:r>
      <w:r w:rsidR="006276DF" w:rsidRPr="00D540A0">
        <w:rPr>
          <w:b/>
          <w:bCs/>
        </w:rPr>
        <w:t>F</w:t>
      </w:r>
      <w:r w:rsidR="006276DF" w:rsidRPr="00AD21E1">
        <w:t xml:space="preserve">) </w:t>
      </w:r>
      <w:r w:rsidR="007D2AA9">
        <w:t>FHPMPC</w:t>
      </w:r>
      <w:r w:rsidR="006276DF" w:rsidRPr="00AD21E1">
        <w:t xml:space="preserve">. The </w:t>
      </w:r>
      <w:r w:rsidR="00C42566" w:rsidRPr="00AD21E1">
        <w:t xml:space="preserve">5-fold </w:t>
      </w:r>
      <w:r w:rsidR="006276DF" w:rsidRPr="00AD21E1">
        <w:t>cross-validation accuracy is plotted against various values of</w:t>
      </w:r>
      <w:r w:rsidR="008932DB" w:rsidRPr="008932DB">
        <w:rPr>
          <w:i/>
          <w:iCs/>
        </w:rPr>
        <w:t xml:space="preserve"> </w:t>
      </w:r>
      <w:r w:rsidR="008932DB">
        <w:rPr>
          <w:i/>
          <w:iCs/>
        </w:rPr>
        <w:t>k</w:t>
      </w:r>
      <w:r w:rsidR="006276DF" w:rsidRPr="00AD21E1">
        <w:t xml:space="preserve">. The value of </w:t>
      </w:r>
      <w:r w:rsidR="008932DB">
        <w:rPr>
          <w:i/>
          <w:iCs/>
        </w:rPr>
        <w:t>k</w:t>
      </w:r>
      <w:r w:rsidR="006276DF" w:rsidRPr="00AD21E1">
        <w:t xml:space="preserve"> that resulted in the highest measure of accuracy in the </w:t>
      </w:r>
      <w:r w:rsidR="00C42566" w:rsidRPr="00AD21E1">
        <w:t xml:space="preserve">cross-validation test was selected for the final </w:t>
      </w:r>
      <w:proofErr w:type="spellStart"/>
      <w:r w:rsidR="00C42566" w:rsidRPr="00AD21E1">
        <w:t>kNN</w:t>
      </w:r>
      <w:proofErr w:type="spellEnd"/>
      <w:r w:rsidR="00C42566" w:rsidRPr="00AD21E1">
        <w:t xml:space="preserve"> model </w:t>
      </w:r>
      <w:r w:rsidR="008932DB">
        <w:t xml:space="preserve">and represented by a red dot in the figures </w:t>
      </w:r>
      <w:r w:rsidR="00C42566" w:rsidRPr="00AD21E1">
        <w:t>(</w:t>
      </w:r>
      <w:r w:rsidR="008932DB">
        <w:rPr>
          <w:i/>
          <w:iCs/>
        </w:rPr>
        <w:t>k</w:t>
      </w:r>
      <w:r w:rsidR="00C42566" w:rsidRPr="00AD21E1">
        <w:t xml:space="preserve"> = 36 for DHT and </w:t>
      </w:r>
      <w:r w:rsidR="008932DB">
        <w:rPr>
          <w:i/>
          <w:iCs/>
        </w:rPr>
        <w:t>k</w:t>
      </w:r>
      <w:r w:rsidR="00C42566" w:rsidRPr="00AD21E1">
        <w:t xml:space="preserve"> = 2 for </w:t>
      </w:r>
      <w:r w:rsidR="007D2AA9">
        <w:t>FHPMPC</w:t>
      </w:r>
      <w:r w:rsidR="00C42566" w:rsidRPr="00AD21E1">
        <w:t xml:space="preserve">). </w:t>
      </w:r>
    </w:p>
    <w:p w14:paraId="28D1D650" w14:textId="7FA0AB6F" w:rsidR="004862D2" w:rsidRPr="00FD5E34" w:rsidRDefault="004862D2" w:rsidP="00FD5E34">
      <w:r w:rsidRPr="00FD5E34">
        <w:rPr>
          <w:b/>
          <w:bCs/>
        </w:rPr>
        <w:t xml:space="preserve">Table </w:t>
      </w:r>
      <w:r w:rsidRPr="00FD5E34">
        <w:rPr>
          <w:b/>
          <w:bCs/>
        </w:rPr>
        <w:fldChar w:fldCharType="begin"/>
      </w:r>
      <w:r w:rsidRPr="00FD5E34">
        <w:rPr>
          <w:b/>
          <w:bCs/>
        </w:rPr>
        <w:instrText xml:space="preserve"> SEQ Table \* ARABIC </w:instrText>
      </w:r>
      <w:r w:rsidRPr="00FD5E34">
        <w:rPr>
          <w:b/>
          <w:bCs/>
        </w:rPr>
        <w:fldChar w:fldCharType="separate"/>
      </w:r>
      <w:r w:rsidRPr="00FD5E34">
        <w:rPr>
          <w:b/>
          <w:bCs/>
          <w:noProof/>
        </w:rPr>
        <w:t>1</w:t>
      </w:r>
      <w:r w:rsidRPr="00FD5E34">
        <w:rPr>
          <w:b/>
          <w:bCs/>
        </w:rPr>
        <w:fldChar w:fldCharType="end"/>
      </w:r>
      <w:r w:rsidRPr="00FD5E34">
        <w:rPr>
          <w:b/>
          <w:bCs/>
        </w:rPr>
        <w:t xml:space="preserve"> </w:t>
      </w:r>
      <w:r w:rsidR="00257F53" w:rsidRPr="00FD5E34">
        <w:t xml:space="preserve">Summary of species susceptibility calls based on three data </w:t>
      </w:r>
      <w:r w:rsidR="004C3DF2" w:rsidRPr="00FD5E34">
        <w:t xml:space="preserve">sources for </w:t>
      </w:r>
      <w:r w:rsidR="004C3DF2" w:rsidRPr="00FD5E34">
        <w:rPr>
          <w:color w:val="000000"/>
          <w:shd w:val="clear" w:color="auto" w:fill="FFFFFF"/>
        </w:rPr>
        <w:t>5α-dihydrotestosterone (DHT)</w:t>
      </w:r>
      <w:r w:rsidR="00257F53" w:rsidRPr="00FD5E34">
        <w:t xml:space="preserve">: in vitro </w:t>
      </w:r>
      <w:r w:rsidR="004C3DF2" w:rsidRPr="00FD5E34">
        <w:t>binding/activation assays, Level 4 evaluations of the Sequence Alignment to Predict Across Species Susceptibility (SeqAPASS) tool, and the cross-</w:t>
      </w:r>
      <w:r w:rsidR="004C3DF2" w:rsidRPr="00FD5E34">
        <w:lastRenderedPageBreak/>
        <w:t>species molecular docking method</w:t>
      </w:r>
      <w:r w:rsidR="00A50FDB">
        <w:t xml:space="preserve">. Note: </w:t>
      </w:r>
      <w:r w:rsidR="00B17FB4">
        <w:t xml:space="preserve">* = </w:t>
      </w:r>
      <w:r w:rsidR="004C3DF2" w:rsidRPr="00FD5E34">
        <w:t>A different androgen receptor (AR) isoform was tested for this species. **</w:t>
      </w:r>
      <w:r w:rsidR="00B17FB4">
        <w:t xml:space="preserve"> = </w:t>
      </w:r>
      <w:r w:rsidR="004C3DF2" w:rsidRPr="00FD5E34">
        <w:t>The predicted AR structures did not pass SeqAPASS Level 4 quality filters for these species.</w:t>
      </w:r>
    </w:p>
    <w:tbl>
      <w:tblPr>
        <w:tblW w:w="5000" w:type="pct"/>
        <w:tblLook w:val="04A0" w:firstRow="1" w:lastRow="0" w:firstColumn="1" w:lastColumn="0" w:noHBand="0" w:noVBand="1"/>
      </w:tblPr>
      <w:tblGrid>
        <w:gridCol w:w="1044"/>
        <w:gridCol w:w="554"/>
        <w:gridCol w:w="823"/>
        <w:gridCol w:w="742"/>
        <w:gridCol w:w="482"/>
        <w:gridCol w:w="482"/>
        <w:gridCol w:w="482"/>
        <w:gridCol w:w="841"/>
        <w:gridCol w:w="482"/>
        <w:gridCol w:w="748"/>
        <w:gridCol w:w="742"/>
        <w:gridCol w:w="482"/>
        <w:gridCol w:w="482"/>
        <w:gridCol w:w="482"/>
        <w:gridCol w:w="482"/>
      </w:tblGrid>
      <w:tr w:rsidR="00A50FDB" w:rsidRPr="004862D2" w14:paraId="18139DC1" w14:textId="77777777" w:rsidTr="00A50FDB">
        <w:trPr>
          <w:trHeight w:val="1400"/>
        </w:trPr>
        <w:tc>
          <w:tcPr>
            <w:tcW w:w="569" w:type="pc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41454C49" w14:textId="77777777" w:rsidR="00A50FDB" w:rsidRPr="004862D2" w:rsidRDefault="00A50FDB" w:rsidP="004862D2">
            <w:pPr>
              <w:spacing w:after="0" w:line="240" w:lineRule="auto"/>
              <w:jc w:val="center"/>
              <w:rPr>
                <w:rFonts w:eastAsia="Times New Roman"/>
                <w:b/>
                <w:bCs/>
                <w:color w:val="000000"/>
                <w:sz w:val="22"/>
                <w:szCs w:val="22"/>
              </w:rPr>
            </w:pPr>
            <w:proofErr w:type="spellStart"/>
            <w:r w:rsidRPr="004862D2">
              <w:rPr>
                <w:rFonts w:eastAsia="Times New Roman"/>
                <w:b/>
                <w:bCs/>
                <w:color w:val="000000"/>
                <w:sz w:val="22"/>
                <w:szCs w:val="22"/>
              </w:rPr>
              <w:t>seqapass</w:t>
            </w:r>
            <w:proofErr w:type="spellEnd"/>
            <w:r w:rsidRPr="004862D2">
              <w:rPr>
                <w:rFonts w:eastAsia="Times New Roman"/>
                <w:b/>
                <w:bCs/>
                <w:color w:val="000000"/>
                <w:sz w:val="22"/>
                <w:szCs w:val="22"/>
              </w:rPr>
              <w:t xml:space="preserve"> susceptibility call</w:t>
            </w:r>
          </w:p>
        </w:tc>
        <w:tc>
          <w:tcPr>
            <w:tcW w:w="307" w:type="pct"/>
            <w:tcBorders>
              <w:top w:val="single" w:sz="4" w:space="0" w:color="auto"/>
              <w:left w:val="nil"/>
              <w:bottom w:val="single" w:sz="4" w:space="0" w:color="auto"/>
              <w:right w:val="nil"/>
            </w:tcBorders>
            <w:shd w:val="clear" w:color="auto" w:fill="FFF2CC" w:themeFill="accent4" w:themeFillTint="33"/>
            <w:textDirection w:val="btLr"/>
            <w:vAlign w:val="bottom"/>
            <w:hideMark/>
          </w:tcPr>
          <w:p w14:paraId="1A8C5607" w14:textId="6F3B3823"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NA**</w:t>
            </w:r>
          </w:p>
        </w:tc>
        <w:tc>
          <w:tcPr>
            <w:tcW w:w="451" w:type="pct"/>
            <w:tcBorders>
              <w:top w:val="single" w:sz="4" w:space="0" w:color="auto"/>
              <w:left w:val="nil"/>
              <w:bottom w:val="single" w:sz="4" w:space="0" w:color="auto"/>
              <w:right w:val="nil"/>
            </w:tcBorders>
            <w:shd w:val="clear" w:color="auto" w:fill="FFF2CC" w:themeFill="accent4" w:themeFillTint="33"/>
            <w:textDirection w:val="btLr"/>
            <w:vAlign w:val="bottom"/>
            <w:hideMark/>
          </w:tcPr>
          <w:p w14:paraId="14CD054A" w14:textId="4DE58070"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NA**</w:t>
            </w:r>
          </w:p>
        </w:tc>
        <w:tc>
          <w:tcPr>
            <w:tcW w:w="407" w:type="pct"/>
            <w:tcBorders>
              <w:top w:val="single" w:sz="4" w:space="0" w:color="auto"/>
              <w:left w:val="nil"/>
              <w:bottom w:val="single" w:sz="4" w:space="0" w:color="auto"/>
              <w:right w:val="nil"/>
            </w:tcBorders>
            <w:shd w:val="clear" w:color="auto" w:fill="E2EFD9" w:themeFill="accent6" w:themeFillTint="33"/>
            <w:textDirection w:val="btLr"/>
            <w:vAlign w:val="bottom"/>
            <w:hideMark/>
          </w:tcPr>
          <w:p w14:paraId="1850AAF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6" w:type="pct"/>
            <w:tcBorders>
              <w:top w:val="single" w:sz="4" w:space="0" w:color="auto"/>
              <w:left w:val="nil"/>
              <w:bottom w:val="single" w:sz="4" w:space="0" w:color="auto"/>
              <w:right w:val="nil"/>
            </w:tcBorders>
            <w:shd w:val="clear" w:color="auto" w:fill="E2EFD9" w:themeFill="accent6" w:themeFillTint="33"/>
            <w:textDirection w:val="btLr"/>
            <w:vAlign w:val="bottom"/>
            <w:hideMark/>
          </w:tcPr>
          <w:p w14:paraId="69BACF31"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5" w:type="pct"/>
            <w:tcBorders>
              <w:top w:val="single" w:sz="4" w:space="0" w:color="auto"/>
              <w:left w:val="nil"/>
              <w:bottom w:val="single" w:sz="4" w:space="0" w:color="auto"/>
              <w:right w:val="nil"/>
            </w:tcBorders>
            <w:shd w:val="clear" w:color="auto" w:fill="E2EFD9" w:themeFill="accent6" w:themeFillTint="33"/>
            <w:textDirection w:val="btLr"/>
            <w:vAlign w:val="bottom"/>
            <w:hideMark/>
          </w:tcPr>
          <w:p w14:paraId="3EAB7D5E"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6" w:type="pct"/>
            <w:tcBorders>
              <w:top w:val="single" w:sz="4" w:space="0" w:color="auto"/>
              <w:left w:val="nil"/>
              <w:bottom w:val="single" w:sz="4" w:space="0" w:color="auto"/>
              <w:right w:val="nil"/>
            </w:tcBorders>
            <w:shd w:val="clear" w:color="auto" w:fill="E2EFD9" w:themeFill="accent6" w:themeFillTint="33"/>
            <w:textDirection w:val="btLr"/>
            <w:vAlign w:val="bottom"/>
            <w:hideMark/>
          </w:tcPr>
          <w:p w14:paraId="53F54E9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60" w:type="pct"/>
            <w:tcBorders>
              <w:top w:val="single" w:sz="4" w:space="0" w:color="auto"/>
              <w:left w:val="nil"/>
              <w:bottom w:val="single" w:sz="4" w:space="0" w:color="auto"/>
              <w:right w:val="nil"/>
            </w:tcBorders>
            <w:shd w:val="clear" w:color="auto" w:fill="E2EFD9" w:themeFill="accent6" w:themeFillTint="33"/>
            <w:textDirection w:val="btLr"/>
            <w:vAlign w:val="bottom"/>
            <w:hideMark/>
          </w:tcPr>
          <w:p w14:paraId="04D42590"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5" w:type="pct"/>
            <w:tcBorders>
              <w:top w:val="single" w:sz="4" w:space="0" w:color="auto"/>
              <w:left w:val="nil"/>
              <w:bottom w:val="single" w:sz="4" w:space="0" w:color="auto"/>
              <w:right w:val="nil"/>
            </w:tcBorders>
            <w:shd w:val="clear" w:color="auto" w:fill="E2EFD9" w:themeFill="accent6" w:themeFillTint="33"/>
            <w:textDirection w:val="btLr"/>
            <w:vAlign w:val="bottom"/>
            <w:hideMark/>
          </w:tcPr>
          <w:p w14:paraId="59B1B5B7"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10" w:type="pct"/>
            <w:tcBorders>
              <w:top w:val="single" w:sz="4" w:space="0" w:color="auto"/>
              <w:left w:val="nil"/>
              <w:bottom w:val="single" w:sz="4" w:space="0" w:color="auto"/>
              <w:right w:val="nil"/>
            </w:tcBorders>
            <w:shd w:val="clear" w:color="auto" w:fill="E2EFD9" w:themeFill="accent6" w:themeFillTint="33"/>
            <w:textDirection w:val="btLr"/>
            <w:vAlign w:val="bottom"/>
            <w:hideMark/>
          </w:tcPr>
          <w:p w14:paraId="1195145C"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07" w:type="pct"/>
            <w:tcBorders>
              <w:top w:val="single" w:sz="4" w:space="0" w:color="auto"/>
              <w:left w:val="nil"/>
              <w:bottom w:val="single" w:sz="4" w:space="0" w:color="auto"/>
              <w:right w:val="nil"/>
            </w:tcBorders>
            <w:shd w:val="clear" w:color="auto" w:fill="FFF2CC" w:themeFill="accent4" w:themeFillTint="33"/>
            <w:textDirection w:val="btLr"/>
            <w:vAlign w:val="bottom"/>
            <w:hideMark/>
          </w:tcPr>
          <w:p w14:paraId="1F3ACFF6" w14:textId="787D2DEA"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NA**</w:t>
            </w:r>
          </w:p>
        </w:tc>
        <w:tc>
          <w:tcPr>
            <w:tcW w:w="256" w:type="pct"/>
            <w:tcBorders>
              <w:top w:val="single" w:sz="4" w:space="0" w:color="auto"/>
              <w:left w:val="nil"/>
              <w:bottom w:val="single" w:sz="4" w:space="0" w:color="auto"/>
              <w:right w:val="nil"/>
            </w:tcBorders>
            <w:shd w:val="clear" w:color="auto" w:fill="FFF2CC" w:themeFill="accent4" w:themeFillTint="33"/>
            <w:textDirection w:val="btLr"/>
            <w:vAlign w:val="bottom"/>
            <w:hideMark/>
          </w:tcPr>
          <w:p w14:paraId="2E48CF3C" w14:textId="7557530E"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NA**</w:t>
            </w:r>
          </w:p>
        </w:tc>
        <w:tc>
          <w:tcPr>
            <w:tcW w:w="204" w:type="pct"/>
            <w:tcBorders>
              <w:top w:val="single" w:sz="4" w:space="0" w:color="auto"/>
              <w:left w:val="nil"/>
              <w:bottom w:val="single" w:sz="4" w:space="0" w:color="auto"/>
              <w:right w:val="nil"/>
            </w:tcBorders>
            <w:shd w:val="clear" w:color="auto" w:fill="E2EFD9" w:themeFill="accent6" w:themeFillTint="33"/>
            <w:textDirection w:val="btLr"/>
            <w:vAlign w:val="bottom"/>
            <w:hideMark/>
          </w:tcPr>
          <w:p w14:paraId="3583A8D9"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6" w:type="pct"/>
            <w:tcBorders>
              <w:top w:val="single" w:sz="4" w:space="0" w:color="auto"/>
              <w:left w:val="nil"/>
              <w:bottom w:val="single" w:sz="4" w:space="0" w:color="auto"/>
              <w:right w:val="nil"/>
            </w:tcBorders>
            <w:shd w:val="clear" w:color="auto" w:fill="E2EFD9" w:themeFill="accent6" w:themeFillTint="33"/>
            <w:textDirection w:val="btLr"/>
            <w:vAlign w:val="bottom"/>
            <w:hideMark/>
          </w:tcPr>
          <w:p w14:paraId="16F16DA4"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2" w:type="pct"/>
            <w:tcBorders>
              <w:top w:val="single" w:sz="4" w:space="0" w:color="auto"/>
              <w:left w:val="nil"/>
              <w:bottom w:val="single" w:sz="4" w:space="0" w:color="auto"/>
              <w:right w:val="single" w:sz="4" w:space="0" w:color="auto"/>
            </w:tcBorders>
            <w:shd w:val="clear" w:color="auto" w:fill="E2EFD9" w:themeFill="accent6" w:themeFillTint="33"/>
            <w:textDirection w:val="btLr"/>
            <w:vAlign w:val="bottom"/>
            <w:hideMark/>
          </w:tcPr>
          <w:p w14:paraId="4707FA21"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r>
      <w:tr w:rsidR="00A50FDB" w:rsidRPr="004862D2" w14:paraId="35A31FDF" w14:textId="77777777" w:rsidTr="00A50FDB">
        <w:trPr>
          <w:trHeight w:val="1400"/>
        </w:trPr>
        <w:tc>
          <w:tcPr>
            <w:tcW w:w="56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4397BFD1" w14:textId="77777777" w:rsidR="00A50FDB" w:rsidRPr="004862D2" w:rsidRDefault="00A50FDB" w:rsidP="004862D2">
            <w:pPr>
              <w:spacing w:after="0" w:line="240" w:lineRule="auto"/>
              <w:jc w:val="center"/>
              <w:rPr>
                <w:rFonts w:eastAsia="Times New Roman"/>
                <w:b/>
                <w:bCs/>
                <w:color w:val="000000"/>
                <w:sz w:val="22"/>
                <w:szCs w:val="22"/>
              </w:rPr>
            </w:pPr>
            <w:r w:rsidRPr="004862D2">
              <w:rPr>
                <w:rFonts w:eastAsia="Times New Roman"/>
                <w:b/>
                <w:bCs/>
                <w:color w:val="000000"/>
                <w:sz w:val="22"/>
                <w:szCs w:val="22"/>
              </w:rPr>
              <w:t>docking susceptibility call</w:t>
            </w:r>
          </w:p>
        </w:tc>
        <w:tc>
          <w:tcPr>
            <w:tcW w:w="307" w:type="pct"/>
            <w:tcBorders>
              <w:top w:val="nil"/>
              <w:left w:val="nil"/>
              <w:bottom w:val="single" w:sz="4" w:space="0" w:color="auto"/>
              <w:right w:val="nil"/>
            </w:tcBorders>
            <w:shd w:val="clear" w:color="auto" w:fill="E2EFD9" w:themeFill="accent6" w:themeFillTint="33"/>
            <w:textDirection w:val="btLr"/>
            <w:vAlign w:val="bottom"/>
            <w:hideMark/>
          </w:tcPr>
          <w:p w14:paraId="2FA69270"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51" w:type="pct"/>
            <w:tcBorders>
              <w:top w:val="nil"/>
              <w:left w:val="nil"/>
              <w:bottom w:val="single" w:sz="4" w:space="0" w:color="auto"/>
              <w:right w:val="nil"/>
            </w:tcBorders>
            <w:shd w:val="clear" w:color="auto" w:fill="E2EFD9" w:themeFill="accent6" w:themeFillTint="33"/>
            <w:textDirection w:val="btLr"/>
            <w:vAlign w:val="bottom"/>
            <w:hideMark/>
          </w:tcPr>
          <w:p w14:paraId="244CA08A"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07" w:type="pct"/>
            <w:tcBorders>
              <w:top w:val="nil"/>
              <w:left w:val="nil"/>
              <w:bottom w:val="single" w:sz="4" w:space="0" w:color="auto"/>
              <w:right w:val="nil"/>
            </w:tcBorders>
            <w:shd w:val="clear" w:color="auto" w:fill="E2EFD9" w:themeFill="accent6" w:themeFillTint="33"/>
            <w:textDirection w:val="btLr"/>
            <w:vAlign w:val="bottom"/>
            <w:hideMark/>
          </w:tcPr>
          <w:p w14:paraId="2AB79D69"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6" w:type="pct"/>
            <w:tcBorders>
              <w:top w:val="nil"/>
              <w:left w:val="nil"/>
              <w:bottom w:val="single" w:sz="4" w:space="0" w:color="auto"/>
              <w:right w:val="nil"/>
            </w:tcBorders>
            <w:shd w:val="clear" w:color="auto" w:fill="FFC9C9"/>
            <w:textDirection w:val="btLr"/>
            <w:vAlign w:val="bottom"/>
            <w:hideMark/>
          </w:tcPr>
          <w:p w14:paraId="611E7F5D"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No</w:t>
            </w:r>
          </w:p>
        </w:tc>
        <w:tc>
          <w:tcPr>
            <w:tcW w:w="255" w:type="pct"/>
            <w:tcBorders>
              <w:top w:val="nil"/>
              <w:left w:val="nil"/>
              <w:bottom w:val="single" w:sz="4" w:space="0" w:color="auto"/>
              <w:right w:val="nil"/>
            </w:tcBorders>
            <w:shd w:val="clear" w:color="auto" w:fill="FFC9C9"/>
            <w:textDirection w:val="btLr"/>
            <w:vAlign w:val="bottom"/>
            <w:hideMark/>
          </w:tcPr>
          <w:p w14:paraId="6A08F1CB"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No</w:t>
            </w:r>
          </w:p>
        </w:tc>
        <w:tc>
          <w:tcPr>
            <w:tcW w:w="256" w:type="pct"/>
            <w:tcBorders>
              <w:top w:val="nil"/>
              <w:left w:val="nil"/>
              <w:bottom w:val="single" w:sz="4" w:space="0" w:color="auto"/>
              <w:right w:val="nil"/>
            </w:tcBorders>
            <w:shd w:val="clear" w:color="auto" w:fill="FFC9C9"/>
            <w:textDirection w:val="btLr"/>
            <w:vAlign w:val="bottom"/>
            <w:hideMark/>
          </w:tcPr>
          <w:p w14:paraId="7430DEDF"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No</w:t>
            </w:r>
          </w:p>
        </w:tc>
        <w:tc>
          <w:tcPr>
            <w:tcW w:w="460" w:type="pct"/>
            <w:tcBorders>
              <w:top w:val="nil"/>
              <w:left w:val="nil"/>
              <w:bottom w:val="single" w:sz="4" w:space="0" w:color="auto"/>
              <w:right w:val="nil"/>
            </w:tcBorders>
            <w:shd w:val="clear" w:color="auto" w:fill="FFC9C9"/>
            <w:textDirection w:val="btLr"/>
            <w:vAlign w:val="bottom"/>
            <w:hideMark/>
          </w:tcPr>
          <w:p w14:paraId="11E300F5"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No</w:t>
            </w:r>
          </w:p>
        </w:tc>
        <w:tc>
          <w:tcPr>
            <w:tcW w:w="255" w:type="pct"/>
            <w:tcBorders>
              <w:top w:val="nil"/>
              <w:left w:val="nil"/>
              <w:bottom w:val="single" w:sz="4" w:space="0" w:color="auto"/>
              <w:right w:val="nil"/>
            </w:tcBorders>
            <w:shd w:val="clear" w:color="auto" w:fill="E2EFD9" w:themeFill="accent6" w:themeFillTint="33"/>
            <w:textDirection w:val="btLr"/>
            <w:vAlign w:val="bottom"/>
            <w:hideMark/>
          </w:tcPr>
          <w:p w14:paraId="4CA878DE"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10" w:type="pct"/>
            <w:tcBorders>
              <w:top w:val="nil"/>
              <w:left w:val="nil"/>
              <w:bottom w:val="single" w:sz="4" w:space="0" w:color="auto"/>
              <w:right w:val="nil"/>
            </w:tcBorders>
            <w:shd w:val="clear" w:color="auto" w:fill="E2EFD9" w:themeFill="accent6" w:themeFillTint="33"/>
            <w:textDirection w:val="btLr"/>
            <w:vAlign w:val="bottom"/>
            <w:hideMark/>
          </w:tcPr>
          <w:p w14:paraId="7631A986"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07" w:type="pct"/>
            <w:tcBorders>
              <w:top w:val="nil"/>
              <w:left w:val="nil"/>
              <w:bottom w:val="single" w:sz="4" w:space="0" w:color="auto"/>
              <w:right w:val="nil"/>
            </w:tcBorders>
            <w:shd w:val="clear" w:color="auto" w:fill="FFF2CC" w:themeFill="accent4" w:themeFillTint="33"/>
            <w:textDirection w:val="btLr"/>
            <w:vAlign w:val="bottom"/>
            <w:hideMark/>
          </w:tcPr>
          <w:p w14:paraId="6A416174" w14:textId="321A336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NA*</w:t>
            </w:r>
          </w:p>
        </w:tc>
        <w:tc>
          <w:tcPr>
            <w:tcW w:w="256" w:type="pct"/>
            <w:tcBorders>
              <w:top w:val="nil"/>
              <w:left w:val="nil"/>
              <w:bottom w:val="single" w:sz="4" w:space="0" w:color="auto"/>
              <w:right w:val="nil"/>
            </w:tcBorders>
            <w:shd w:val="clear" w:color="auto" w:fill="FFF2CC" w:themeFill="accent4" w:themeFillTint="33"/>
            <w:textDirection w:val="btLr"/>
            <w:vAlign w:val="bottom"/>
            <w:hideMark/>
          </w:tcPr>
          <w:p w14:paraId="69448F02" w14:textId="3232BEE0"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NA*</w:t>
            </w:r>
          </w:p>
        </w:tc>
        <w:tc>
          <w:tcPr>
            <w:tcW w:w="204" w:type="pct"/>
            <w:tcBorders>
              <w:top w:val="nil"/>
              <w:left w:val="nil"/>
              <w:bottom w:val="single" w:sz="4" w:space="0" w:color="auto"/>
              <w:right w:val="nil"/>
            </w:tcBorders>
            <w:shd w:val="clear" w:color="auto" w:fill="E2EFD9" w:themeFill="accent6" w:themeFillTint="33"/>
            <w:textDirection w:val="btLr"/>
            <w:vAlign w:val="bottom"/>
            <w:hideMark/>
          </w:tcPr>
          <w:p w14:paraId="590B74CD"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6" w:type="pct"/>
            <w:tcBorders>
              <w:top w:val="nil"/>
              <w:left w:val="nil"/>
              <w:bottom w:val="single" w:sz="4" w:space="0" w:color="auto"/>
              <w:right w:val="nil"/>
            </w:tcBorders>
            <w:shd w:val="clear" w:color="auto" w:fill="FFC9C9"/>
            <w:textDirection w:val="btLr"/>
            <w:vAlign w:val="bottom"/>
            <w:hideMark/>
          </w:tcPr>
          <w:p w14:paraId="278CCC1E"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No</w:t>
            </w:r>
          </w:p>
        </w:tc>
        <w:tc>
          <w:tcPr>
            <w:tcW w:w="252" w:type="pct"/>
            <w:tcBorders>
              <w:top w:val="nil"/>
              <w:left w:val="nil"/>
              <w:bottom w:val="single" w:sz="4" w:space="0" w:color="auto"/>
              <w:right w:val="single" w:sz="4" w:space="0" w:color="auto"/>
            </w:tcBorders>
            <w:shd w:val="clear" w:color="auto" w:fill="FFC9C9"/>
            <w:textDirection w:val="btLr"/>
            <w:vAlign w:val="bottom"/>
            <w:hideMark/>
          </w:tcPr>
          <w:p w14:paraId="5F7F6719"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No</w:t>
            </w:r>
          </w:p>
        </w:tc>
      </w:tr>
      <w:tr w:rsidR="00A50FDB" w:rsidRPr="004862D2" w14:paraId="71D05E9B" w14:textId="77777777" w:rsidTr="00A50FDB">
        <w:trPr>
          <w:trHeight w:val="920"/>
        </w:trPr>
        <w:tc>
          <w:tcPr>
            <w:tcW w:w="56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4E0A762B" w14:textId="77777777" w:rsidR="00A50FDB" w:rsidRPr="004862D2" w:rsidRDefault="00A50FDB" w:rsidP="004862D2">
            <w:pPr>
              <w:spacing w:after="0" w:line="240" w:lineRule="auto"/>
              <w:jc w:val="center"/>
              <w:rPr>
                <w:rFonts w:eastAsia="Times New Roman"/>
                <w:b/>
                <w:bCs/>
                <w:color w:val="000000"/>
                <w:sz w:val="22"/>
                <w:szCs w:val="22"/>
              </w:rPr>
            </w:pPr>
            <w:r w:rsidRPr="004862D2">
              <w:rPr>
                <w:rFonts w:eastAsia="Times New Roman"/>
                <w:b/>
                <w:bCs/>
                <w:color w:val="000000"/>
                <w:sz w:val="22"/>
                <w:szCs w:val="22"/>
              </w:rPr>
              <w:t>in vitro active?</w:t>
            </w:r>
          </w:p>
        </w:tc>
        <w:tc>
          <w:tcPr>
            <w:tcW w:w="307" w:type="pct"/>
            <w:tcBorders>
              <w:top w:val="nil"/>
              <w:left w:val="nil"/>
              <w:bottom w:val="single" w:sz="4" w:space="0" w:color="auto"/>
              <w:right w:val="nil"/>
            </w:tcBorders>
            <w:shd w:val="clear" w:color="auto" w:fill="E2EFD9" w:themeFill="accent6" w:themeFillTint="33"/>
            <w:textDirection w:val="btLr"/>
            <w:vAlign w:val="bottom"/>
            <w:hideMark/>
          </w:tcPr>
          <w:p w14:paraId="02642664"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51" w:type="pct"/>
            <w:tcBorders>
              <w:top w:val="nil"/>
              <w:left w:val="nil"/>
              <w:bottom w:val="single" w:sz="4" w:space="0" w:color="auto"/>
              <w:right w:val="nil"/>
            </w:tcBorders>
            <w:shd w:val="clear" w:color="auto" w:fill="E2EFD9" w:themeFill="accent6" w:themeFillTint="33"/>
            <w:textDirection w:val="btLr"/>
            <w:vAlign w:val="bottom"/>
            <w:hideMark/>
          </w:tcPr>
          <w:p w14:paraId="57218AD7"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07" w:type="pct"/>
            <w:tcBorders>
              <w:top w:val="nil"/>
              <w:left w:val="nil"/>
              <w:bottom w:val="single" w:sz="4" w:space="0" w:color="auto"/>
              <w:right w:val="nil"/>
            </w:tcBorders>
            <w:shd w:val="clear" w:color="auto" w:fill="E2EFD9" w:themeFill="accent6" w:themeFillTint="33"/>
            <w:textDirection w:val="btLr"/>
            <w:vAlign w:val="bottom"/>
            <w:hideMark/>
          </w:tcPr>
          <w:p w14:paraId="3CD8430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6" w:type="pct"/>
            <w:tcBorders>
              <w:top w:val="nil"/>
              <w:left w:val="nil"/>
              <w:bottom w:val="single" w:sz="4" w:space="0" w:color="auto"/>
              <w:right w:val="nil"/>
            </w:tcBorders>
            <w:shd w:val="clear" w:color="auto" w:fill="E2EFD9" w:themeFill="accent6" w:themeFillTint="33"/>
            <w:textDirection w:val="btLr"/>
            <w:vAlign w:val="bottom"/>
            <w:hideMark/>
          </w:tcPr>
          <w:p w14:paraId="4F8F7998"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5" w:type="pct"/>
            <w:tcBorders>
              <w:top w:val="nil"/>
              <w:left w:val="nil"/>
              <w:bottom w:val="single" w:sz="4" w:space="0" w:color="auto"/>
              <w:right w:val="nil"/>
            </w:tcBorders>
            <w:shd w:val="clear" w:color="auto" w:fill="E2EFD9" w:themeFill="accent6" w:themeFillTint="33"/>
            <w:textDirection w:val="btLr"/>
            <w:vAlign w:val="bottom"/>
            <w:hideMark/>
          </w:tcPr>
          <w:p w14:paraId="4E389C34"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6" w:type="pct"/>
            <w:tcBorders>
              <w:top w:val="nil"/>
              <w:left w:val="nil"/>
              <w:bottom w:val="single" w:sz="4" w:space="0" w:color="auto"/>
              <w:right w:val="nil"/>
            </w:tcBorders>
            <w:shd w:val="clear" w:color="auto" w:fill="E2EFD9" w:themeFill="accent6" w:themeFillTint="33"/>
            <w:textDirection w:val="btLr"/>
            <w:vAlign w:val="bottom"/>
            <w:hideMark/>
          </w:tcPr>
          <w:p w14:paraId="6CCD4484"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60" w:type="pct"/>
            <w:tcBorders>
              <w:top w:val="nil"/>
              <w:left w:val="nil"/>
              <w:bottom w:val="single" w:sz="4" w:space="0" w:color="auto"/>
              <w:right w:val="nil"/>
            </w:tcBorders>
            <w:shd w:val="clear" w:color="auto" w:fill="E2EFD9" w:themeFill="accent6" w:themeFillTint="33"/>
            <w:textDirection w:val="btLr"/>
            <w:vAlign w:val="bottom"/>
            <w:hideMark/>
          </w:tcPr>
          <w:p w14:paraId="19CA5CB0"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5" w:type="pct"/>
            <w:tcBorders>
              <w:top w:val="nil"/>
              <w:left w:val="nil"/>
              <w:bottom w:val="single" w:sz="4" w:space="0" w:color="auto"/>
              <w:right w:val="nil"/>
            </w:tcBorders>
            <w:shd w:val="clear" w:color="auto" w:fill="E2EFD9" w:themeFill="accent6" w:themeFillTint="33"/>
            <w:textDirection w:val="btLr"/>
            <w:vAlign w:val="bottom"/>
            <w:hideMark/>
          </w:tcPr>
          <w:p w14:paraId="03529299"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10" w:type="pct"/>
            <w:tcBorders>
              <w:top w:val="nil"/>
              <w:left w:val="nil"/>
              <w:bottom w:val="single" w:sz="4" w:space="0" w:color="auto"/>
              <w:right w:val="nil"/>
            </w:tcBorders>
            <w:shd w:val="clear" w:color="auto" w:fill="E2EFD9" w:themeFill="accent6" w:themeFillTint="33"/>
            <w:textDirection w:val="btLr"/>
            <w:vAlign w:val="bottom"/>
            <w:hideMark/>
          </w:tcPr>
          <w:p w14:paraId="11CEB613"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407" w:type="pct"/>
            <w:tcBorders>
              <w:top w:val="nil"/>
              <w:left w:val="nil"/>
              <w:bottom w:val="single" w:sz="4" w:space="0" w:color="auto"/>
              <w:right w:val="nil"/>
            </w:tcBorders>
            <w:shd w:val="clear" w:color="auto" w:fill="E2EFD9" w:themeFill="accent6" w:themeFillTint="33"/>
            <w:textDirection w:val="btLr"/>
            <w:vAlign w:val="bottom"/>
            <w:hideMark/>
          </w:tcPr>
          <w:p w14:paraId="422BBD1D"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6" w:type="pct"/>
            <w:tcBorders>
              <w:top w:val="nil"/>
              <w:left w:val="nil"/>
              <w:bottom w:val="single" w:sz="4" w:space="0" w:color="auto"/>
              <w:right w:val="nil"/>
            </w:tcBorders>
            <w:shd w:val="clear" w:color="auto" w:fill="E2EFD9" w:themeFill="accent6" w:themeFillTint="33"/>
            <w:textDirection w:val="btLr"/>
            <w:vAlign w:val="bottom"/>
            <w:hideMark/>
          </w:tcPr>
          <w:p w14:paraId="2302D395"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04" w:type="pct"/>
            <w:tcBorders>
              <w:top w:val="nil"/>
              <w:left w:val="nil"/>
              <w:bottom w:val="single" w:sz="4" w:space="0" w:color="auto"/>
              <w:right w:val="nil"/>
            </w:tcBorders>
            <w:shd w:val="clear" w:color="auto" w:fill="FFC9C9"/>
            <w:textDirection w:val="btLr"/>
            <w:vAlign w:val="bottom"/>
            <w:hideMark/>
          </w:tcPr>
          <w:p w14:paraId="2F0DA69F"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No</w:t>
            </w:r>
          </w:p>
        </w:tc>
        <w:tc>
          <w:tcPr>
            <w:tcW w:w="256" w:type="pct"/>
            <w:tcBorders>
              <w:top w:val="nil"/>
              <w:left w:val="nil"/>
              <w:bottom w:val="single" w:sz="4" w:space="0" w:color="auto"/>
              <w:right w:val="nil"/>
            </w:tcBorders>
            <w:shd w:val="clear" w:color="auto" w:fill="E2EFD9" w:themeFill="accent6" w:themeFillTint="33"/>
            <w:textDirection w:val="btLr"/>
            <w:vAlign w:val="bottom"/>
            <w:hideMark/>
          </w:tcPr>
          <w:p w14:paraId="39BDEF63"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c>
          <w:tcPr>
            <w:tcW w:w="252" w:type="pct"/>
            <w:tcBorders>
              <w:top w:val="nil"/>
              <w:left w:val="nil"/>
              <w:bottom w:val="single" w:sz="4" w:space="0" w:color="auto"/>
              <w:right w:val="single" w:sz="4" w:space="0" w:color="auto"/>
            </w:tcBorders>
            <w:shd w:val="clear" w:color="auto" w:fill="E2EFD9" w:themeFill="accent6" w:themeFillTint="33"/>
            <w:textDirection w:val="btLr"/>
            <w:vAlign w:val="bottom"/>
            <w:hideMark/>
          </w:tcPr>
          <w:p w14:paraId="469589B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Yes</w:t>
            </w:r>
          </w:p>
        </w:tc>
      </w:tr>
      <w:tr w:rsidR="00A50FDB" w:rsidRPr="004862D2" w14:paraId="29AB3ACE" w14:textId="77777777" w:rsidTr="00A50FDB">
        <w:trPr>
          <w:trHeight w:val="1200"/>
        </w:trPr>
        <w:tc>
          <w:tcPr>
            <w:tcW w:w="56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61CA648E" w14:textId="77777777" w:rsidR="00A50FDB" w:rsidRPr="004862D2" w:rsidRDefault="00A50FDB" w:rsidP="004862D2">
            <w:pPr>
              <w:spacing w:after="0" w:line="240" w:lineRule="auto"/>
              <w:jc w:val="center"/>
              <w:rPr>
                <w:rFonts w:eastAsia="Times New Roman"/>
                <w:b/>
                <w:bCs/>
                <w:color w:val="000000"/>
                <w:sz w:val="22"/>
                <w:szCs w:val="22"/>
              </w:rPr>
            </w:pPr>
            <w:r w:rsidRPr="004862D2">
              <w:rPr>
                <w:rFonts w:eastAsia="Times New Roman"/>
                <w:b/>
                <w:bCs/>
                <w:color w:val="000000"/>
                <w:sz w:val="22"/>
                <w:szCs w:val="22"/>
              </w:rPr>
              <w:t>variability type</w:t>
            </w:r>
          </w:p>
        </w:tc>
        <w:tc>
          <w:tcPr>
            <w:tcW w:w="307" w:type="pct"/>
            <w:tcBorders>
              <w:top w:val="nil"/>
              <w:left w:val="nil"/>
              <w:bottom w:val="single" w:sz="4" w:space="0" w:color="auto"/>
              <w:right w:val="nil"/>
            </w:tcBorders>
            <w:shd w:val="clear" w:color="auto" w:fill="auto"/>
            <w:textDirection w:val="btLr"/>
            <w:vAlign w:val="bottom"/>
            <w:hideMark/>
          </w:tcPr>
          <w:p w14:paraId="2C808C5B"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range</w:t>
            </w:r>
          </w:p>
        </w:tc>
        <w:tc>
          <w:tcPr>
            <w:tcW w:w="451" w:type="pct"/>
            <w:tcBorders>
              <w:top w:val="nil"/>
              <w:left w:val="nil"/>
              <w:bottom w:val="single" w:sz="4" w:space="0" w:color="auto"/>
              <w:right w:val="nil"/>
            </w:tcBorders>
            <w:shd w:val="clear" w:color="auto" w:fill="auto"/>
            <w:textDirection w:val="btLr"/>
            <w:vAlign w:val="center"/>
            <w:hideMark/>
          </w:tcPr>
          <w:p w14:paraId="5A9540B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407" w:type="pct"/>
            <w:tcBorders>
              <w:top w:val="nil"/>
              <w:left w:val="nil"/>
              <w:bottom w:val="single" w:sz="4" w:space="0" w:color="auto"/>
              <w:right w:val="nil"/>
            </w:tcBorders>
            <w:shd w:val="clear" w:color="auto" w:fill="auto"/>
            <w:textDirection w:val="btLr"/>
            <w:vAlign w:val="center"/>
            <w:hideMark/>
          </w:tcPr>
          <w:p w14:paraId="2ADFCB00"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6" w:type="pct"/>
            <w:tcBorders>
              <w:top w:val="nil"/>
              <w:left w:val="nil"/>
              <w:bottom w:val="single" w:sz="4" w:space="0" w:color="auto"/>
              <w:right w:val="nil"/>
            </w:tcBorders>
            <w:shd w:val="clear" w:color="auto" w:fill="auto"/>
            <w:textDirection w:val="btLr"/>
            <w:vAlign w:val="center"/>
            <w:hideMark/>
          </w:tcPr>
          <w:p w14:paraId="667B8CC6"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5" w:type="pct"/>
            <w:tcBorders>
              <w:top w:val="nil"/>
              <w:left w:val="nil"/>
              <w:bottom w:val="single" w:sz="4" w:space="0" w:color="auto"/>
              <w:right w:val="nil"/>
            </w:tcBorders>
            <w:shd w:val="clear" w:color="auto" w:fill="auto"/>
            <w:textDirection w:val="btLr"/>
            <w:vAlign w:val="bottom"/>
            <w:hideMark/>
          </w:tcPr>
          <w:p w14:paraId="2CD4769A" w14:textId="77777777" w:rsidR="00A50FDB" w:rsidRPr="004862D2" w:rsidRDefault="00A50FDB" w:rsidP="004862D2">
            <w:pPr>
              <w:spacing w:after="0" w:line="240" w:lineRule="auto"/>
              <w:jc w:val="center"/>
              <w:rPr>
                <w:rFonts w:eastAsia="Times New Roman"/>
                <w:color w:val="000000"/>
                <w:sz w:val="22"/>
                <w:szCs w:val="22"/>
              </w:rPr>
            </w:pPr>
            <w:proofErr w:type="spellStart"/>
            <w:r w:rsidRPr="004862D2">
              <w:rPr>
                <w:rFonts w:eastAsia="Times New Roman"/>
                <w:color w:val="000000"/>
                <w:sz w:val="22"/>
                <w:szCs w:val="22"/>
              </w:rPr>
              <w:t>stderror</w:t>
            </w:r>
            <w:proofErr w:type="spellEnd"/>
          </w:p>
        </w:tc>
        <w:tc>
          <w:tcPr>
            <w:tcW w:w="256" w:type="pct"/>
            <w:tcBorders>
              <w:top w:val="nil"/>
              <w:left w:val="nil"/>
              <w:bottom w:val="single" w:sz="4" w:space="0" w:color="auto"/>
              <w:right w:val="nil"/>
            </w:tcBorders>
            <w:shd w:val="clear" w:color="auto" w:fill="auto"/>
            <w:textDirection w:val="btLr"/>
            <w:vAlign w:val="bottom"/>
            <w:hideMark/>
          </w:tcPr>
          <w:p w14:paraId="6DD6B048" w14:textId="77777777" w:rsidR="00A50FDB" w:rsidRPr="004862D2" w:rsidRDefault="00A50FDB" w:rsidP="004862D2">
            <w:pPr>
              <w:spacing w:after="0" w:line="240" w:lineRule="auto"/>
              <w:jc w:val="center"/>
              <w:rPr>
                <w:rFonts w:eastAsia="Times New Roman"/>
                <w:color w:val="000000"/>
                <w:sz w:val="22"/>
                <w:szCs w:val="22"/>
              </w:rPr>
            </w:pPr>
            <w:proofErr w:type="spellStart"/>
            <w:r w:rsidRPr="004862D2">
              <w:rPr>
                <w:rFonts w:eastAsia="Times New Roman"/>
                <w:color w:val="000000"/>
                <w:sz w:val="22"/>
                <w:szCs w:val="22"/>
              </w:rPr>
              <w:t>stderror</w:t>
            </w:r>
            <w:proofErr w:type="spellEnd"/>
          </w:p>
        </w:tc>
        <w:tc>
          <w:tcPr>
            <w:tcW w:w="460" w:type="pct"/>
            <w:tcBorders>
              <w:top w:val="nil"/>
              <w:left w:val="nil"/>
              <w:bottom w:val="single" w:sz="4" w:space="0" w:color="auto"/>
              <w:right w:val="nil"/>
            </w:tcBorders>
            <w:shd w:val="clear" w:color="auto" w:fill="auto"/>
            <w:textDirection w:val="btLr"/>
            <w:vAlign w:val="bottom"/>
            <w:hideMark/>
          </w:tcPr>
          <w:p w14:paraId="6035BF27" w14:textId="77777777" w:rsidR="00A50FDB" w:rsidRPr="004862D2" w:rsidRDefault="00A50FDB" w:rsidP="004862D2">
            <w:pPr>
              <w:spacing w:after="0" w:line="240" w:lineRule="auto"/>
              <w:jc w:val="center"/>
              <w:rPr>
                <w:rFonts w:eastAsia="Times New Roman"/>
                <w:color w:val="000000"/>
                <w:sz w:val="22"/>
                <w:szCs w:val="22"/>
              </w:rPr>
            </w:pPr>
            <w:proofErr w:type="spellStart"/>
            <w:r w:rsidRPr="004862D2">
              <w:rPr>
                <w:rFonts w:eastAsia="Times New Roman"/>
                <w:color w:val="000000"/>
                <w:sz w:val="22"/>
                <w:szCs w:val="22"/>
              </w:rPr>
              <w:t>stderror</w:t>
            </w:r>
            <w:proofErr w:type="spellEnd"/>
          </w:p>
        </w:tc>
        <w:tc>
          <w:tcPr>
            <w:tcW w:w="255" w:type="pct"/>
            <w:tcBorders>
              <w:top w:val="nil"/>
              <w:left w:val="nil"/>
              <w:bottom w:val="single" w:sz="4" w:space="0" w:color="auto"/>
              <w:right w:val="nil"/>
            </w:tcBorders>
            <w:shd w:val="clear" w:color="auto" w:fill="auto"/>
            <w:textDirection w:val="btLr"/>
            <w:vAlign w:val="bottom"/>
            <w:hideMark/>
          </w:tcPr>
          <w:p w14:paraId="08F324E5"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range</w:t>
            </w:r>
          </w:p>
        </w:tc>
        <w:tc>
          <w:tcPr>
            <w:tcW w:w="410" w:type="pct"/>
            <w:tcBorders>
              <w:top w:val="nil"/>
              <w:left w:val="nil"/>
              <w:bottom w:val="single" w:sz="4" w:space="0" w:color="auto"/>
              <w:right w:val="nil"/>
            </w:tcBorders>
            <w:shd w:val="clear" w:color="auto" w:fill="auto"/>
            <w:textDirection w:val="btLr"/>
            <w:vAlign w:val="center"/>
            <w:hideMark/>
          </w:tcPr>
          <w:p w14:paraId="72DB23FB"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407" w:type="pct"/>
            <w:tcBorders>
              <w:top w:val="nil"/>
              <w:left w:val="nil"/>
              <w:bottom w:val="single" w:sz="4" w:space="0" w:color="auto"/>
              <w:right w:val="nil"/>
            </w:tcBorders>
            <w:shd w:val="clear" w:color="auto" w:fill="auto"/>
            <w:textDirection w:val="btLr"/>
            <w:vAlign w:val="center"/>
            <w:hideMark/>
          </w:tcPr>
          <w:p w14:paraId="5C003643"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6" w:type="pct"/>
            <w:tcBorders>
              <w:top w:val="nil"/>
              <w:left w:val="nil"/>
              <w:bottom w:val="single" w:sz="4" w:space="0" w:color="auto"/>
              <w:right w:val="nil"/>
            </w:tcBorders>
            <w:shd w:val="clear" w:color="auto" w:fill="auto"/>
            <w:textDirection w:val="btLr"/>
            <w:vAlign w:val="center"/>
            <w:hideMark/>
          </w:tcPr>
          <w:p w14:paraId="0F2E9FB4"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04" w:type="pct"/>
            <w:tcBorders>
              <w:top w:val="nil"/>
              <w:left w:val="nil"/>
              <w:bottom w:val="single" w:sz="4" w:space="0" w:color="auto"/>
              <w:right w:val="nil"/>
            </w:tcBorders>
            <w:shd w:val="clear" w:color="auto" w:fill="auto"/>
            <w:textDirection w:val="btLr"/>
            <w:vAlign w:val="center"/>
            <w:hideMark/>
          </w:tcPr>
          <w:p w14:paraId="5625B1E9"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6" w:type="pct"/>
            <w:tcBorders>
              <w:top w:val="nil"/>
              <w:left w:val="nil"/>
              <w:bottom w:val="single" w:sz="4" w:space="0" w:color="auto"/>
              <w:right w:val="nil"/>
            </w:tcBorders>
            <w:shd w:val="clear" w:color="auto" w:fill="auto"/>
            <w:textDirection w:val="btLr"/>
            <w:vAlign w:val="bottom"/>
            <w:hideMark/>
          </w:tcPr>
          <w:p w14:paraId="7F272663" w14:textId="77777777" w:rsidR="00A50FDB" w:rsidRPr="004862D2" w:rsidRDefault="00A50FDB" w:rsidP="004862D2">
            <w:pPr>
              <w:spacing w:after="0" w:line="240" w:lineRule="auto"/>
              <w:jc w:val="center"/>
              <w:rPr>
                <w:rFonts w:eastAsia="Times New Roman"/>
                <w:color w:val="000000"/>
                <w:sz w:val="22"/>
                <w:szCs w:val="22"/>
              </w:rPr>
            </w:pPr>
            <w:proofErr w:type="spellStart"/>
            <w:r w:rsidRPr="004862D2">
              <w:rPr>
                <w:rFonts w:eastAsia="Times New Roman"/>
                <w:color w:val="000000"/>
                <w:sz w:val="22"/>
                <w:szCs w:val="22"/>
              </w:rPr>
              <w:t>stdev</w:t>
            </w:r>
            <w:proofErr w:type="spellEnd"/>
          </w:p>
        </w:tc>
        <w:tc>
          <w:tcPr>
            <w:tcW w:w="252" w:type="pct"/>
            <w:tcBorders>
              <w:top w:val="nil"/>
              <w:left w:val="nil"/>
              <w:bottom w:val="single" w:sz="4" w:space="0" w:color="auto"/>
              <w:right w:val="single" w:sz="4" w:space="0" w:color="auto"/>
            </w:tcBorders>
            <w:shd w:val="clear" w:color="auto" w:fill="auto"/>
            <w:textDirection w:val="btLr"/>
            <w:vAlign w:val="bottom"/>
            <w:hideMark/>
          </w:tcPr>
          <w:p w14:paraId="1BF88FA4" w14:textId="77777777" w:rsidR="00A50FDB" w:rsidRPr="004862D2" w:rsidRDefault="00A50FDB" w:rsidP="004862D2">
            <w:pPr>
              <w:spacing w:after="0" w:line="240" w:lineRule="auto"/>
              <w:jc w:val="center"/>
              <w:rPr>
                <w:rFonts w:eastAsia="Times New Roman"/>
                <w:color w:val="000000"/>
                <w:sz w:val="22"/>
                <w:szCs w:val="22"/>
              </w:rPr>
            </w:pPr>
            <w:proofErr w:type="spellStart"/>
            <w:r w:rsidRPr="004862D2">
              <w:rPr>
                <w:rFonts w:eastAsia="Times New Roman"/>
                <w:color w:val="000000"/>
                <w:sz w:val="22"/>
                <w:szCs w:val="22"/>
              </w:rPr>
              <w:t>stdev</w:t>
            </w:r>
            <w:proofErr w:type="spellEnd"/>
          </w:p>
        </w:tc>
      </w:tr>
      <w:tr w:rsidR="00A50FDB" w:rsidRPr="004862D2" w14:paraId="6C36C631" w14:textId="77777777" w:rsidTr="00A50FDB">
        <w:trPr>
          <w:trHeight w:val="1190"/>
        </w:trPr>
        <w:tc>
          <w:tcPr>
            <w:tcW w:w="56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28FBBB77" w14:textId="77777777" w:rsidR="00A50FDB" w:rsidRPr="004862D2" w:rsidRDefault="00A50FDB" w:rsidP="004862D2">
            <w:pPr>
              <w:spacing w:after="0" w:line="240" w:lineRule="auto"/>
              <w:jc w:val="center"/>
              <w:rPr>
                <w:rFonts w:eastAsia="Times New Roman"/>
                <w:b/>
                <w:bCs/>
                <w:color w:val="000000"/>
                <w:sz w:val="22"/>
                <w:szCs w:val="22"/>
              </w:rPr>
            </w:pPr>
            <w:r w:rsidRPr="004862D2">
              <w:rPr>
                <w:rFonts w:eastAsia="Times New Roman"/>
                <w:b/>
                <w:bCs/>
                <w:color w:val="000000"/>
                <w:sz w:val="22"/>
                <w:szCs w:val="22"/>
              </w:rPr>
              <w:t>variability</w:t>
            </w:r>
          </w:p>
        </w:tc>
        <w:tc>
          <w:tcPr>
            <w:tcW w:w="307" w:type="pct"/>
            <w:tcBorders>
              <w:top w:val="nil"/>
              <w:left w:val="nil"/>
              <w:bottom w:val="single" w:sz="4" w:space="0" w:color="auto"/>
              <w:right w:val="nil"/>
            </w:tcBorders>
            <w:shd w:val="clear" w:color="auto" w:fill="auto"/>
            <w:textDirection w:val="btLr"/>
            <w:vAlign w:val="bottom"/>
            <w:hideMark/>
          </w:tcPr>
          <w:p w14:paraId="5C539AC5"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0.56-4.7</w:t>
            </w:r>
          </w:p>
        </w:tc>
        <w:tc>
          <w:tcPr>
            <w:tcW w:w="451" w:type="pct"/>
            <w:tcBorders>
              <w:top w:val="nil"/>
              <w:left w:val="nil"/>
              <w:bottom w:val="single" w:sz="4" w:space="0" w:color="auto"/>
              <w:right w:val="nil"/>
            </w:tcBorders>
            <w:shd w:val="clear" w:color="auto" w:fill="auto"/>
            <w:textDirection w:val="btLr"/>
            <w:vAlign w:val="center"/>
            <w:hideMark/>
          </w:tcPr>
          <w:p w14:paraId="0E656FE8"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407" w:type="pct"/>
            <w:tcBorders>
              <w:top w:val="nil"/>
              <w:left w:val="nil"/>
              <w:bottom w:val="single" w:sz="4" w:space="0" w:color="auto"/>
              <w:right w:val="nil"/>
            </w:tcBorders>
            <w:shd w:val="clear" w:color="auto" w:fill="auto"/>
            <w:textDirection w:val="btLr"/>
            <w:vAlign w:val="center"/>
            <w:hideMark/>
          </w:tcPr>
          <w:p w14:paraId="6482BFD1"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6" w:type="pct"/>
            <w:tcBorders>
              <w:top w:val="nil"/>
              <w:left w:val="nil"/>
              <w:bottom w:val="single" w:sz="4" w:space="0" w:color="auto"/>
              <w:right w:val="nil"/>
            </w:tcBorders>
            <w:shd w:val="clear" w:color="auto" w:fill="auto"/>
            <w:textDirection w:val="btLr"/>
            <w:vAlign w:val="center"/>
            <w:hideMark/>
          </w:tcPr>
          <w:p w14:paraId="07059909"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5" w:type="pct"/>
            <w:tcBorders>
              <w:top w:val="nil"/>
              <w:left w:val="nil"/>
              <w:bottom w:val="single" w:sz="4" w:space="0" w:color="auto"/>
              <w:right w:val="nil"/>
            </w:tcBorders>
            <w:shd w:val="clear" w:color="auto" w:fill="auto"/>
            <w:textDirection w:val="btLr"/>
            <w:vAlign w:val="bottom"/>
            <w:hideMark/>
          </w:tcPr>
          <w:p w14:paraId="7CCC9527"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1.55</w:t>
            </w:r>
          </w:p>
        </w:tc>
        <w:tc>
          <w:tcPr>
            <w:tcW w:w="256" w:type="pct"/>
            <w:tcBorders>
              <w:top w:val="nil"/>
              <w:left w:val="nil"/>
              <w:bottom w:val="single" w:sz="4" w:space="0" w:color="auto"/>
              <w:right w:val="nil"/>
            </w:tcBorders>
            <w:shd w:val="clear" w:color="auto" w:fill="auto"/>
            <w:textDirection w:val="btLr"/>
            <w:vAlign w:val="bottom"/>
            <w:hideMark/>
          </w:tcPr>
          <w:p w14:paraId="4F8303C9"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0.04</w:t>
            </w:r>
          </w:p>
        </w:tc>
        <w:tc>
          <w:tcPr>
            <w:tcW w:w="460" w:type="pct"/>
            <w:tcBorders>
              <w:top w:val="nil"/>
              <w:left w:val="nil"/>
              <w:bottom w:val="single" w:sz="4" w:space="0" w:color="auto"/>
              <w:right w:val="nil"/>
            </w:tcBorders>
            <w:shd w:val="clear" w:color="auto" w:fill="auto"/>
            <w:textDirection w:val="btLr"/>
            <w:vAlign w:val="bottom"/>
            <w:hideMark/>
          </w:tcPr>
          <w:p w14:paraId="7035115B"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2.22</w:t>
            </w:r>
          </w:p>
        </w:tc>
        <w:tc>
          <w:tcPr>
            <w:tcW w:w="255" w:type="pct"/>
            <w:tcBorders>
              <w:top w:val="nil"/>
              <w:left w:val="nil"/>
              <w:bottom w:val="single" w:sz="4" w:space="0" w:color="auto"/>
              <w:right w:val="nil"/>
            </w:tcBorders>
            <w:shd w:val="clear" w:color="auto" w:fill="auto"/>
            <w:textDirection w:val="btLr"/>
            <w:vAlign w:val="bottom"/>
            <w:hideMark/>
          </w:tcPr>
          <w:p w14:paraId="3EE7BA0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0.065-0.74</w:t>
            </w:r>
          </w:p>
        </w:tc>
        <w:tc>
          <w:tcPr>
            <w:tcW w:w="410" w:type="pct"/>
            <w:tcBorders>
              <w:top w:val="nil"/>
              <w:left w:val="nil"/>
              <w:bottom w:val="single" w:sz="4" w:space="0" w:color="auto"/>
              <w:right w:val="nil"/>
            </w:tcBorders>
            <w:shd w:val="clear" w:color="auto" w:fill="auto"/>
            <w:textDirection w:val="btLr"/>
            <w:vAlign w:val="center"/>
            <w:hideMark/>
          </w:tcPr>
          <w:p w14:paraId="5AD7B29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407" w:type="pct"/>
            <w:tcBorders>
              <w:top w:val="nil"/>
              <w:left w:val="nil"/>
              <w:bottom w:val="single" w:sz="4" w:space="0" w:color="auto"/>
              <w:right w:val="nil"/>
            </w:tcBorders>
            <w:shd w:val="clear" w:color="auto" w:fill="auto"/>
            <w:textDirection w:val="btLr"/>
            <w:vAlign w:val="center"/>
            <w:hideMark/>
          </w:tcPr>
          <w:p w14:paraId="1FEA6EB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6" w:type="pct"/>
            <w:tcBorders>
              <w:top w:val="nil"/>
              <w:left w:val="nil"/>
              <w:bottom w:val="single" w:sz="4" w:space="0" w:color="auto"/>
              <w:right w:val="nil"/>
            </w:tcBorders>
            <w:shd w:val="clear" w:color="auto" w:fill="auto"/>
            <w:textDirection w:val="btLr"/>
            <w:vAlign w:val="center"/>
            <w:hideMark/>
          </w:tcPr>
          <w:p w14:paraId="7FA56C77"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04" w:type="pct"/>
            <w:tcBorders>
              <w:top w:val="nil"/>
              <w:left w:val="nil"/>
              <w:bottom w:val="single" w:sz="4" w:space="0" w:color="auto"/>
              <w:right w:val="nil"/>
            </w:tcBorders>
            <w:shd w:val="clear" w:color="auto" w:fill="auto"/>
            <w:textDirection w:val="btLr"/>
            <w:vAlign w:val="center"/>
            <w:hideMark/>
          </w:tcPr>
          <w:p w14:paraId="7611068E"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6" w:type="pct"/>
            <w:tcBorders>
              <w:top w:val="nil"/>
              <w:left w:val="nil"/>
              <w:bottom w:val="single" w:sz="4" w:space="0" w:color="auto"/>
              <w:right w:val="nil"/>
            </w:tcBorders>
            <w:shd w:val="clear" w:color="auto" w:fill="auto"/>
            <w:textDirection w:val="btLr"/>
            <w:vAlign w:val="bottom"/>
            <w:hideMark/>
          </w:tcPr>
          <w:p w14:paraId="063566BB"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6.1</w:t>
            </w:r>
          </w:p>
        </w:tc>
        <w:tc>
          <w:tcPr>
            <w:tcW w:w="252" w:type="pct"/>
            <w:tcBorders>
              <w:top w:val="nil"/>
              <w:left w:val="nil"/>
              <w:bottom w:val="single" w:sz="4" w:space="0" w:color="auto"/>
              <w:right w:val="single" w:sz="4" w:space="0" w:color="auto"/>
            </w:tcBorders>
            <w:shd w:val="clear" w:color="auto" w:fill="auto"/>
            <w:textDirection w:val="btLr"/>
            <w:vAlign w:val="bottom"/>
            <w:hideMark/>
          </w:tcPr>
          <w:p w14:paraId="49B2D233"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1.5</w:t>
            </w:r>
          </w:p>
        </w:tc>
      </w:tr>
      <w:tr w:rsidR="00A50FDB" w:rsidRPr="004862D2" w14:paraId="70E25F48" w14:textId="77777777" w:rsidTr="00A50FDB">
        <w:trPr>
          <w:trHeight w:val="620"/>
        </w:trPr>
        <w:tc>
          <w:tcPr>
            <w:tcW w:w="56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0C5E3393" w14:textId="77777777" w:rsidR="00A50FDB" w:rsidRPr="004862D2" w:rsidRDefault="00A50FDB" w:rsidP="004862D2">
            <w:pPr>
              <w:spacing w:after="0" w:line="240" w:lineRule="auto"/>
              <w:jc w:val="center"/>
              <w:rPr>
                <w:rFonts w:eastAsia="Times New Roman"/>
                <w:b/>
                <w:bCs/>
                <w:color w:val="000000"/>
                <w:sz w:val="22"/>
                <w:szCs w:val="22"/>
              </w:rPr>
            </w:pPr>
            <w:r w:rsidRPr="004862D2">
              <w:rPr>
                <w:rFonts w:eastAsia="Times New Roman"/>
                <w:b/>
                <w:bCs/>
                <w:color w:val="000000"/>
                <w:sz w:val="22"/>
                <w:szCs w:val="22"/>
              </w:rPr>
              <w:t>value</w:t>
            </w:r>
          </w:p>
        </w:tc>
        <w:tc>
          <w:tcPr>
            <w:tcW w:w="307" w:type="pct"/>
            <w:tcBorders>
              <w:top w:val="nil"/>
              <w:left w:val="nil"/>
              <w:bottom w:val="single" w:sz="4" w:space="0" w:color="auto"/>
              <w:right w:val="nil"/>
            </w:tcBorders>
            <w:shd w:val="clear" w:color="auto" w:fill="auto"/>
            <w:textDirection w:val="btLr"/>
            <w:vAlign w:val="bottom"/>
            <w:hideMark/>
          </w:tcPr>
          <w:p w14:paraId="14ED45ED"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1.6</w:t>
            </w:r>
          </w:p>
        </w:tc>
        <w:tc>
          <w:tcPr>
            <w:tcW w:w="451" w:type="pct"/>
            <w:tcBorders>
              <w:top w:val="nil"/>
              <w:left w:val="nil"/>
              <w:bottom w:val="single" w:sz="4" w:space="0" w:color="auto"/>
              <w:right w:val="nil"/>
            </w:tcBorders>
            <w:shd w:val="clear" w:color="auto" w:fill="auto"/>
            <w:textDirection w:val="btLr"/>
            <w:vAlign w:val="bottom"/>
            <w:hideMark/>
          </w:tcPr>
          <w:p w14:paraId="6DA05F6D"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521</w:t>
            </w:r>
          </w:p>
        </w:tc>
        <w:tc>
          <w:tcPr>
            <w:tcW w:w="407" w:type="pct"/>
            <w:tcBorders>
              <w:top w:val="nil"/>
              <w:left w:val="nil"/>
              <w:bottom w:val="single" w:sz="4" w:space="0" w:color="auto"/>
              <w:right w:val="nil"/>
            </w:tcBorders>
            <w:shd w:val="clear" w:color="auto" w:fill="auto"/>
            <w:textDirection w:val="btLr"/>
            <w:vAlign w:val="bottom"/>
            <w:hideMark/>
          </w:tcPr>
          <w:p w14:paraId="3C79B9A1"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100</w:t>
            </w:r>
          </w:p>
        </w:tc>
        <w:tc>
          <w:tcPr>
            <w:tcW w:w="256" w:type="pct"/>
            <w:tcBorders>
              <w:top w:val="nil"/>
              <w:left w:val="nil"/>
              <w:bottom w:val="single" w:sz="4" w:space="0" w:color="auto"/>
              <w:right w:val="nil"/>
            </w:tcBorders>
            <w:shd w:val="clear" w:color="auto" w:fill="auto"/>
            <w:textDirection w:val="btLr"/>
            <w:vAlign w:val="bottom"/>
            <w:hideMark/>
          </w:tcPr>
          <w:p w14:paraId="24D33805"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1</w:t>
            </w:r>
          </w:p>
        </w:tc>
        <w:tc>
          <w:tcPr>
            <w:tcW w:w="255" w:type="pct"/>
            <w:tcBorders>
              <w:top w:val="nil"/>
              <w:left w:val="nil"/>
              <w:bottom w:val="single" w:sz="4" w:space="0" w:color="auto"/>
              <w:right w:val="nil"/>
            </w:tcBorders>
            <w:shd w:val="clear" w:color="auto" w:fill="auto"/>
            <w:textDirection w:val="btLr"/>
            <w:vAlign w:val="bottom"/>
            <w:hideMark/>
          </w:tcPr>
          <w:p w14:paraId="5618EC2F"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1.7</w:t>
            </w:r>
          </w:p>
        </w:tc>
        <w:tc>
          <w:tcPr>
            <w:tcW w:w="256" w:type="pct"/>
            <w:tcBorders>
              <w:top w:val="nil"/>
              <w:left w:val="nil"/>
              <w:bottom w:val="single" w:sz="4" w:space="0" w:color="auto"/>
              <w:right w:val="nil"/>
            </w:tcBorders>
            <w:shd w:val="clear" w:color="auto" w:fill="auto"/>
            <w:textDirection w:val="btLr"/>
            <w:vAlign w:val="bottom"/>
            <w:hideMark/>
          </w:tcPr>
          <w:p w14:paraId="1529B526"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0.1</w:t>
            </w:r>
          </w:p>
        </w:tc>
        <w:tc>
          <w:tcPr>
            <w:tcW w:w="460" w:type="pct"/>
            <w:tcBorders>
              <w:top w:val="nil"/>
              <w:left w:val="nil"/>
              <w:bottom w:val="single" w:sz="4" w:space="0" w:color="auto"/>
              <w:right w:val="nil"/>
            </w:tcBorders>
            <w:shd w:val="clear" w:color="auto" w:fill="auto"/>
            <w:textDirection w:val="btLr"/>
            <w:vAlign w:val="bottom"/>
            <w:hideMark/>
          </w:tcPr>
          <w:p w14:paraId="7C171FC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40</w:t>
            </w:r>
          </w:p>
        </w:tc>
        <w:tc>
          <w:tcPr>
            <w:tcW w:w="255" w:type="pct"/>
            <w:tcBorders>
              <w:top w:val="nil"/>
              <w:left w:val="nil"/>
              <w:bottom w:val="single" w:sz="4" w:space="0" w:color="auto"/>
              <w:right w:val="nil"/>
            </w:tcBorders>
            <w:shd w:val="clear" w:color="auto" w:fill="auto"/>
            <w:textDirection w:val="btLr"/>
            <w:vAlign w:val="bottom"/>
            <w:hideMark/>
          </w:tcPr>
          <w:p w14:paraId="1E2A5515"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0.2</w:t>
            </w:r>
          </w:p>
        </w:tc>
        <w:tc>
          <w:tcPr>
            <w:tcW w:w="410" w:type="pct"/>
            <w:tcBorders>
              <w:top w:val="nil"/>
              <w:left w:val="nil"/>
              <w:bottom w:val="single" w:sz="4" w:space="0" w:color="auto"/>
              <w:right w:val="nil"/>
            </w:tcBorders>
            <w:shd w:val="clear" w:color="auto" w:fill="auto"/>
            <w:textDirection w:val="btLr"/>
            <w:vAlign w:val="bottom"/>
            <w:hideMark/>
          </w:tcPr>
          <w:p w14:paraId="590EC6FE"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274</w:t>
            </w:r>
          </w:p>
        </w:tc>
        <w:tc>
          <w:tcPr>
            <w:tcW w:w="407" w:type="pct"/>
            <w:tcBorders>
              <w:top w:val="nil"/>
              <w:left w:val="nil"/>
              <w:bottom w:val="single" w:sz="4" w:space="0" w:color="auto"/>
              <w:right w:val="nil"/>
            </w:tcBorders>
            <w:shd w:val="clear" w:color="auto" w:fill="auto"/>
            <w:textDirection w:val="btLr"/>
            <w:vAlign w:val="bottom"/>
            <w:hideMark/>
          </w:tcPr>
          <w:p w14:paraId="26F4D93D"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0.6</w:t>
            </w:r>
          </w:p>
        </w:tc>
        <w:tc>
          <w:tcPr>
            <w:tcW w:w="256" w:type="pct"/>
            <w:tcBorders>
              <w:top w:val="nil"/>
              <w:left w:val="nil"/>
              <w:bottom w:val="single" w:sz="4" w:space="0" w:color="auto"/>
              <w:right w:val="nil"/>
            </w:tcBorders>
            <w:shd w:val="clear" w:color="auto" w:fill="auto"/>
            <w:textDirection w:val="btLr"/>
            <w:vAlign w:val="bottom"/>
            <w:hideMark/>
          </w:tcPr>
          <w:p w14:paraId="1A3EC045"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5</w:t>
            </w:r>
          </w:p>
        </w:tc>
        <w:tc>
          <w:tcPr>
            <w:tcW w:w="204" w:type="pct"/>
            <w:tcBorders>
              <w:top w:val="nil"/>
              <w:left w:val="nil"/>
              <w:bottom w:val="single" w:sz="4" w:space="0" w:color="auto"/>
              <w:right w:val="nil"/>
            </w:tcBorders>
            <w:shd w:val="clear" w:color="auto" w:fill="auto"/>
            <w:textDirection w:val="btLr"/>
            <w:vAlign w:val="center"/>
            <w:hideMark/>
          </w:tcPr>
          <w:p w14:paraId="0F2BCF36"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6" w:type="pct"/>
            <w:tcBorders>
              <w:top w:val="nil"/>
              <w:left w:val="nil"/>
              <w:bottom w:val="single" w:sz="4" w:space="0" w:color="auto"/>
              <w:right w:val="nil"/>
            </w:tcBorders>
            <w:shd w:val="clear" w:color="auto" w:fill="auto"/>
            <w:textDirection w:val="btLr"/>
            <w:vAlign w:val="bottom"/>
            <w:hideMark/>
          </w:tcPr>
          <w:p w14:paraId="1EB907FC"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14</w:t>
            </w:r>
          </w:p>
        </w:tc>
        <w:tc>
          <w:tcPr>
            <w:tcW w:w="252" w:type="pct"/>
            <w:tcBorders>
              <w:top w:val="nil"/>
              <w:left w:val="nil"/>
              <w:bottom w:val="single" w:sz="4" w:space="0" w:color="auto"/>
              <w:right w:val="single" w:sz="4" w:space="0" w:color="auto"/>
            </w:tcBorders>
            <w:shd w:val="clear" w:color="auto" w:fill="auto"/>
            <w:textDirection w:val="btLr"/>
            <w:vAlign w:val="bottom"/>
            <w:hideMark/>
          </w:tcPr>
          <w:p w14:paraId="3B741F52"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4.3</w:t>
            </w:r>
          </w:p>
        </w:tc>
      </w:tr>
      <w:tr w:rsidR="00A50FDB" w:rsidRPr="004862D2" w14:paraId="67844AD3" w14:textId="77777777" w:rsidTr="00A50FDB">
        <w:trPr>
          <w:trHeight w:val="1232"/>
        </w:trPr>
        <w:tc>
          <w:tcPr>
            <w:tcW w:w="56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376E4CD6" w14:textId="77777777" w:rsidR="00A50FDB" w:rsidRPr="004862D2" w:rsidRDefault="00A50FDB" w:rsidP="004862D2">
            <w:pPr>
              <w:spacing w:after="0" w:line="240" w:lineRule="auto"/>
              <w:jc w:val="center"/>
              <w:rPr>
                <w:rFonts w:eastAsia="Times New Roman"/>
                <w:b/>
                <w:bCs/>
                <w:color w:val="000000"/>
                <w:sz w:val="22"/>
                <w:szCs w:val="22"/>
              </w:rPr>
            </w:pPr>
            <w:r w:rsidRPr="004862D2">
              <w:rPr>
                <w:rFonts w:eastAsia="Times New Roman"/>
                <w:b/>
                <w:bCs/>
                <w:color w:val="000000"/>
                <w:sz w:val="22"/>
                <w:szCs w:val="22"/>
              </w:rPr>
              <w:t>units</w:t>
            </w:r>
          </w:p>
        </w:tc>
        <w:tc>
          <w:tcPr>
            <w:tcW w:w="307" w:type="pct"/>
            <w:tcBorders>
              <w:top w:val="nil"/>
              <w:left w:val="nil"/>
              <w:bottom w:val="single" w:sz="4" w:space="0" w:color="auto"/>
              <w:right w:val="nil"/>
            </w:tcBorders>
            <w:shd w:val="clear" w:color="auto" w:fill="auto"/>
            <w:textDirection w:val="btLr"/>
            <w:vAlign w:val="bottom"/>
            <w:hideMark/>
          </w:tcPr>
          <w:p w14:paraId="1D867500"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c>
          <w:tcPr>
            <w:tcW w:w="451" w:type="pct"/>
            <w:tcBorders>
              <w:top w:val="nil"/>
              <w:left w:val="nil"/>
              <w:bottom w:val="single" w:sz="4" w:space="0" w:color="auto"/>
              <w:right w:val="nil"/>
            </w:tcBorders>
            <w:shd w:val="clear" w:color="auto" w:fill="auto"/>
            <w:textDirection w:val="btLr"/>
            <w:vAlign w:val="bottom"/>
            <w:hideMark/>
          </w:tcPr>
          <w:p w14:paraId="4A4350E0"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 xml:space="preserve">% of </w:t>
            </w:r>
            <w:proofErr w:type="spellStart"/>
            <w:r w:rsidRPr="004862D2">
              <w:rPr>
                <w:rFonts w:eastAsia="Times New Roman"/>
                <w:color w:val="000000"/>
                <w:sz w:val="22"/>
                <w:szCs w:val="22"/>
              </w:rPr>
              <w:t>postive</w:t>
            </w:r>
            <w:proofErr w:type="spellEnd"/>
            <w:r w:rsidRPr="004862D2">
              <w:rPr>
                <w:rFonts w:eastAsia="Times New Roman"/>
                <w:color w:val="000000"/>
                <w:sz w:val="22"/>
                <w:szCs w:val="22"/>
              </w:rPr>
              <w:t xml:space="preserve"> control</w:t>
            </w:r>
          </w:p>
        </w:tc>
        <w:tc>
          <w:tcPr>
            <w:tcW w:w="407" w:type="pct"/>
            <w:tcBorders>
              <w:top w:val="nil"/>
              <w:left w:val="nil"/>
              <w:bottom w:val="single" w:sz="4" w:space="0" w:color="auto"/>
              <w:right w:val="nil"/>
            </w:tcBorders>
            <w:shd w:val="clear" w:color="auto" w:fill="auto"/>
            <w:textDirection w:val="btLr"/>
            <w:vAlign w:val="bottom"/>
            <w:hideMark/>
          </w:tcPr>
          <w:p w14:paraId="13826CFB"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c>
          <w:tcPr>
            <w:tcW w:w="256" w:type="pct"/>
            <w:tcBorders>
              <w:top w:val="nil"/>
              <w:left w:val="nil"/>
              <w:bottom w:val="single" w:sz="4" w:space="0" w:color="auto"/>
              <w:right w:val="nil"/>
            </w:tcBorders>
            <w:shd w:val="clear" w:color="auto" w:fill="auto"/>
            <w:textDirection w:val="btLr"/>
            <w:vAlign w:val="bottom"/>
            <w:hideMark/>
          </w:tcPr>
          <w:p w14:paraId="0D9B973A"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c>
          <w:tcPr>
            <w:tcW w:w="255" w:type="pct"/>
            <w:tcBorders>
              <w:top w:val="nil"/>
              <w:left w:val="nil"/>
              <w:bottom w:val="single" w:sz="4" w:space="0" w:color="auto"/>
              <w:right w:val="nil"/>
            </w:tcBorders>
            <w:shd w:val="clear" w:color="auto" w:fill="auto"/>
            <w:textDirection w:val="btLr"/>
            <w:vAlign w:val="bottom"/>
            <w:hideMark/>
          </w:tcPr>
          <w:p w14:paraId="25054ED5"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c>
          <w:tcPr>
            <w:tcW w:w="256" w:type="pct"/>
            <w:tcBorders>
              <w:top w:val="nil"/>
              <w:left w:val="nil"/>
              <w:bottom w:val="single" w:sz="4" w:space="0" w:color="auto"/>
              <w:right w:val="nil"/>
            </w:tcBorders>
            <w:shd w:val="clear" w:color="auto" w:fill="auto"/>
            <w:textDirection w:val="btLr"/>
            <w:vAlign w:val="bottom"/>
            <w:hideMark/>
          </w:tcPr>
          <w:p w14:paraId="57AE1526"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c>
          <w:tcPr>
            <w:tcW w:w="460" w:type="pct"/>
            <w:tcBorders>
              <w:top w:val="nil"/>
              <w:left w:val="nil"/>
              <w:bottom w:val="single" w:sz="4" w:space="0" w:color="auto"/>
              <w:right w:val="nil"/>
            </w:tcBorders>
            <w:shd w:val="clear" w:color="auto" w:fill="auto"/>
            <w:textDirection w:val="btLr"/>
            <w:vAlign w:val="bottom"/>
            <w:hideMark/>
          </w:tcPr>
          <w:p w14:paraId="4C6E2F7E"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max fold induction</w:t>
            </w:r>
          </w:p>
        </w:tc>
        <w:tc>
          <w:tcPr>
            <w:tcW w:w="255" w:type="pct"/>
            <w:tcBorders>
              <w:top w:val="nil"/>
              <w:left w:val="nil"/>
              <w:bottom w:val="single" w:sz="4" w:space="0" w:color="auto"/>
              <w:right w:val="nil"/>
            </w:tcBorders>
            <w:shd w:val="clear" w:color="auto" w:fill="auto"/>
            <w:textDirection w:val="btLr"/>
            <w:vAlign w:val="bottom"/>
            <w:hideMark/>
          </w:tcPr>
          <w:p w14:paraId="3A20C2B3"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c>
          <w:tcPr>
            <w:tcW w:w="410" w:type="pct"/>
            <w:tcBorders>
              <w:top w:val="nil"/>
              <w:left w:val="nil"/>
              <w:bottom w:val="single" w:sz="4" w:space="0" w:color="auto"/>
              <w:right w:val="nil"/>
            </w:tcBorders>
            <w:shd w:val="clear" w:color="auto" w:fill="auto"/>
            <w:textDirection w:val="btLr"/>
            <w:vAlign w:val="bottom"/>
            <w:hideMark/>
          </w:tcPr>
          <w:p w14:paraId="15DA2346"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 xml:space="preserve">% of </w:t>
            </w:r>
            <w:proofErr w:type="spellStart"/>
            <w:r w:rsidRPr="004862D2">
              <w:rPr>
                <w:rFonts w:eastAsia="Times New Roman"/>
                <w:color w:val="000000"/>
                <w:sz w:val="22"/>
                <w:szCs w:val="22"/>
              </w:rPr>
              <w:t>postive</w:t>
            </w:r>
            <w:proofErr w:type="spellEnd"/>
            <w:r w:rsidRPr="004862D2">
              <w:rPr>
                <w:rFonts w:eastAsia="Times New Roman"/>
                <w:color w:val="000000"/>
                <w:sz w:val="22"/>
                <w:szCs w:val="22"/>
              </w:rPr>
              <w:t xml:space="preserve"> control</w:t>
            </w:r>
          </w:p>
        </w:tc>
        <w:tc>
          <w:tcPr>
            <w:tcW w:w="407" w:type="pct"/>
            <w:tcBorders>
              <w:top w:val="nil"/>
              <w:left w:val="nil"/>
              <w:bottom w:val="single" w:sz="4" w:space="0" w:color="auto"/>
              <w:right w:val="nil"/>
            </w:tcBorders>
            <w:shd w:val="clear" w:color="auto" w:fill="auto"/>
            <w:textDirection w:val="btLr"/>
            <w:vAlign w:val="bottom"/>
            <w:hideMark/>
          </w:tcPr>
          <w:p w14:paraId="6C87EA87"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c>
          <w:tcPr>
            <w:tcW w:w="256" w:type="pct"/>
            <w:tcBorders>
              <w:top w:val="nil"/>
              <w:left w:val="nil"/>
              <w:bottom w:val="single" w:sz="4" w:space="0" w:color="auto"/>
              <w:right w:val="nil"/>
            </w:tcBorders>
            <w:shd w:val="clear" w:color="auto" w:fill="auto"/>
            <w:textDirection w:val="btLr"/>
            <w:vAlign w:val="bottom"/>
            <w:hideMark/>
          </w:tcPr>
          <w:p w14:paraId="353D1C6D"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c>
          <w:tcPr>
            <w:tcW w:w="204" w:type="pct"/>
            <w:tcBorders>
              <w:top w:val="nil"/>
              <w:left w:val="nil"/>
              <w:bottom w:val="single" w:sz="4" w:space="0" w:color="auto"/>
              <w:right w:val="nil"/>
            </w:tcBorders>
            <w:shd w:val="clear" w:color="auto" w:fill="auto"/>
            <w:textDirection w:val="btLr"/>
            <w:vAlign w:val="center"/>
            <w:hideMark/>
          </w:tcPr>
          <w:p w14:paraId="19ABDA1A"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6" w:type="pct"/>
            <w:tcBorders>
              <w:top w:val="nil"/>
              <w:left w:val="nil"/>
              <w:bottom w:val="single" w:sz="4" w:space="0" w:color="auto"/>
              <w:right w:val="nil"/>
            </w:tcBorders>
            <w:shd w:val="clear" w:color="auto" w:fill="auto"/>
            <w:textDirection w:val="btLr"/>
            <w:vAlign w:val="bottom"/>
            <w:hideMark/>
          </w:tcPr>
          <w:p w14:paraId="70DAD6E8"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c>
          <w:tcPr>
            <w:tcW w:w="252" w:type="pct"/>
            <w:tcBorders>
              <w:top w:val="nil"/>
              <w:left w:val="nil"/>
              <w:bottom w:val="single" w:sz="4" w:space="0" w:color="auto"/>
              <w:right w:val="single" w:sz="4" w:space="0" w:color="auto"/>
            </w:tcBorders>
            <w:shd w:val="clear" w:color="auto" w:fill="auto"/>
            <w:textDirection w:val="btLr"/>
            <w:vAlign w:val="bottom"/>
            <w:hideMark/>
          </w:tcPr>
          <w:p w14:paraId="16737CB8"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nM</w:t>
            </w:r>
          </w:p>
        </w:tc>
      </w:tr>
      <w:tr w:rsidR="00A50FDB" w:rsidRPr="004862D2" w14:paraId="27FACC8F" w14:textId="77777777" w:rsidTr="00A50FDB">
        <w:trPr>
          <w:trHeight w:val="1169"/>
        </w:trPr>
        <w:tc>
          <w:tcPr>
            <w:tcW w:w="56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59377264" w14:textId="77777777" w:rsidR="00A50FDB" w:rsidRPr="004862D2" w:rsidRDefault="00A50FDB" w:rsidP="004862D2">
            <w:pPr>
              <w:spacing w:after="0" w:line="240" w:lineRule="auto"/>
              <w:jc w:val="center"/>
              <w:rPr>
                <w:rFonts w:eastAsia="Times New Roman"/>
                <w:b/>
                <w:bCs/>
                <w:color w:val="000000"/>
                <w:sz w:val="22"/>
                <w:szCs w:val="22"/>
              </w:rPr>
            </w:pPr>
            <w:r w:rsidRPr="004862D2">
              <w:rPr>
                <w:rFonts w:eastAsia="Times New Roman"/>
                <w:b/>
                <w:bCs/>
                <w:color w:val="000000"/>
                <w:sz w:val="22"/>
                <w:szCs w:val="22"/>
              </w:rPr>
              <w:t>metric</w:t>
            </w:r>
          </w:p>
        </w:tc>
        <w:tc>
          <w:tcPr>
            <w:tcW w:w="307" w:type="pct"/>
            <w:tcBorders>
              <w:top w:val="nil"/>
              <w:left w:val="nil"/>
              <w:bottom w:val="single" w:sz="4" w:space="0" w:color="auto"/>
              <w:right w:val="nil"/>
            </w:tcBorders>
            <w:shd w:val="clear" w:color="auto" w:fill="auto"/>
            <w:textDirection w:val="btLr"/>
            <w:vAlign w:val="bottom"/>
            <w:hideMark/>
          </w:tcPr>
          <w:p w14:paraId="3F2C5C31"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EC50</w:t>
            </w:r>
          </w:p>
        </w:tc>
        <w:tc>
          <w:tcPr>
            <w:tcW w:w="451" w:type="pct"/>
            <w:tcBorders>
              <w:top w:val="nil"/>
              <w:left w:val="nil"/>
              <w:bottom w:val="single" w:sz="4" w:space="0" w:color="auto"/>
              <w:right w:val="nil"/>
            </w:tcBorders>
            <w:shd w:val="clear" w:color="auto" w:fill="auto"/>
            <w:textDirection w:val="btLr"/>
            <w:vAlign w:val="bottom"/>
            <w:hideMark/>
          </w:tcPr>
          <w:p w14:paraId="23D992ED"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Relative potency</w:t>
            </w:r>
          </w:p>
        </w:tc>
        <w:tc>
          <w:tcPr>
            <w:tcW w:w="407" w:type="pct"/>
            <w:tcBorders>
              <w:top w:val="nil"/>
              <w:left w:val="nil"/>
              <w:bottom w:val="single" w:sz="4" w:space="0" w:color="auto"/>
              <w:right w:val="nil"/>
            </w:tcBorders>
            <w:shd w:val="clear" w:color="auto" w:fill="auto"/>
            <w:textDirection w:val="btLr"/>
            <w:vAlign w:val="bottom"/>
            <w:hideMark/>
          </w:tcPr>
          <w:p w14:paraId="6CE660BE"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Fold induction</w:t>
            </w:r>
          </w:p>
        </w:tc>
        <w:tc>
          <w:tcPr>
            <w:tcW w:w="256" w:type="pct"/>
            <w:tcBorders>
              <w:top w:val="nil"/>
              <w:left w:val="nil"/>
              <w:bottom w:val="single" w:sz="4" w:space="0" w:color="auto"/>
              <w:right w:val="nil"/>
            </w:tcBorders>
            <w:shd w:val="clear" w:color="auto" w:fill="auto"/>
            <w:textDirection w:val="btLr"/>
            <w:vAlign w:val="bottom"/>
            <w:hideMark/>
          </w:tcPr>
          <w:p w14:paraId="5D1A4046"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EC50</w:t>
            </w:r>
          </w:p>
        </w:tc>
        <w:tc>
          <w:tcPr>
            <w:tcW w:w="255" w:type="pct"/>
            <w:tcBorders>
              <w:top w:val="nil"/>
              <w:left w:val="nil"/>
              <w:bottom w:val="single" w:sz="4" w:space="0" w:color="auto"/>
              <w:right w:val="nil"/>
            </w:tcBorders>
            <w:shd w:val="clear" w:color="auto" w:fill="auto"/>
            <w:textDirection w:val="btLr"/>
            <w:vAlign w:val="bottom"/>
            <w:hideMark/>
          </w:tcPr>
          <w:p w14:paraId="5320A2F5"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Ki</w:t>
            </w:r>
          </w:p>
        </w:tc>
        <w:tc>
          <w:tcPr>
            <w:tcW w:w="256" w:type="pct"/>
            <w:tcBorders>
              <w:top w:val="nil"/>
              <w:left w:val="nil"/>
              <w:bottom w:val="single" w:sz="4" w:space="0" w:color="auto"/>
              <w:right w:val="nil"/>
            </w:tcBorders>
            <w:shd w:val="clear" w:color="auto" w:fill="auto"/>
            <w:textDirection w:val="btLr"/>
            <w:vAlign w:val="bottom"/>
            <w:hideMark/>
          </w:tcPr>
          <w:p w14:paraId="26186F91"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EC50</w:t>
            </w:r>
          </w:p>
        </w:tc>
        <w:tc>
          <w:tcPr>
            <w:tcW w:w="460" w:type="pct"/>
            <w:tcBorders>
              <w:top w:val="nil"/>
              <w:left w:val="nil"/>
              <w:bottom w:val="single" w:sz="4" w:space="0" w:color="auto"/>
              <w:right w:val="nil"/>
            </w:tcBorders>
            <w:shd w:val="clear" w:color="auto" w:fill="auto"/>
            <w:textDirection w:val="btLr"/>
            <w:vAlign w:val="bottom"/>
            <w:hideMark/>
          </w:tcPr>
          <w:p w14:paraId="127CC9FF"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Max fold induction</w:t>
            </w:r>
          </w:p>
        </w:tc>
        <w:tc>
          <w:tcPr>
            <w:tcW w:w="255" w:type="pct"/>
            <w:tcBorders>
              <w:top w:val="nil"/>
              <w:left w:val="nil"/>
              <w:bottom w:val="single" w:sz="4" w:space="0" w:color="auto"/>
              <w:right w:val="nil"/>
            </w:tcBorders>
            <w:shd w:val="clear" w:color="auto" w:fill="auto"/>
            <w:textDirection w:val="btLr"/>
            <w:vAlign w:val="bottom"/>
            <w:hideMark/>
          </w:tcPr>
          <w:p w14:paraId="585DF794"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EC50</w:t>
            </w:r>
          </w:p>
        </w:tc>
        <w:tc>
          <w:tcPr>
            <w:tcW w:w="410" w:type="pct"/>
            <w:tcBorders>
              <w:top w:val="nil"/>
              <w:left w:val="nil"/>
              <w:bottom w:val="single" w:sz="4" w:space="0" w:color="auto"/>
              <w:right w:val="nil"/>
            </w:tcBorders>
            <w:shd w:val="clear" w:color="auto" w:fill="auto"/>
            <w:textDirection w:val="btLr"/>
            <w:vAlign w:val="bottom"/>
            <w:hideMark/>
          </w:tcPr>
          <w:p w14:paraId="27EFCE98"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Relative potency</w:t>
            </w:r>
          </w:p>
        </w:tc>
        <w:tc>
          <w:tcPr>
            <w:tcW w:w="407" w:type="pct"/>
            <w:tcBorders>
              <w:top w:val="nil"/>
              <w:left w:val="nil"/>
              <w:bottom w:val="single" w:sz="4" w:space="0" w:color="auto"/>
              <w:right w:val="nil"/>
            </w:tcBorders>
            <w:shd w:val="clear" w:color="auto" w:fill="auto"/>
            <w:textDirection w:val="btLr"/>
            <w:vAlign w:val="bottom"/>
            <w:hideMark/>
          </w:tcPr>
          <w:p w14:paraId="35D5714A"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IC50</w:t>
            </w:r>
          </w:p>
        </w:tc>
        <w:tc>
          <w:tcPr>
            <w:tcW w:w="256" w:type="pct"/>
            <w:tcBorders>
              <w:top w:val="nil"/>
              <w:left w:val="nil"/>
              <w:bottom w:val="single" w:sz="4" w:space="0" w:color="auto"/>
              <w:right w:val="nil"/>
            </w:tcBorders>
            <w:shd w:val="clear" w:color="auto" w:fill="auto"/>
            <w:textDirection w:val="btLr"/>
            <w:vAlign w:val="bottom"/>
            <w:hideMark/>
          </w:tcPr>
          <w:p w14:paraId="5867F614"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EC50</w:t>
            </w:r>
          </w:p>
        </w:tc>
        <w:tc>
          <w:tcPr>
            <w:tcW w:w="204" w:type="pct"/>
            <w:tcBorders>
              <w:top w:val="nil"/>
              <w:left w:val="nil"/>
              <w:bottom w:val="single" w:sz="4" w:space="0" w:color="auto"/>
              <w:right w:val="nil"/>
            </w:tcBorders>
            <w:shd w:val="clear" w:color="auto" w:fill="auto"/>
            <w:textDirection w:val="btLr"/>
            <w:vAlign w:val="center"/>
            <w:hideMark/>
          </w:tcPr>
          <w:p w14:paraId="7FC52747"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w:t>
            </w:r>
          </w:p>
        </w:tc>
        <w:tc>
          <w:tcPr>
            <w:tcW w:w="256" w:type="pct"/>
            <w:tcBorders>
              <w:top w:val="nil"/>
              <w:left w:val="nil"/>
              <w:bottom w:val="single" w:sz="4" w:space="0" w:color="auto"/>
              <w:right w:val="nil"/>
            </w:tcBorders>
            <w:shd w:val="clear" w:color="auto" w:fill="auto"/>
            <w:textDirection w:val="btLr"/>
            <w:vAlign w:val="bottom"/>
            <w:hideMark/>
          </w:tcPr>
          <w:p w14:paraId="4980C388"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EC50</w:t>
            </w:r>
          </w:p>
        </w:tc>
        <w:tc>
          <w:tcPr>
            <w:tcW w:w="252" w:type="pct"/>
            <w:tcBorders>
              <w:top w:val="nil"/>
              <w:left w:val="nil"/>
              <w:bottom w:val="single" w:sz="4" w:space="0" w:color="auto"/>
              <w:right w:val="single" w:sz="4" w:space="0" w:color="auto"/>
            </w:tcBorders>
            <w:shd w:val="clear" w:color="auto" w:fill="auto"/>
            <w:textDirection w:val="btLr"/>
            <w:vAlign w:val="bottom"/>
            <w:hideMark/>
          </w:tcPr>
          <w:p w14:paraId="6BDA123E" w14:textId="77777777" w:rsidR="00A50FDB" w:rsidRPr="004862D2" w:rsidRDefault="00A50FDB" w:rsidP="004862D2">
            <w:pPr>
              <w:spacing w:after="0" w:line="240" w:lineRule="auto"/>
              <w:jc w:val="center"/>
              <w:rPr>
                <w:rFonts w:eastAsia="Times New Roman"/>
                <w:color w:val="000000"/>
                <w:sz w:val="22"/>
                <w:szCs w:val="22"/>
              </w:rPr>
            </w:pPr>
            <w:r w:rsidRPr="004862D2">
              <w:rPr>
                <w:rFonts w:eastAsia="Times New Roman"/>
                <w:color w:val="000000"/>
                <w:sz w:val="22"/>
                <w:szCs w:val="22"/>
              </w:rPr>
              <w:t>EC50</w:t>
            </w:r>
          </w:p>
        </w:tc>
      </w:tr>
      <w:tr w:rsidR="00A50FDB" w:rsidRPr="004862D2" w14:paraId="247C5851" w14:textId="77777777" w:rsidTr="00A50FDB">
        <w:trPr>
          <w:trHeight w:val="1940"/>
        </w:trPr>
        <w:tc>
          <w:tcPr>
            <w:tcW w:w="56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5B86637D" w14:textId="77777777" w:rsidR="00A50FDB" w:rsidRPr="004862D2" w:rsidRDefault="00A50FDB" w:rsidP="004862D2">
            <w:pPr>
              <w:spacing w:after="0" w:line="240" w:lineRule="auto"/>
              <w:jc w:val="center"/>
              <w:rPr>
                <w:rFonts w:eastAsia="Times New Roman"/>
                <w:b/>
                <w:bCs/>
                <w:color w:val="000000"/>
                <w:sz w:val="22"/>
                <w:szCs w:val="22"/>
              </w:rPr>
            </w:pPr>
            <w:r w:rsidRPr="004862D2">
              <w:rPr>
                <w:rFonts w:eastAsia="Times New Roman"/>
                <w:b/>
                <w:bCs/>
                <w:color w:val="000000"/>
                <w:sz w:val="22"/>
                <w:szCs w:val="22"/>
              </w:rPr>
              <w:t>species</w:t>
            </w:r>
          </w:p>
        </w:tc>
        <w:tc>
          <w:tcPr>
            <w:tcW w:w="307" w:type="pct"/>
            <w:tcBorders>
              <w:top w:val="nil"/>
              <w:left w:val="nil"/>
              <w:bottom w:val="single" w:sz="4" w:space="0" w:color="auto"/>
              <w:right w:val="nil"/>
            </w:tcBorders>
            <w:shd w:val="clear" w:color="auto" w:fill="auto"/>
            <w:textDirection w:val="btLr"/>
            <w:vAlign w:val="bottom"/>
            <w:hideMark/>
          </w:tcPr>
          <w:p w14:paraId="4DA38E92"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A. mississippiensis</w:t>
            </w:r>
          </w:p>
        </w:tc>
        <w:tc>
          <w:tcPr>
            <w:tcW w:w="451" w:type="pct"/>
            <w:tcBorders>
              <w:top w:val="nil"/>
              <w:left w:val="nil"/>
              <w:bottom w:val="single" w:sz="4" w:space="0" w:color="auto"/>
              <w:right w:val="nil"/>
            </w:tcBorders>
            <w:shd w:val="clear" w:color="auto" w:fill="auto"/>
            <w:textDirection w:val="btLr"/>
            <w:vAlign w:val="bottom"/>
            <w:hideMark/>
          </w:tcPr>
          <w:p w14:paraId="16A160EA"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A. mississippiensis</w:t>
            </w:r>
          </w:p>
        </w:tc>
        <w:tc>
          <w:tcPr>
            <w:tcW w:w="407" w:type="pct"/>
            <w:tcBorders>
              <w:top w:val="nil"/>
              <w:left w:val="nil"/>
              <w:bottom w:val="single" w:sz="4" w:space="0" w:color="auto"/>
              <w:right w:val="nil"/>
            </w:tcBorders>
            <w:shd w:val="clear" w:color="auto" w:fill="auto"/>
            <w:textDirection w:val="btLr"/>
            <w:vAlign w:val="bottom"/>
            <w:hideMark/>
          </w:tcPr>
          <w:p w14:paraId="480FBDBC"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A. japonica</w:t>
            </w:r>
          </w:p>
        </w:tc>
        <w:tc>
          <w:tcPr>
            <w:tcW w:w="256" w:type="pct"/>
            <w:tcBorders>
              <w:top w:val="nil"/>
              <w:left w:val="nil"/>
              <w:bottom w:val="single" w:sz="4" w:space="0" w:color="auto"/>
              <w:right w:val="nil"/>
            </w:tcBorders>
            <w:shd w:val="clear" w:color="auto" w:fill="auto"/>
            <w:textDirection w:val="btLr"/>
            <w:vAlign w:val="bottom"/>
            <w:hideMark/>
          </w:tcPr>
          <w:p w14:paraId="1EEEAF23"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D. rerio</w:t>
            </w:r>
          </w:p>
        </w:tc>
        <w:tc>
          <w:tcPr>
            <w:tcW w:w="255" w:type="pct"/>
            <w:tcBorders>
              <w:top w:val="nil"/>
              <w:left w:val="nil"/>
              <w:bottom w:val="single" w:sz="4" w:space="0" w:color="auto"/>
              <w:right w:val="nil"/>
            </w:tcBorders>
            <w:shd w:val="clear" w:color="auto" w:fill="auto"/>
            <w:textDirection w:val="btLr"/>
            <w:vAlign w:val="bottom"/>
            <w:hideMark/>
          </w:tcPr>
          <w:p w14:paraId="45C1A363"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D. rerio</w:t>
            </w:r>
          </w:p>
        </w:tc>
        <w:tc>
          <w:tcPr>
            <w:tcW w:w="256" w:type="pct"/>
            <w:tcBorders>
              <w:top w:val="nil"/>
              <w:left w:val="nil"/>
              <w:bottom w:val="single" w:sz="4" w:space="0" w:color="auto"/>
              <w:right w:val="nil"/>
            </w:tcBorders>
            <w:shd w:val="clear" w:color="auto" w:fill="auto"/>
            <w:textDirection w:val="btLr"/>
            <w:vAlign w:val="bottom"/>
            <w:hideMark/>
          </w:tcPr>
          <w:p w14:paraId="30A5E65B"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D. rerio</w:t>
            </w:r>
          </w:p>
        </w:tc>
        <w:tc>
          <w:tcPr>
            <w:tcW w:w="460" w:type="pct"/>
            <w:tcBorders>
              <w:top w:val="nil"/>
              <w:left w:val="nil"/>
              <w:bottom w:val="single" w:sz="4" w:space="0" w:color="auto"/>
              <w:right w:val="nil"/>
            </w:tcBorders>
            <w:shd w:val="clear" w:color="auto" w:fill="auto"/>
            <w:textDirection w:val="btLr"/>
            <w:vAlign w:val="bottom"/>
            <w:hideMark/>
          </w:tcPr>
          <w:p w14:paraId="6782FF48"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D. rerio</w:t>
            </w:r>
          </w:p>
        </w:tc>
        <w:tc>
          <w:tcPr>
            <w:tcW w:w="255" w:type="pct"/>
            <w:tcBorders>
              <w:top w:val="nil"/>
              <w:left w:val="nil"/>
              <w:bottom w:val="single" w:sz="4" w:space="0" w:color="auto"/>
              <w:right w:val="nil"/>
            </w:tcBorders>
            <w:shd w:val="clear" w:color="auto" w:fill="auto"/>
            <w:textDirection w:val="btLr"/>
            <w:vAlign w:val="bottom"/>
            <w:hideMark/>
          </w:tcPr>
          <w:p w14:paraId="27885F46"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G. gallus</w:t>
            </w:r>
          </w:p>
        </w:tc>
        <w:tc>
          <w:tcPr>
            <w:tcW w:w="410" w:type="pct"/>
            <w:tcBorders>
              <w:top w:val="nil"/>
              <w:left w:val="nil"/>
              <w:bottom w:val="single" w:sz="4" w:space="0" w:color="auto"/>
              <w:right w:val="nil"/>
            </w:tcBorders>
            <w:shd w:val="clear" w:color="auto" w:fill="auto"/>
            <w:textDirection w:val="btLr"/>
            <w:vAlign w:val="bottom"/>
            <w:hideMark/>
          </w:tcPr>
          <w:p w14:paraId="35BBCC68"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G. gallus</w:t>
            </w:r>
          </w:p>
        </w:tc>
        <w:tc>
          <w:tcPr>
            <w:tcW w:w="407" w:type="pct"/>
            <w:tcBorders>
              <w:top w:val="nil"/>
              <w:left w:val="nil"/>
              <w:bottom w:val="single" w:sz="4" w:space="0" w:color="auto"/>
              <w:right w:val="nil"/>
            </w:tcBorders>
            <w:shd w:val="clear" w:color="auto" w:fill="auto"/>
            <w:textDirection w:val="btLr"/>
            <w:vAlign w:val="bottom"/>
            <w:hideMark/>
          </w:tcPr>
          <w:p w14:paraId="009D92AB"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O. mykiss</w:t>
            </w:r>
          </w:p>
        </w:tc>
        <w:tc>
          <w:tcPr>
            <w:tcW w:w="256" w:type="pct"/>
            <w:tcBorders>
              <w:top w:val="nil"/>
              <w:left w:val="nil"/>
              <w:bottom w:val="single" w:sz="4" w:space="0" w:color="auto"/>
              <w:right w:val="nil"/>
            </w:tcBorders>
            <w:shd w:val="clear" w:color="auto" w:fill="auto"/>
            <w:textDirection w:val="btLr"/>
            <w:vAlign w:val="bottom"/>
            <w:hideMark/>
          </w:tcPr>
          <w:p w14:paraId="38105847"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O. mykiss</w:t>
            </w:r>
          </w:p>
        </w:tc>
        <w:tc>
          <w:tcPr>
            <w:tcW w:w="204" w:type="pct"/>
            <w:tcBorders>
              <w:top w:val="nil"/>
              <w:left w:val="nil"/>
              <w:bottom w:val="single" w:sz="4" w:space="0" w:color="auto"/>
              <w:right w:val="nil"/>
            </w:tcBorders>
            <w:shd w:val="clear" w:color="auto" w:fill="auto"/>
            <w:textDirection w:val="btLr"/>
            <w:vAlign w:val="bottom"/>
            <w:hideMark/>
          </w:tcPr>
          <w:p w14:paraId="2C67AC3B"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 xml:space="preserve">P. </w:t>
            </w:r>
            <w:proofErr w:type="spellStart"/>
            <w:r w:rsidRPr="004862D2">
              <w:rPr>
                <w:rFonts w:eastAsia="Times New Roman"/>
                <w:i/>
                <w:iCs/>
                <w:color w:val="000000"/>
                <w:sz w:val="22"/>
                <w:szCs w:val="22"/>
              </w:rPr>
              <w:t>nelsoni</w:t>
            </w:r>
            <w:proofErr w:type="spellEnd"/>
          </w:p>
        </w:tc>
        <w:tc>
          <w:tcPr>
            <w:tcW w:w="256" w:type="pct"/>
            <w:tcBorders>
              <w:top w:val="nil"/>
              <w:left w:val="nil"/>
              <w:bottom w:val="single" w:sz="4" w:space="0" w:color="auto"/>
              <w:right w:val="nil"/>
            </w:tcBorders>
            <w:shd w:val="clear" w:color="auto" w:fill="auto"/>
            <w:textDirection w:val="btLr"/>
            <w:vAlign w:val="bottom"/>
            <w:hideMark/>
          </w:tcPr>
          <w:p w14:paraId="20472568"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X. laevis</w:t>
            </w:r>
          </w:p>
        </w:tc>
        <w:tc>
          <w:tcPr>
            <w:tcW w:w="252" w:type="pct"/>
            <w:tcBorders>
              <w:top w:val="nil"/>
              <w:left w:val="nil"/>
              <w:bottom w:val="single" w:sz="4" w:space="0" w:color="auto"/>
              <w:right w:val="single" w:sz="4" w:space="0" w:color="auto"/>
            </w:tcBorders>
            <w:shd w:val="clear" w:color="auto" w:fill="auto"/>
            <w:textDirection w:val="btLr"/>
            <w:vAlign w:val="bottom"/>
            <w:hideMark/>
          </w:tcPr>
          <w:p w14:paraId="6472D5AE" w14:textId="77777777" w:rsidR="00A50FDB" w:rsidRPr="004862D2" w:rsidRDefault="00A50FDB" w:rsidP="004862D2">
            <w:pPr>
              <w:spacing w:after="0" w:line="240" w:lineRule="auto"/>
              <w:jc w:val="center"/>
              <w:rPr>
                <w:rFonts w:eastAsia="Times New Roman"/>
                <w:i/>
                <w:iCs/>
                <w:color w:val="000000"/>
                <w:sz w:val="22"/>
                <w:szCs w:val="22"/>
              </w:rPr>
            </w:pPr>
            <w:r w:rsidRPr="004862D2">
              <w:rPr>
                <w:rFonts w:eastAsia="Times New Roman"/>
                <w:i/>
                <w:iCs/>
                <w:color w:val="000000"/>
                <w:sz w:val="22"/>
                <w:szCs w:val="22"/>
              </w:rPr>
              <w:t>X. laevis</w:t>
            </w:r>
          </w:p>
        </w:tc>
      </w:tr>
    </w:tbl>
    <w:p w14:paraId="3EFC0EA8" w14:textId="77777777" w:rsidR="00296F5E" w:rsidRDefault="00296F5E"/>
    <w:sectPr w:rsidR="00296F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26E"/>
    <w:rsid w:val="0003760F"/>
    <w:rsid w:val="00060563"/>
    <w:rsid w:val="000D1282"/>
    <w:rsid w:val="00113448"/>
    <w:rsid w:val="00153641"/>
    <w:rsid w:val="00155BF3"/>
    <w:rsid w:val="0020065B"/>
    <w:rsid w:val="00247AD7"/>
    <w:rsid w:val="00257F53"/>
    <w:rsid w:val="002704F0"/>
    <w:rsid w:val="00296F5E"/>
    <w:rsid w:val="002C026E"/>
    <w:rsid w:val="002D09BB"/>
    <w:rsid w:val="00316307"/>
    <w:rsid w:val="00334E0A"/>
    <w:rsid w:val="00381DC6"/>
    <w:rsid w:val="003E3BFB"/>
    <w:rsid w:val="004862D2"/>
    <w:rsid w:val="004B6D76"/>
    <w:rsid w:val="004C3DF2"/>
    <w:rsid w:val="004D3B86"/>
    <w:rsid w:val="00591BFD"/>
    <w:rsid w:val="005F5A0D"/>
    <w:rsid w:val="00613072"/>
    <w:rsid w:val="006276DF"/>
    <w:rsid w:val="00756589"/>
    <w:rsid w:val="007D2AA9"/>
    <w:rsid w:val="008528CB"/>
    <w:rsid w:val="00875196"/>
    <w:rsid w:val="0088384C"/>
    <w:rsid w:val="008932DB"/>
    <w:rsid w:val="008F1259"/>
    <w:rsid w:val="0090556B"/>
    <w:rsid w:val="009A1606"/>
    <w:rsid w:val="009C6E34"/>
    <w:rsid w:val="00A50FDB"/>
    <w:rsid w:val="00A709F3"/>
    <w:rsid w:val="00AB4463"/>
    <w:rsid w:val="00AD21E1"/>
    <w:rsid w:val="00B17FB4"/>
    <w:rsid w:val="00B564F6"/>
    <w:rsid w:val="00C42566"/>
    <w:rsid w:val="00C66B46"/>
    <w:rsid w:val="00D11B69"/>
    <w:rsid w:val="00D540A0"/>
    <w:rsid w:val="00DC0E7D"/>
    <w:rsid w:val="00DF1639"/>
    <w:rsid w:val="00E8587E"/>
    <w:rsid w:val="00EF4F22"/>
    <w:rsid w:val="00F702C8"/>
    <w:rsid w:val="00FD5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F22A4"/>
  <w15:chartTrackingRefBased/>
  <w15:docId w15:val="{AF4AF6A6-3A3F-47E9-85F2-D9F9F30F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4463"/>
    <w:rPr>
      <w:color w:val="0563C1" w:themeColor="hyperlink"/>
      <w:u w:val="single"/>
    </w:rPr>
  </w:style>
  <w:style w:type="character" w:styleId="UnresolvedMention">
    <w:name w:val="Unresolved Mention"/>
    <w:basedOn w:val="DefaultParagraphFont"/>
    <w:uiPriority w:val="99"/>
    <w:semiHidden/>
    <w:unhideWhenUsed/>
    <w:rsid w:val="00AB4463"/>
    <w:rPr>
      <w:color w:val="605E5C"/>
      <w:shd w:val="clear" w:color="auto" w:fill="E1DFDD"/>
    </w:rPr>
  </w:style>
  <w:style w:type="paragraph" w:styleId="NormalWeb">
    <w:name w:val="Normal (Web)"/>
    <w:basedOn w:val="Normal"/>
    <w:uiPriority w:val="99"/>
    <w:unhideWhenUsed/>
    <w:rsid w:val="000D1282"/>
    <w:pPr>
      <w:spacing w:before="100" w:beforeAutospacing="1" w:after="100" w:afterAutospacing="1" w:line="240" w:lineRule="auto"/>
    </w:pPr>
    <w:rPr>
      <w:rFonts w:eastAsia="Times New Roman"/>
    </w:rPr>
  </w:style>
  <w:style w:type="paragraph" w:styleId="Caption">
    <w:name w:val="caption"/>
    <w:basedOn w:val="Normal"/>
    <w:next w:val="Normal"/>
    <w:uiPriority w:val="35"/>
    <w:unhideWhenUsed/>
    <w:qFormat/>
    <w:rsid w:val="004862D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026635">
      <w:bodyDiv w:val="1"/>
      <w:marLeft w:val="0"/>
      <w:marRight w:val="0"/>
      <w:marTop w:val="0"/>
      <w:marBottom w:val="0"/>
      <w:divBdr>
        <w:top w:val="none" w:sz="0" w:space="0" w:color="auto"/>
        <w:left w:val="none" w:sz="0" w:space="0" w:color="auto"/>
        <w:bottom w:val="none" w:sz="0" w:space="0" w:color="auto"/>
        <w:right w:val="none" w:sz="0" w:space="0" w:color="auto"/>
      </w:divBdr>
    </w:div>
    <w:div w:id="753553657">
      <w:bodyDiv w:val="1"/>
      <w:marLeft w:val="0"/>
      <w:marRight w:val="0"/>
      <w:marTop w:val="0"/>
      <w:marBottom w:val="0"/>
      <w:divBdr>
        <w:top w:val="none" w:sz="0" w:space="0" w:color="auto"/>
        <w:left w:val="none" w:sz="0" w:space="0" w:color="auto"/>
        <w:bottom w:val="none" w:sz="0" w:space="0" w:color="auto"/>
        <w:right w:val="none" w:sz="0" w:space="0" w:color="auto"/>
      </w:divBdr>
    </w:div>
    <w:div w:id="871306949">
      <w:bodyDiv w:val="1"/>
      <w:marLeft w:val="0"/>
      <w:marRight w:val="0"/>
      <w:marTop w:val="0"/>
      <w:marBottom w:val="0"/>
      <w:divBdr>
        <w:top w:val="none" w:sz="0" w:space="0" w:color="auto"/>
        <w:left w:val="none" w:sz="0" w:space="0" w:color="auto"/>
        <w:bottom w:val="none" w:sz="0" w:space="0" w:color="auto"/>
        <w:right w:val="none" w:sz="0" w:space="0" w:color="auto"/>
      </w:divBdr>
    </w:div>
    <w:div w:id="968437896">
      <w:bodyDiv w:val="1"/>
      <w:marLeft w:val="0"/>
      <w:marRight w:val="0"/>
      <w:marTop w:val="0"/>
      <w:marBottom w:val="0"/>
      <w:divBdr>
        <w:top w:val="none" w:sz="0" w:space="0" w:color="auto"/>
        <w:left w:val="none" w:sz="0" w:space="0" w:color="auto"/>
        <w:bottom w:val="none" w:sz="0" w:space="0" w:color="auto"/>
        <w:right w:val="none" w:sz="0" w:space="0" w:color="auto"/>
      </w:divBdr>
    </w:div>
    <w:div w:id="1369642250">
      <w:bodyDiv w:val="1"/>
      <w:marLeft w:val="0"/>
      <w:marRight w:val="0"/>
      <w:marTop w:val="0"/>
      <w:marBottom w:val="0"/>
      <w:divBdr>
        <w:top w:val="none" w:sz="0" w:space="0" w:color="auto"/>
        <w:left w:val="none" w:sz="0" w:space="0" w:color="auto"/>
        <w:bottom w:val="none" w:sz="0" w:space="0" w:color="auto"/>
        <w:right w:val="none" w:sz="0" w:space="0" w:color="auto"/>
      </w:divBdr>
    </w:div>
    <w:div w:id="1492797629">
      <w:bodyDiv w:val="1"/>
      <w:marLeft w:val="0"/>
      <w:marRight w:val="0"/>
      <w:marTop w:val="0"/>
      <w:marBottom w:val="0"/>
      <w:divBdr>
        <w:top w:val="none" w:sz="0" w:space="0" w:color="auto"/>
        <w:left w:val="none" w:sz="0" w:space="0" w:color="auto"/>
        <w:bottom w:val="none" w:sz="0" w:space="0" w:color="auto"/>
        <w:right w:val="none" w:sz="0" w:space="0" w:color="auto"/>
      </w:divBdr>
    </w:div>
    <w:div w:id="154633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ip-tool.biotec.tu-dresden.de/plip-web/plip/index"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zhanggroup.org/PPS-align/"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5</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Schumann, Peter</dc:creator>
  <cp:keywords/>
  <dc:description/>
  <cp:lastModifiedBy>Schumann, Peter</cp:lastModifiedBy>
  <cp:revision>38</cp:revision>
  <dcterms:created xsi:type="dcterms:W3CDTF">2023-08-29T21:26:00Z</dcterms:created>
  <dcterms:modified xsi:type="dcterms:W3CDTF">2024-03-07T17:37:00Z</dcterms:modified>
</cp:coreProperties>
</file>