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AC6D9" w14:textId="0EDC5ECC" w:rsidR="00B01C07" w:rsidRDefault="00B01C07">
      <w:r>
        <w:t>Supplemental Materia</w:t>
      </w:r>
      <w:r w:rsidR="00697346">
        <w:t>l</w:t>
      </w:r>
    </w:p>
    <w:p w14:paraId="64CA49C5" w14:textId="77777777" w:rsidR="00B01C07" w:rsidRDefault="00B01C07"/>
    <w:p w14:paraId="522776CB" w14:textId="354FEF64" w:rsidR="00BD7CBC" w:rsidRDefault="000F3D21">
      <w:r>
        <w:t xml:space="preserve">Supplemental Table 1. </w:t>
      </w:r>
      <w:r w:rsidR="00B01C07">
        <w:t xml:space="preserve">PCDD, PCDF, and PCB congeners included in the TEF </w:t>
      </w:r>
      <w:proofErr w:type="gramStart"/>
      <w:r w:rsidR="00B01C07">
        <w:t>methodology</w:t>
      </w:r>
      <w:proofErr w:type="gramEnd"/>
    </w:p>
    <w:p w14:paraId="7F1A2975" w14:textId="77777777" w:rsidR="00B01C07" w:rsidRDefault="00B01C07"/>
    <w:p w14:paraId="2E198321" w14:textId="77777777" w:rsidR="00B01C07" w:rsidRDefault="00B01C07"/>
    <w:tbl>
      <w:tblPr>
        <w:tblW w:w="2960" w:type="dxa"/>
        <w:tblLook w:val="04A0" w:firstRow="1" w:lastRow="0" w:firstColumn="1" w:lastColumn="0" w:noHBand="0" w:noVBand="1"/>
      </w:tblPr>
      <w:tblGrid>
        <w:gridCol w:w="2738"/>
        <w:gridCol w:w="222"/>
      </w:tblGrid>
      <w:tr w:rsidR="00B01C07" w:rsidRPr="00B01C07" w14:paraId="3CA489A5" w14:textId="77777777" w:rsidTr="00B01C07">
        <w:trPr>
          <w:gridAfter w:val="1"/>
          <w:wAfter w:w="36" w:type="dxa"/>
          <w:trHeight w:val="320"/>
        </w:trPr>
        <w:tc>
          <w:tcPr>
            <w:tcW w:w="29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E742" w14:textId="77777777" w:rsidR="00B01C07" w:rsidRPr="00B01C07" w:rsidRDefault="00B01C07" w:rsidP="00B01C07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01C0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REP Compound</w:t>
            </w:r>
          </w:p>
        </w:tc>
      </w:tr>
      <w:tr w:rsidR="00B01C07" w:rsidRPr="00B01C07" w14:paraId="3D887B55" w14:textId="77777777" w:rsidTr="00B01C07">
        <w:trPr>
          <w:trHeight w:val="340"/>
        </w:trPr>
        <w:tc>
          <w:tcPr>
            <w:tcW w:w="2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416167" w14:textId="77777777" w:rsidR="00B01C07" w:rsidRPr="00B01C07" w:rsidRDefault="00B01C07" w:rsidP="00B01C07">
            <w:pP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5374" w14:textId="77777777" w:rsidR="00B01C07" w:rsidRPr="00B01C07" w:rsidRDefault="00B01C07" w:rsidP="00B01C07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B01C07" w:rsidRPr="00B01C07" w14:paraId="1FEE1467" w14:textId="77777777" w:rsidTr="00B01C07">
        <w:trPr>
          <w:trHeight w:val="320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03ED3" w14:textId="77777777" w:rsidR="00B01C07" w:rsidRPr="00B01C07" w:rsidRDefault="00B01C07" w:rsidP="00B01C07">
            <w:pPr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01C07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1,2,3,7,8-PeCDD</w:t>
            </w:r>
          </w:p>
        </w:tc>
        <w:tc>
          <w:tcPr>
            <w:tcW w:w="36" w:type="dxa"/>
            <w:vAlign w:val="center"/>
            <w:hideMark/>
          </w:tcPr>
          <w:p w14:paraId="16A7016B" w14:textId="77777777" w:rsidR="00B01C07" w:rsidRPr="00B01C07" w:rsidRDefault="00B01C07" w:rsidP="00B01C07">
            <w:pPr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01C07" w:rsidRPr="00B01C07" w14:paraId="304F94F5" w14:textId="77777777" w:rsidTr="00B01C07">
        <w:trPr>
          <w:trHeight w:val="320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1858B" w14:textId="77777777" w:rsidR="00B01C07" w:rsidRPr="00B01C07" w:rsidRDefault="00B01C07" w:rsidP="00B01C07">
            <w:pPr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01C07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1,2,3,4,7,8-HxCDD</w:t>
            </w:r>
          </w:p>
        </w:tc>
        <w:tc>
          <w:tcPr>
            <w:tcW w:w="36" w:type="dxa"/>
            <w:vAlign w:val="center"/>
            <w:hideMark/>
          </w:tcPr>
          <w:p w14:paraId="68BCDBF8" w14:textId="77777777" w:rsidR="00B01C07" w:rsidRPr="00B01C07" w:rsidRDefault="00B01C07" w:rsidP="00B01C07">
            <w:pPr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01C07" w:rsidRPr="00B01C07" w14:paraId="1A8F47BF" w14:textId="77777777" w:rsidTr="00B01C07">
        <w:trPr>
          <w:trHeight w:val="320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24900" w14:textId="77777777" w:rsidR="00B01C07" w:rsidRPr="00B01C07" w:rsidRDefault="00B01C07" w:rsidP="00B01C07">
            <w:pPr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01C07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1,2,3,6,7,8-HxCDD</w:t>
            </w:r>
          </w:p>
        </w:tc>
        <w:tc>
          <w:tcPr>
            <w:tcW w:w="36" w:type="dxa"/>
            <w:vAlign w:val="center"/>
            <w:hideMark/>
          </w:tcPr>
          <w:p w14:paraId="70878892" w14:textId="77777777" w:rsidR="00B01C07" w:rsidRPr="00B01C07" w:rsidRDefault="00B01C07" w:rsidP="00B01C07">
            <w:pPr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01C07" w:rsidRPr="00B01C07" w14:paraId="3E9C3FA6" w14:textId="77777777" w:rsidTr="00B01C07">
        <w:trPr>
          <w:trHeight w:val="320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023DC" w14:textId="77777777" w:rsidR="00B01C07" w:rsidRPr="00B01C07" w:rsidRDefault="00B01C07" w:rsidP="00B01C07">
            <w:pPr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01C07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1,2,3,7,8,9-HxCDD</w:t>
            </w:r>
          </w:p>
        </w:tc>
        <w:tc>
          <w:tcPr>
            <w:tcW w:w="36" w:type="dxa"/>
            <w:vAlign w:val="center"/>
            <w:hideMark/>
          </w:tcPr>
          <w:p w14:paraId="372C6E9D" w14:textId="77777777" w:rsidR="00B01C07" w:rsidRPr="00B01C07" w:rsidRDefault="00B01C07" w:rsidP="00B01C07">
            <w:pPr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01C07" w:rsidRPr="00B01C07" w14:paraId="4F50CF1E" w14:textId="77777777" w:rsidTr="00B01C07">
        <w:trPr>
          <w:trHeight w:val="320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28924" w14:textId="77777777" w:rsidR="00B01C07" w:rsidRPr="00B01C07" w:rsidRDefault="00B01C07" w:rsidP="00B01C07">
            <w:pPr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01C07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1,2,3,4,6,7,8-HpCDD</w:t>
            </w:r>
          </w:p>
        </w:tc>
        <w:tc>
          <w:tcPr>
            <w:tcW w:w="36" w:type="dxa"/>
            <w:vAlign w:val="center"/>
            <w:hideMark/>
          </w:tcPr>
          <w:p w14:paraId="1293E8A5" w14:textId="77777777" w:rsidR="00B01C07" w:rsidRPr="00B01C07" w:rsidRDefault="00B01C07" w:rsidP="00B01C07">
            <w:pPr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01C07" w:rsidRPr="00B01C07" w14:paraId="66ECD43D" w14:textId="77777777" w:rsidTr="00B01C07">
        <w:trPr>
          <w:trHeight w:val="320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68F2F" w14:textId="77777777" w:rsidR="00B01C07" w:rsidRPr="00B01C07" w:rsidRDefault="00B01C07" w:rsidP="00B01C07">
            <w:pPr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01C07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OCDD</w:t>
            </w:r>
          </w:p>
        </w:tc>
        <w:tc>
          <w:tcPr>
            <w:tcW w:w="36" w:type="dxa"/>
            <w:vAlign w:val="center"/>
            <w:hideMark/>
          </w:tcPr>
          <w:p w14:paraId="644FDD62" w14:textId="77777777" w:rsidR="00B01C07" w:rsidRPr="00B01C07" w:rsidRDefault="00B01C07" w:rsidP="00B01C07">
            <w:pPr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01C07" w:rsidRPr="00B01C07" w14:paraId="6B8024AC" w14:textId="77777777" w:rsidTr="00B01C07">
        <w:trPr>
          <w:trHeight w:val="320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7079F" w14:textId="77777777" w:rsidR="00B01C07" w:rsidRPr="00B01C07" w:rsidRDefault="00B01C07" w:rsidP="00B01C07">
            <w:pPr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01C07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TCDF</w:t>
            </w:r>
          </w:p>
        </w:tc>
        <w:tc>
          <w:tcPr>
            <w:tcW w:w="36" w:type="dxa"/>
            <w:vAlign w:val="center"/>
            <w:hideMark/>
          </w:tcPr>
          <w:p w14:paraId="0B0C21FA" w14:textId="77777777" w:rsidR="00B01C07" w:rsidRPr="00B01C07" w:rsidRDefault="00B01C07" w:rsidP="00B01C07">
            <w:pPr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01C07" w:rsidRPr="00B01C07" w14:paraId="0E9948DD" w14:textId="77777777" w:rsidTr="00B01C07">
        <w:trPr>
          <w:trHeight w:val="320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BC4CF" w14:textId="77777777" w:rsidR="00B01C07" w:rsidRPr="00B01C07" w:rsidRDefault="00B01C07" w:rsidP="00B01C07">
            <w:pPr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01C07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1,2,3,7,8-PeCDF</w:t>
            </w:r>
          </w:p>
        </w:tc>
        <w:tc>
          <w:tcPr>
            <w:tcW w:w="36" w:type="dxa"/>
            <w:vAlign w:val="center"/>
            <w:hideMark/>
          </w:tcPr>
          <w:p w14:paraId="148A0973" w14:textId="77777777" w:rsidR="00B01C07" w:rsidRPr="00B01C07" w:rsidRDefault="00B01C07" w:rsidP="00B01C07">
            <w:pPr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01C07" w:rsidRPr="00B01C07" w14:paraId="788B30A1" w14:textId="77777777" w:rsidTr="00B01C07">
        <w:trPr>
          <w:trHeight w:val="320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CEFB9" w14:textId="77777777" w:rsidR="00B01C07" w:rsidRPr="00B01C07" w:rsidRDefault="00B01C07" w:rsidP="00B01C07">
            <w:pPr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01C07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2,3,4,7,8-PeCDF</w:t>
            </w:r>
          </w:p>
        </w:tc>
        <w:tc>
          <w:tcPr>
            <w:tcW w:w="36" w:type="dxa"/>
            <w:vAlign w:val="center"/>
            <w:hideMark/>
          </w:tcPr>
          <w:p w14:paraId="1ED550D8" w14:textId="77777777" w:rsidR="00B01C07" w:rsidRPr="00B01C07" w:rsidRDefault="00B01C07" w:rsidP="00B01C07">
            <w:pPr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01C07" w:rsidRPr="00B01C07" w14:paraId="3C4D5D12" w14:textId="77777777" w:rsidTr="00B01C07">
        <w:trPr>
          <w:trHeight w:val="320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5793E" w14:textId="77777777" w:rsidR="00B01C07" w:rsidRPr="00B01C07" w:rsidRDefault="00B01C07" w:rsidP="00B01C07">
            <w:pPr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01C07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1,2,3,4,7,8-HxCDF</w:t>
            </w:r>
          </w:p>
        </w:tc>
        <w:tc>
          <w:tcPr>
            <w:tcW w:w="36" w:type="dxa"/>
            <w:vAlign w:val="center"/>
            <w:hideMark/>
          </w:tcPr>
          <w:p w14:paraId="2E98F074" w14:textId="77777777" w:rsidR="00B01C07" w:rsidRPr="00B01C07" w:rsidRDefault="00B01C07" w:rsidP="00B01C07">
            <w:pPr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01C07" w:rsidRPr="00B01C07" w14:paraId="339B1727" w14:textId="77777777" w:rsidTr="00B01C07">
        <w:trPr>
          <w:trHeight w:val="320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84796" w14:textId="77777777" w:rsidR="00B01C07" w:rsidRPr="00B01C07" w:rsidRDefault="00B01C07" w:rsidP="00B01C07">
            <w:pPr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01C07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1,2,3,6,7,8-HxCDF</w:t>
            </w:r>
          </w:p>
        </w:tc>
        <w:tc>
          <w:tcPr>
            <w:tcW w:w="36" w:type="dxa"/>
            <w:vAlign w:val="center"/>
            <w:hideMark/>
          </w:tcPr>
          <w:p w14:paraId="15DF53B5" w14:textId="77777777" w:rsidR="00B01C07" w:rsidRPr="00B01C07" w:rsidRDefault="00B01C07" w:rsidP="00B01C07">
            <w:pPr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01C07" w:rsidRPr="00B01C07" w14:paraId="67642505" w14:textId="77777777" w:rsidTr="00B01C07">
        <w:trPr>
          <w:trHeight w:val="320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4092F" w14:textId="77777777" w:rsidR="00B01C07" w:rsidRPr="00B01C07" w:rsidRDefault="00B01C07" w:rsidP="00B01C07">
            <w:pPr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01C07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1,2,3,7,8,9-HxCDF</w:t>
            </w:r>
          </w:p>
        </w:tc>
        <w:tc>
          <w:tcPr>
            <w:tcW w:w="36" w:type="dxa"/>
            <w:vAlign w:val="center"/>
            <w:hideMark/>
          </w:tcPr>
          <w:p w14:paraId="64713DFE" w14:textId="77777777" w:rsidR="00B01C07" w:rsidRPr="00B01C07" w:rsidRDefault="00B01C07" w:rsidP="00B01C07">
            <w:pPr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01C07" w:rsidRPr="00B01C07" w14:paraId="3B3623A1" w14:textId="77777777" w:rsidTr="00B01C07">
        <w:trPr>
          <w:trHeight w:val="320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D124D" w14:textId="77777777" w:rsidR="00B01C07" w:rsidRPr="00B01C07" w:rsidRDefault="00B01C07" w:rsidP="00B01C07">
            <w:pPr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01C07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2,3,4,6,7,8-HxCDF</w:t>
            </w:r>
          </w:p>
        </w:tc>
        <w:tc>
          <w:tcPr>
            <w:tcW w:w="36" w:type="dxa"/>
            <w:vAlign w:val="center"/>
            <w:hideMark/>
          </w:tcPr>
          <w:p w14:paraId="2CE3D383" w14:textId="77777777" w:rsidR="00B01C07" w:rsidRPr="00B01C07" w:rsidRDefault="00B01C07" w:rsidP="00B01C07">
            <w:pPr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01C07" w:rsidRPr="00B01C07" w14:paraId="0690DAFF" w14:textId="77777777" w:rsidTr="00B01C07">
        <w:trPr>
          <w:trHeight w:val="320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1A591" w14:textId="77777777" w:rsidR="00B01C07" w:rsidRPr="00B01C07" w:rsidRDefault="00B01C07" w:rsidP="00B01C07">
            <w:pPr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01C07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1,2,3,4,6,7,8-HpCDF</w:t>
            </w:r>
          </w:p>
        </w:tc>
        <w:tc>
          <w:tcPr>
            <w:tcW w:w="36" w:type="dxa"/>
            <w:vAlign w:val="center"/>
            <w:hideMark/>
          </w:tcPr>
          <w:p w14:paraId="0539697F" w14:textId="77777777" w:rsidR="00B01C07" w:rsidRPr="00B01C07" w:rsidRDefault="00B01C07" w:rsidP="00B01C07">
            <w:pPr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01C07" w:rsidRPr="00B01C07" w14:paraId="2C87C776" w14:textId="77777777" w:rsidTr="00B01C07">
        <w:trPr>
          <w:trHeight w:val="320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E2267" w14:textId="77777777" w:rsidR="00B01C07" w:rsidRPr="00B01C07" w:rsidRDefault="00B01C07" w:rsidP="00B01C07">
            <w:pPr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01C07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1,2,3,4,7,8,9-HpCDF</w:t>
            </w:r>
          </w:p>
        </w:tc>
        <w:tc>
          <w:tcPr>
            <w:tcW w:w="36" w:type="dxa"/>
            <w:vAlign w:val="center"/>
            <w:hideMark/>
          </w:tcPr>
          <w:p w14:paraId="4AEACB58" w14:textId="77777777" w:rsidR="00B01C07" w:rsidRPr="00B01C07" w:rsidRDefault="00B01C07" w:rsidP="00B01C07">
            <w:pPr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01C07" w:rsidRPr="00B01C07" w14:paraId="44F53C11" w14:textId="77777777" w:rsidTr="00B01C07">
        <w:trPr>
          <w:trHeight w:val="320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BC132" w14:textId="77777777" w:rsidR="00B01C07" w:rsidRPr="00B01C07" w:rsidRDefault="00B01C07" w:rsidP="00B01C07">
            <w:pPr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01C07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OCDF</w:t>
            </w:r>
          </w:p>
        </w:tc>
        <w:tc>
          <w:tcPr>
            <w:tcW w:w="36" w:type="dxa"/>
            <w:vAlign w:val="center"/>
            <w:hideMark/>
          </w:tcPr>
          <w:p w14:paraId="282F985F" w14:textId="77777777" w:rsidR="00B01C07" w:rsidRPr="00B01C07" w:rsidRDefault="00B01C07" w:rsidP="00B01C07">
            <w:pPr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01C07" w:rsidRPr="00B01C07" w14:paraId="7B9FA1E1" w14:textId="77777777" w:rsidTr="00B01C07">
        <w:trPr>
          <w:trHeight w:val="320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E43ED" w14:textId="77777777" w:rsidR="00B01C07" w:rsidRPr="00B01C07" w:rsidRDefault="00B01C07" w:rsidP="00B01C07">
            <w:pPr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01C07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PCB77</w:t>
            </w:r>
          </w:p>
        </w:tc>
        <w:tc>
          <w:tcPr>
            <w:tcW w:w="36" w:type="dxa"/>
            <w:vAlign w:val="center"/>
            <w:hideMark/>
          </w:tcPr>
          <w:p w14:paraId="31509638" w14:textId="77777777" w:rsidR="00B01C07" w:rsidRPr="00B01C07" w:rsidRDefault="00B01C07" w:rsidP="00B01C07">
            <w:pPr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01C07" w:rsidRPr="00B01C07" w14:paraId="546E8938" w14:textId="77777777" w:rsidTr="00B01C07">
        <w:trPr>
          <w:trHeight w:val="320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23624" w14:textId="77777777" w:rsidR="00B01C07" w:rsidRPr="00B01C07" w:rsidRDefault="00B01C07" w:rsidP="00B01C07">
            <w:pPr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01C07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PCB81</w:t>
            </w:r>
          </w:p>
        </w:tc>
        <w:tc>
          <w:tcPr>
            <w:tcW w:w="36" w:type="dxa"/>
            <w:vAlign w:val="center"/>
            <w:hideMark/>
          </w:tcPr>
          <w:p w14:paraId="73B3D13A" w14:textId="77777777" w:rsidR="00B01C07" w:rsidRPr="00B01C07" w:rsidRDefault="00B01C07" w:rsidP="00B01C07">
            <w:pPr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01C07" w:rsidRPr="00B01C07" w14:paraId="04EAF9FE" w14:textId="77777777" w:rsidTr="00B01C07">
        <w:trPr>
          <w:trHeight w:val="320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2F972" w14:textId="77777777" w:rsidR="00B01C07" w:rsidRPr="00B01C07" w:rsidRDefault="00B01C07" w:rsidP="00B01C07">
            <w:pPr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01C07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PCB126</w:t>
            </w:r>
          </w:p>
        </w:tc>
        <w:tc>
          <w:tcPr>
            <w:tcW w:w="36" w:type="dxa"/>
            <w:vAlign w:val="center"/>
            <w:hideMark/>
          </w:tcPr>
          <w:p w14:paraId="3478448F" w14:textId="77777777" w:rsidR="00B01C07" w:rsidRPr="00B01C07" w:rsidRDefault="00B01C07" w:rsidP="00B01C07">
            <w:pPr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01C07" w:rsidRPr="00B01C07" w14:paraId="33D071AE" w14:textId="77777777" w:rsidTr="00B01C07">
        <w:trPr>
          <w:trHeight w:val="320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54929" w14:textId="77777777" w:rsidR="00B01C07" w:rsidRPr="00B01C07" w:rsidRDefault="00B01C07" w:rsidP="00B01C07">
            <w:pPr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01C07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PCB169</w:t>
            </w:r>
          </w:p>
        </w:tc>
        <w:tc>
          <w:tcPr>
            <w:tcW w:w="36" w:type="dxa"/>
            <w:vAlign w:val="center"/>
            <w:hideMark/>
          </w:tcPr>
          <w:p w14:paraId="2554731A" w14:textId="77777777" w:rsidR="00B01C07" w:rsidRPr="00B01C07" w:rsidRDefault="00B01C07" w:rsidP="00B01C07">
            <w:pPr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01C07" w:rsidRPr="00B01C07" w14:paraId="5159BB44" w14:textId="77777777" w:rsidTr="00B01C07">
        <w:trPr>
          <w:trHeight w:val="320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5F3C1" w14:textId="7D1A5EC0" w:rsidR="00B01C07" w:rsidRPr="00B01C07" w:rsidRDefault="00B01C07" w:rsidP="00B01C07">
            <w:pPr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01C07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PCB105</w:t>
            </w:r>
          </w:p>
        </w:tc>
        <w:tc>
          <w:tcPr>
            <w:tcW w:w="36" w:type="dxa"/>
            <w:vAlign w:val="center"/>
            <w:hideMark/>
          </w:tcPr>
          <w:p w14:paraId="1F852143" w14:textId="77777777" w:rsidR="00B01C07" w:rsidRPr="00B01C07" w:rsidRDefault="00B01C07" w:rsidP="00B01C07">
            <w:pPr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01C07" w:rsidRPr="00B01C07" w14:paraId="60EE0AF9" w14:textId="77777777" w:rsidTr="00B01C07">
        <w:trPr>
          <w:trHeight w:val="320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1F4D2" w14:textId="77B1F10C" w:rsidR="00B01C07" w:rsidRPr="00B01C07" w:rsidRDefault="00B01C07" w:rsidP="00B01C07">
            <w:pPr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01C07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PCB114</w:t>
            </w:r>
          </w:p>
        </w:tc>
        <w:tc>
          <w:tcPr>
            <w:tcW w:w="36" w:type="dxa"/>
            <w:vAlign w:val="center"/>
            <w:hideMark/>
          </w:tcPr>
          <w:p w14:paraId="00CA0352" w14:textId="77777777" w:rsidR="00B01C07" w:rsidRPr="00B01C07" w:rsidRDefault="00B01C07" w:rsidP="00B01C07">
            <w:pPr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01C07" w:rsidRPr="00B01C07" w14:paraId="0775B401" w14:textId="77777777" w:rsidTr="00B01C07">
        <w:trPr>
          <w:trHeight w:val="320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7D66A" w14:textId="00794F87" w:rsidR="00B01C07" w:rsidRPr="00B01C07" w:rsidRDefault="00B01C07" w:rsidP="00B01C07">
            <w:pPr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01C07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PCB118</w:t>
            </w:r>
          </w:p>
        </w:tc>
        <w:tc>
          <w:tcPr>
            <w:tcW w:w="36" w:type="dxa"/>
            <w:vAlign w:val="center"/>
            <w:hideMark/>
          </w:tcPr>
          <w:p w14:paraId="3E596B49" w14:textId="77777777" w:rsidR="00B01C07" w:rsidRPr="00B01C07" w:rsidRDefault="00B01C07" w:rsidP="00B01C07">
            <w:pPr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01C07" w:rsidRPr="00B01C07" w14:paraId="22F1E731" w14:textId="77777777" w:rsidTr="00B01C07">
        <w:trPr>
          <w:trHeight w:val="320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72DBB" w14:textId="48EC8C64" w:rsidR="00B01C07" w:rsidRPr="00B01C07" w:rsidRDefault="00B01C07" w:rsidP="00B01C07">
            <w:pPr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01C07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PCB123</w:t>
            </w:r>
          </w:p>
        </w:tc>
        <w:tc>
          <w:tcPr>
            <w:tcW w:w="36" w:type="dxa"/>
            <w:vAlign w:val="center"/>
            <w:hideMark/>
          </w:tcPr>
          <w:p w14:paraId="61F22E95" w14:textId="77777777" w:rsidR="00B01C07" w:rsidRPr="00B01C07" w:rsidRDefault="00B01C07" w:rsidP="00B01C07">
            <w:pPr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01C07" w:rsidRPr="00B01C07" w14:paraId="1239E82A" w14:textId="77777777" w:rsidTr="00B01C07">
        <w:trPr>
          <w:trHeight w:val="320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F0D35" w14:textId="35D2A176" w:rsidR="00B01C07" w:rsidRPr="00B01C07" w:rsidRDefault="00B01C07" w:rsidP="00B01C07">
            <w:pPr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01C07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PCB156</w:t>
            </w:r>
          </w:p>
        </w:tc>
        <w:tc>
          <w:tcPr>
            <w:tcW w:w="36" w:type="dxa"/>
            <w:vAlign w:val="center"/>
            <w:hideMark/>
          </w:tcPr>
          <w:p w14:paraId="4EEA6BE4" w14:textId="77777777" w:rsidR="00B01C07" w:rsidRPr="00B01C07" w:rsidRDefault="00B01C07" w:rsidP="00B01C07">
            <w:pPr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01C07" w:rsidRPr="00B01C07" w14:paraId="5B00121B" w14:textId="77777777" w:rsidTr="00B01C07">
        <w:trPr>
          <w:trHeight w:val="320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C6108" w14:textId="6C88F598" w:rsidR="00B01C07" w:rsidRPr="00B01C07" w:rsidRDefault="00B01C07" w:rsidP="00B01C07">
            <w:pPr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01C07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PCB157</w:t>
            </w:r>
          </w:p>
        </w:tc>
        <w:tc>
          <w:tcPr>
            <w:tcW w:w="36" w:type="dxa"/>
            <w:vAlign w:val="center"/>
            <w:hideMark/>
          </w:tcPr>
          <w:p w14:paraId="6E735E93" w14:textId="77777777" w:rsidR="00B01C07" w:rsidRPr="00B01C07" w:rsidRDefault="00B01C07" w:rsidP="00B01C07">
            <w:pPr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01C07" w:rsidRPr="00B01C07" w14:paraId="61293D36" w14:textId="77777777" w:rsidTr="00B01C07">
        <w:trPr>
          <w:trHeight w:val="320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37472" w14:textId="5D42BE3B" w:rsidR="00B01C07" w:rsidRPr="00B01C07" w:rsidRDefault="00B01C07" w:rsidP="00B01C07">
            <w:pPr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01C07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PCB167</w:t>
            </w:r>
          </w:p>
        </w:tc>
        <w:tc>
          <w:tcPr>
            <w:tcW w:w="36" w:type="dxa"/>
            <w:vAlign w:val="center"/>
            <w:hideMark/>
          </w:tcPr>
          <w:p w14:paraId="6156FCB3" w14:textId="77777777" w:rsidR="00B01C07" w:rsidRPr="00B01C07" w:rsidRDefault="00B01C07" w:rsidP="00B01C07">
            <w:pPr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01C07" w:rsidRPr="00B01C07" w14:paraId="76ACF3B2" w14:textId="77777777" w:rsidTr="00B01C07">
        <w:trPr>
          <w:trHeight w:val="340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E26D3" w14:textId="6488BA91" w:rsidR="00B01C07" w:rsidRPr="00B01C07" w:rsidRDefault="00B01C07" w:rsidP="00B01C07">
            <w:pPr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B01C07">
              <w:rPr>
                <w:rFonts w:eastAsia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PCB189</w:t>
            </w:r>
          </w:p>
        </w:tc>
        <w:tc>
          <w:tcPr>
            <w:tcW w:w="36" w:type="dxa"/>
            <w:vAlign w:val="center"/>
            <w:hideMark/>
          </w:tcPr>
          <w:p w14:paraId="4DC416D6" w14:textId="77777777" w:rsidR="00B01C07" w:rsidRPr="00B01C07" w:rsidRDefault="00B01C07" w:rsidP="00B01C07">
            <w:pPr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56ACF168" w14:textId="77777777" w:rsidR="00B01C07" w:rsidRDefault="00B01C07"/>
    <w:p w14:paraId="41E27991" w14:textId="77777777" w:rsidR="000F3D21" w:rsidRDefault="000F3D21"/>
    <w:p w14:paraId="756F9275" w14:textId="77777777" w:rsidR="000F3D21" w:rsidRDefault="000F3D21" w:rsidP="000F3D21">
      <w:pPr>
        <w:keepNext/>
      </w:pPr>
      <w:r>
        <w:rPr>
          <w:rFonts w:eastAsiaTheme="minorEastAsia"/>
          <w:noProof/>
        </w:rPr>
        <w:lastRenderedPageBreak/>
        <w:drawing>
          <wp:inline distT="0" distB="0" distL="0" distR="0" wp14:anchorId="582D0DC6" wp14:editId="537643DD">
            <wp:extent cx="4738487" cy="36449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certainty_vs_category_nolasso_only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38487" cy="364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282AC" w14:textId="77777777" w:rsidR="000F3D21" w:rsidRPr="002E1DE6" w:rsidRDefault="000F3D21" w:rsidP="000F3D21">
      <w:pPr>
        <w:pStyle w:val="Caption"/>
        <w:rPr>
          <w:rFonts w:eastAsiaTheme="minorEastAsia"/>
        </w:rPr>
      </w:pPr>
      <w:bookmarkStart w:id="0" w:name="_Ref528254052"/>
      <w:r>
        <w:t xml:space="preserve">Figure </w:t>
      </w:r>
      <w:bookmarkEnd w:id="0"/>
      <w:r>
        <w:rPr>
          <w:noProof/>
        </w:rPr>
        <w:t>S1</w:t>
      </w:r>
      <w:r>
        <w:t xml:space="preserve">. Violin plots: Estimated distributions for the constant measurement error SD </w:t>
      </w:r>
      <w:r>
        <w:sym w:font="Symbol" w:char="F073"/>
      </w:r>
      <w:r>
        <w:rPr>
          <w:vertAlign w:val="subscript"/>
        </w:rPr>
        <w:sym w:font="Symbol" w:char="F065"/>
      </w:r>
      <w:r>
        <w:t xml:space="preserve">  in the unweighted model (to the left of the dotted vertical line), and for each of the quality-related measurement-error SDs </w:t>
      </w:r>
      <w:r>
        <w:sym w:font="Symbol" w:char="F073"/>
      </w:r>
      <w:r>
        <w:rPr>
          <w:vertAlign w:val="subscript"/>
        </w:rPr>
        <w:t>1</w:t>
      </w:r>
      <w:r>
        <w:t xml:space="preserve">, </w:t>
      </w:r>
      <w:r>
        <w:sym w:font="Symbol" w:char="F073"/>
      </w:r>
      <w:r>
        <w:rPr>
          <w:vertAlign w:val="subscript"/>
        </w:rPr>
        <w:t>2</w:t>
      </w:r>
      <w:r>
        <w:t xml:space="preserve">, …, </w:t>
      </w:r>
      <w:r>
        <w:sym w:font="Symbol" w:char="F073"/>
      </w:r>
      <w:r>
        <w:rPr>
          <w:vertAlign w:val="subscript"/>
        </w:rPr>
        <w:t>5.5</w:t>
      </w:r>
      <w:r>
        <w:t xml:space="preserve"> in the weighted model. Note that these are in log</w:t>
      </w:r>
      <w:r>
        <w:rPr>
          <w:vertAlign w:val="subscript"/>
        </w:rPr>
        <w:t>10</w:t>
      </w:r>
      <w:r>
        <w:t>-REP units (i.e., orders of magnitude). These SDs represent square-</w:t>
      </w:r>
      <w:proofErr w:type="spellStart"/>
      <w:r>
        <w:t>root</w:t>
      </w:r>
      <w:proofErr w:type="spellEnd"/>
      <w:r>
        <w:t xml:space="preserve"> inverse quality weights.</w:t>
      </w:r>
    </w:p>
    <w:p w14:paraId="7C6BD72C" w14:textId="77777777" w:rsidR="000F3D21" w:rsidRDefault="000F3D21" w:rsidP="000F3D21">
      <w:pPr>
        <w:spacing w:before="100" w:beforeAutospacing="1" w:after="100" w:afterAutospacing="1"/>
      </w:pPr>
    </w:p>
    <w:p w14:paraId="502AB941" w14:textId="77777777" w:rsidR="000F3D21" w:rsidRDefault="000F3D21" w:rsidP="000F3D21">
      <w:pPr>
        <w:pStyle w:val="NoSpacing"/>
        <w:keepNext/>
        <w:spacing w:before="100" w:beforeAutospacing="1" w:after="100" w:afterAutospacing="1"/>
        <w:ind w:left="720"/>
      </w:pPr>
      <w:r>
        <w:rPr>
          <w:noProof/>
        </w:rPr>
        <w:lastRenderedPageBreak/>
        <w:drawing>
          <wp:inline distT="0" distB="0" distL="0" distR="0" wp14:anchorId="7B165471" wp14:editId="22B2671E">
            <wp:extent cx="5943600" cy="5943600"/>
            <wp:effectExtent l="0" t="0" r="0" b="0"/>
            <wp:docPr id="20" name="Picture 20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Graphical user interfac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1DFA3" w14:textId="77777777" w:rsidR="000F3D21" w:rsidRDefault="000F3D21" w:rsidP="000F3D21">
      <w:pPr>
        <w:pStyle w:val="Caption"/>
      </w:pPr>
      <w:bookmarkStart w:id="1" w:name="_Ref528331601"/>
      <w:r>
        <w:t xml:space="preserve">Figure </w:t>
      </w:r>
      <w:bookmarkEnd w:id="1"/>
      <w:r>
        <w:rPr>
          <w:noProof/>
        </w:rPr>
        <w:t>S2</w:t>
      </w:r>
      <w:r>
        <w:t xml:space="preserve">. Heatmap of RF-predicted probabilities that each study falls into each quality category. Rows are studies; columns are quality categories. </w:t>
      </w:r>
    </w:p>
    <w:p w14:paraId="52BD2EB4" w14:textId="77777777" w:rsidR="000F3D21" w:rsidRPr="00014120" w:rsidRDefault="000F3D21" w:rsidP="000F3D21">
      <w:pPr>
        <w:spacing w:before="100" w:beforeAutospacing="1" w:after="100" w:afterAutospacing="1"/>
        <w:rPr>
          <w:b/>
        </w:rPr>
      </w:pPr>
    </w:p>
    <w:p w14:paraId="3EB59BF6" w14:textId="77777777" w:rsidR="000F3D21" w:rsidRDefault="000F3D21" w:rsidP="000F3D21"/>
    <w:p w14:paraId="4D52C42F" w14:textId="77777777" w:rsidR="000F3D21" w:rsidRDefault="000F3D21"/>
    <w:sectPr w:rsidR="000F3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C07"/>
    <w:rsid w:val="00007F1B"/>
    <w:rsid w:val="00013FDC"/>
    <w:rsid w:val="00034912"/>
    <w:rsid w:val="000353C5"/>
    <w:rsid w:val="00055EF1"/>
    <w:rsid w:val="000832B3"/>
    <w:rsid w:val="000A6171"/>
    <w:rsid w:val="000A6872"/>
    <w:rsid w:val="000B1A8F"/>
    <w:rsid w:val="000F3D21"/>
    <w:rsid w:val="001244D0"/>
    <w:rsid w:val="001927CD"/>
    <w:rsid w:val="001928FD"/>
    <w:rsid w:val="001A5542"/>
    <w:rsid w:val="001E1A7B"/>
    <w:rsid w:val="001E6E4D"/>
    <w:rsid w:val="002118AB"/>
    <w:rsid w:val="00227E01"/>
    <w:rsid w:val="002337DE"/>
    <w:rsid w:val="0024019B"/>
    <w:rsid w:val="00247D51"/>
    <w:rsid w:val="00254AD3"/>
    <w:rsid w:val="002B0A27"/>
    <w:rsid w:val="002E5A05"/>
    <w:rsid w:val="003235DF"/>
    <w:rsid w:val="0037109A"/>
    <w:rsid w:val="0039086D"/>
    <w:rsid w:val="00392A43"/>
    <w:rsid w:val="003C4461"/>
    <w:rsid w:val="00430268"/>
    <w:rsid w:val="00443EE1"/>
    <w:rsid w:val="0045483F"/>
    <w:rsid w:val="004D73B9"/>
    <w:rsid w:val="004E42E9"/>
    <w:rsid w:val="00551DC0"/>
    <w:rsid w:val="0055281A"/>
    <w:rsid w:val="005A4216"/>
    <w:rsid w:val="005B2892"/>
    <w:rsid w:val="005B6159"/>
    <w:rsid w:val="005E46E5"/>
    <w:rsid w:val="005F0440"/>
    <w:rsid w:val="00665EF1"/>
    <w:rsid w:val="00697346"/>
    <w:rsid w:val="006C30E5"/>
    <w:rsid w:val="006E7F91"/>
    <w:rsid w:val="00700D6C"/>
    <w:rsid w:val="00706354"/>
    <w:rsid w:val="007476FF"/>
    <w:rsid w:val="0076663B"/>
    <w:rsid w:val="00772909"/>
    <w:rsid w:val="007A637A"/>
    <w:rsid w:val="0080574E"/>
    <w:rsid w:val="0082548B"/>
    <w:rsid w:val="00845AE8"/>
    <w:rsid w:val="008D17E1"/>
    <w:rsid w:val="008D223B"/>
    <w:rsid w:val="008F64D3"/>
    <w:rsid w:val="00966170"/>
    <w:rsid w:val="00987FEA"/>
    <w:rsid w:val="009C2291"/>
    <w:rsid w:val="00A5488A"/>
    <w:rsid w:val="00A608C5"/>
    <w:rsid w:val="00A70B8A"/>
    <w:rsid w:val="00A72658"/>
    <w:rsid w:val="00A83590"/>
    <w:rsid w:val="00A87464"/>
    <w:rsid w:val="00AB7F92"/>
    <w:rsid w:val="00AC3709"/>
    <w:rsid w:val="00AD5F4E"/>
    <w:rsid w:val="00B01C07"/>
    <w:rsid w:val="00B23288"/>
    <w:rsid w:val="00B23A15"/>
    <w:rsid w:val="00B32E2C"/>
    <w:rsid w:val="00B47A16"/>
    <w:rsid w:val="00B63513"/>
    <w:rsid w:val="00BA3789"/>
    <w:rsid w:val="00BD0360"/>
    <w:rsid w:val="00BD5AAD"/>
    <w:rsid w:val="00BD7CBC"/>
    <w:rsid w:val="00BE6DA0"/>
    <w:rsid w:val="00C43C5F"/>
    <w:rsid w:val="00C45B68"/>
    <w:rsid w:val="00C46702"/>
    <w:rsid w:val="00C51786"/>
    <w:rsid w:val="00C55E40"/>
    <w:rsid w:val="00C80501"/>
    <w:rsid w:val="00CA4F0F"/>
    <w:rsid w:val="00CE2C4C"/>
    <w:rsid w:val="00D21666"/>
    <w:rsid w:val="00D36078"/>
    <w:rsid w:val="00D3778D"/>
    <w:rsid w:val="00D4258C"/>
    <w:rsid w:val="00D4733D"/>
    <w:rsid w:val="00D76339"/>
    <w:rsid w:val="00D82A3A"/>
    <w:rsid w:val="00DC29DE"/>
    <w:rsid w:val="00DE6C68"/>
    <w:rsid w:val="00E01054"/>
    <w:rsid w:val="00E07528"/>
    <w:rsid w:val="00E10A77"/>
    <w:rsid w:val="00E4193B"/>
    <w:rsid w:val="00E46A5E"/>
    <w:rsid w:val="00E47933"/>
    <w:rsid w:val="00E73740"/>
    <w:rsid w:val="00EC1D07"/>
    <w:rsid w:val="00ED1B48"/>
    <w:rsid w:val="00F30085"/>
    <w:rsid w:val="00F826D1"/>
    <w:rsid w:val="00FA4204"/>
    <w:rsid w:val="00FC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8C762E"/>
  <w15:chartTrackingRefBased/>
  <w15:docId w15:val="{F3FC7751-DF76-CF4D-B8DB-C38B8772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D21"/>
    <w:rPr>
      <w:rFonts w:asciiTheme="minorHAnsi" w:hAnsiTheme="minorHAnsi" w:cstheme="minorBidi"/>
      <w:kern w:val="0"/>
      <w:sz w:val="22"/>
      <w14:ligatures w14:val="none"/>
    </w:rPr>
  </w:style>
  <w:style w:type="paragraph" w:styleId="Caption">
    <w:name w:val="caption"/>
    <w:basedOn w:val="Normal"/>
    <w:next w:val="Normal"/>
    <w:uiPriority w:val="35"/>
    <w:unhideWhenUsed/>
    <w:qFormat/>
    <w:rsid w:val="000F3D21"/>
    <w:pPr>
      <w:spacing w:after="200"/>
    </w:pPr>
    <w:rPr>
      <w:rFonts w:asciiTheme="minorHAnsi" w:hAnsiTheme="minorHAnsi" w:cstheme="minorBidi"/>
      <w:i/>
      <w:iCs/>
      <w:color w:val="44546A" w:themeColor="text2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2576321973A40B6D4AF6053364AE6" ma:contentTypeVersion="18" ma:contentTypeDescription="Create a new document." ma:contentTypeScope="" ma:versionID="c0435b9ec68c2828a37395da7bf2de85">
  <xsd:schema xmlns:xsd="http://www.w3.org/2001/XMLSchema" xmlns:xs="http://www.w3.org/2001/XMLSchema" xmlns:p="http://schemas.microsoft.com/office/2006/metadata/properties" xmlns:ns2="5a5ae523-bc0e-4c9e-8748-7e5daa7e977c" xmlns:ns3="9975fd8e-68ab-4243-b1ac-03d64755660c" targetNamespace="http://schemas.microsoft.com/office/2006/metadata/properties" ma:root="true" ma:fieldsID="084883031d324f23e7eff8d150d2c44c" ns2:_="" ns3:_="">
    <xsd:import namespace="5a5ae523-bc0e-4c9e-8748-7e5daa7e977c"/>
    <xsd:import namespace="9975fd8e-68ab-4243-b1ac-03d6475566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ae523-bc0e-4c9e-8748-7e5daa7e9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043dd0-1acd-4619-9c95-b12d2a3e68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5fd8e-68ab-4243-b1ac-03d64755660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13a9a7-8021-410e-832f-ae7de1e54a9c}" ma:internalName="TaxCatchAll" ma:showField="CatchAllData" ma:web="9975fd8e-68ab-4243-b1ac-03d6475566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0BFA50-D7DB-411F-9C50-43C0C4E39A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8B5C73-321C-459C-AEE7-DDCDEDF97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5ae523-bc0e-4c9e-8748-7e5daa7e977c"/>
    <ds:schemaRef ds:uri="9975fd8e-68ab-4243-b1ac-03d6475566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Wikoff</dc:creator>
  <cp:keywords/>
  <dc:description/>
  <cp:lastModifiedBy>Daniele Wikoff</cp:lastModifiedBy>
  <cp:revision>3</cp:revision>
  <dcterms:created xsi:type="dcterms:W3CDTF">2023-09-16T13:31:00Z</dcterms:created>
  <dcterms:modified xsi:type="dcterms:W3CDTF">2023-10-14T19:47:00Z</dcterms:modified>
</cp:coreProperties>
</file>