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363C" w14:textId="6E2BD026" w:rsidR="00104A3E" w:rsidRDefault="00104A3E" w:rsidP="00F3609E">
      <w:pPr>
        <w:spacing w:line="240" w:lineRule="auto"/>
        <w:jc w:val="center"/>
        <w:rPr>
          <w:b/>
          <w:bCs/>
          <w:sz w:val="24"/>
          <w:szCs w:val="24"/>
        </w:rPr>
      </w:pPr>
      <w:bookmarkStart w:id="0" w:name="_Hlk66347541"/>
      <w:r>
        <w:rPr>
          <w:b/>
          <w:bCs/>
          <w:sz w:val="24"/>
          <w:szCs w:val="24"/>
        </w:rPr>
        <w:t>Metadata</w:t>
      </w:r>
    </w:p>
    <w:p w14:paraId="21DD2D1B" w14:textId="77777777" w:rsidR="00104A3E" w:rsidRDefault="00104A3E" w:rsidP="00F3609E">
      <w:pPr>
        <w:spacing w:line="240" w:lineRule="auto"/>
        <w:jc w:val="center"/>
        <w:rPr>
          <w:b/>
          <w:bCs/>
          <w:sz w:val="24"/>
          <w:szCs w:val="24"/>
        </w:rPr>
      </w:pPr>
    </w:p>
    <w:p w14:paraId="79273C88" w14:textId="274342C0" w:rsidR="00104A3E" w:rsidRDefault="00104A3E" w:rsidP="00F3609E">
      <w:pPr>
        <w:spacing w:line="240" w:lineRule="auto"/>
      </w:pPr>
      <w:r>
        <w:rPr>
          <w:b/>
          <w:bCs/>
          <w:sz w:val="24"/>
          <w:szCs w:val="24"/>
        </w:rPr>
        <w:t xml:space="preserve">Manuscript: </w:t>
      </w:r>
      <w:r w:rsidR="002346D6" w:rsidRPr="002346D6">
        <w:rPr>
          <w:sz w:val="24"/>
          <w:szCs w:val="24"/>
        </w:rPr>
        <w:t>Liver weight changes induced in mice and rats by chemical exposures: Derivation of critical level sizes from the Toxicity Reference Database (ToxRefDB)</w:t>
      </w:r>
      <w:r w:rsidR="002346D6">
        <w:rPr>
          <w:sz w:val="24"/>
          <w:szCs w:val="24"/>
        </w:rPr>
        <w:t>.</w:t>
      </w:r>
      <w:r w:rsidR="002346D6" w:rsidRPr="002346D6">
        <w:rPr>
          <w:sz w:val="24"/>
          <w:szCs w:val="24"/>
        </w:rPr>
        <w:t xml:space="preserve"> </w:t>
      </w:r>
      <w:bookmarkEnd w:id="0"/>
      <w:r>
        <w:t xml:space="preserve"> </w:t>
      </w:r>
    </w:p>
    <w:p w14:paraId="5BCDD02A" w14:textId="77777777" w:rsidR="002346D6" w:rsidRDefault="002346D6" w:rsidP="00F3609E">
      <w:pPr>
        <w:autoSpaceDE w:val="0"/>
        <w:autoSpaceDN w:val="0"/>
        <w:adjustRightInd w:val="0"/>
        <w:spacing w:after="0" w:line="240" w:lineRule="auto"/>
      </w:pPr>
    </w:p>
    <w:p w14:paraId="101383E7" w14:textId="6827D972" w:rsidR="00104A3E" w:rsidRPr="002346D6" w:rsidRDefault="002346D6" w:rsidP="00F3609E">
      <w:pPr>
        <w:autoSpaceDE w:val="0"/>
        <w:autoSpaceDN w:val="0"/>
        <w:adjustRightInd w:val="0"/>
        <w:spacing w:after="0" w:line="240" w:lineRule="auto"/>
        <w:rPr>
          <w:vertAlign w:val="superscript"/>
        </w:rPr>
      </w:pPr>
      <w:r w:rsidRPr="002346D6">
        <w:t>Mezencev R</w:t>
      </w:r>
      <w:r w:rsidRPr="002346D6">
        <w:rPr>
          <w:vertAlign w:val="superscript"/>
        </w:rPr>
        <w:t>1</w:t>
      </w:r>
      <w:r w:rsidRPr="002346D6">
        <w:t>*, Feshuk M</w:t>
      </w:r>
      <w:r w:rsidRPr="002346D6">
        <w:rPr>
          <w:vertAlign w:val="superscript"/>
        </w:rPr>
        <w:t>2</w:t>
      </w:r>
      <w:r w:rsidRPr="002346D6">
        <w:t>, Kolaczkowski L</w:t>
      </w:r>
      <w:r w:rsidRPr="002346D6">
        <w:rPr>
          <w:vertAlign w:val="superscript"/>
        </w:rPr>
        <w:t>2,3</w:t>
      </w:r>
      <w:r w:rsidRPr="002346D6">
        <w:t>, Peterson GC</w:t>
      </w:r>
      <w:r w:rsidRPr="002346D6">
        <w:rPr>
          <w:vertAlign w:val="superscript"/>
        </w:rPr>
        <w:t>1</w:t>
      </w:r>
      <w:r w:rsidRPr="002346D6">
        <w:t>, Zhao Q</w:t>
      </w:r>
      <w:r>
        <w:t>J</w:t>
      </w:r>
      <w:r w:rsidRPr="002346D6">
        <w:rPr>
          <w:vertAlign w:val="superscript"/>
        </w:rPr>
        <w:t>4</w:t>
      </w:r>
      <w:r w:rsidRPr="002346D6">
        <w:t>, Watford S</w:t>
      </w:r>
      <w:r w:rsidRPr="002346D6">
        <w:rPr>
          <w:vertAlign w:val="superscript"/>
        </w:rPr>
        <w:t>1</w:t>
      </w:r>
      <w:r w:rsidRPr="002346D6">
        <w:t>, Weaver JA</w:t>
      </w:r>
      <w:r w:rsidRPr="002346D6">
        <w:rPr>
          <w:vertAlign w:val="superscript"/>
        </w:rPr>
        <w:t>5</w:t>
      </w:r>
      <w:r w:rsidRPr="002346D6">
        <w:t>*</w:t>
      </w:r>
    </w:p>
    <w:p w14:paraId="10FD23B3" w14:textId="01B7CEBA" w:rsidR="002346D6" w:rsidRDefault="002346D6" w:rsidP="00F3609E">
      <w:pPr>
        <w:autoSpaceDE w:val="0"/>
        <w:autoSpaceDN w:val="0"/>
        <w:adjustRightInd w:val="0"/>
        <w:spacing w:after="0" w:line="240" w:lineRule="auto"/>
      </w:pPr>
    </w:p>
    <w:p w14:paraId="03826587" w14:textId="3C7DA91D" w:rsidR="002346D6" w:rsidRDefault="002346D6" w:rsidP="00F3609E">
      <w:pPr>
        <w:autoSpaceDE w:val="0"/>
        <w:autoSpaceDN w:val="0"/>
        <w:adjustRightInd w:val="0"/>
        <w:spacing w:after="0" w:line="240" w:lineRule="auto"/>
      </w:pPr>
    </w:p>
    <w:p w14:paraId="3BCD896E" w14:textId="0E9F163B" w:rsidR="002346D6" w:rsidRDefault="002346D6" w:rsidP="00F3609E">
      <w:pPr>
        <w:autoSpaceDE w:val="0"/>
        <w:autoSpaceDN w:val="0"/>
        <w:adjustRightInd w:val="0"/>
        <w:spacing w:after="0" w:line="240" w:lineRule="auto"/>
      </w:pPr>
    </w:p>
    <w:p w14:paraId="5FE9B8D6" w14:textId="3647BFB3" w:rsidR="002346D6" w:rsidRDefault="002346D6" w:rsidP="00F3609E">
      <w:pPr>
        <w:autoSpaceDE w:val="0"/>
        <w:autoSpaceDN w:val="0"/>
        <w:adjustRightInd w:val="0"/>
        <w:spacing w:after="0" w:line="240" w:lineRule="auto"/>
        <w:ind w:left="720" w:hanging="720"/>
      </w:pPr>
      <w:r>
        <w:t>1</w:t>
      </w:r>
      <w:r>
        <w:tab/>
        <w:t>Center for Public Health and Environmental Assessment, Office of Research and Development, US EPA, Washington DC</w:t>
      </w:r>
    </w:p>
    <w:p w14:paraId="2464CA54" w14:textId="70E546EF" w:rsidR="002346D6" w:rsidRDefault="002346D6" w:rsidP="00F3609E">
      <w:pPr>
        <w:autoSpaceDE w:val="0"/>
        <w:autoSpaceDN w:val="0"/>
        <w:adjustRightInd w:val="0"/>
        <w:spacing w:after="0" w:line="240" w:lineRule="auto"/>
        <w:ind w:left="720" w:hanging="720"/>
      </w:pPr>
      <w:r>
        <w:t>2</w:t>
      </w:r>
      <w:r>
        <w:tab/>
        <w:t>Center for Computational Toxicology and Exposure, Office of Research and Development, US EPA, Research Triangle Park, NC</w:t>
      </w:r>
    </w:p>
    <w:p w14:paraId="49B2B129" w14:textId="5B261C72" w:rsidR="002346D6" w:rsidRDefault="002346D6" w:rsidP="00F3609E">
      <w:pPr>
        <w:autoSpaceDE w:val="0"/>
        <w:autoSpaceDN w:val="0"/>
        <w:adjustRightInd w:val="0"/>
        <w:spacing w:after="0" w:line="240" w:lineRule="auto"/>
      </w:pPr>
      <w:r>
        <w:t>3</w:t>
      </w:r>
      <w:r>
        <w:tab/>
        <w:t>Oak Ridge Associated Universities, National Student Services Contract</w:t>
      </w:r>
    </w:p>
    <w:p w14:paraId="67435805" w14:textId="02388E0D" w:rsidR="002346D6" w:rsidRDefault="002346D6" w:rsidP="00F3609E">
      <w:pPr>
        <w:autoSpaceDE w:val="0"/>
        <w:autoSpaceDN w:val="0"/>
        <w:adjustRightInd w:val="0"/>
        <w:spacing w:after="0" w:line="240" w:lineRule="auto"/>
        <w:ind w:left="720" w:hanging="720"/>
      </w:pPr>
      <w:r>
        <w:t>4</w:t>
      </w:r>
      <w:r>
        <w:tab/>
        <w:t>Center for Public Health and Environmental Assessment, Office of Research and Development, US EPA, Cincinnati, OH</w:t>
      </w:r>
    </w:p>
    <w:p w14:paraId="1D94A7C3" w14:textId="0CD26782" w:rsidR="002346D6" w:rsidRDefault="002346D6" w:rsidP="00F3609E">
      <w:pPr>
        <w:autoSpaceDE w:val="0"/>
        <w:autoSpaceDN w:val="0"/>
        <w:adjustRightInd w:val="0"/>
        <w:spacing w:after="0" w:line="240" w:lineRule="auto"/>
        <w:ind w:left="720" w:hanging="720"/>
      </w:pPr>
      <w:r>
        <w:t>5</w:t>
      </w:r>
      <w:r>
        <w:tab/>
        <w:t>Center for Public Health and Environmental Assessment, Office of Research and Development, US EPA, Research Triangle Park, NC</w:t>
      </w:r>
    </w:p>
    <w:p w14:paraId="7CDEE094" w14:textId="77777777" w:rsidR="002346D6" w:rsidRDefault="002346D6" w:rsidP="00F3609E">
      <w:pPr>
        <w:autoSpaceDE w:val="0"/>
        <w:autoSpaceDN w:val="0"/>
        <w:adjustRightInd w:val="0"/>
        <w:spacing w:after="0" w:line="240" w:lineRule="auto"/>
      </w:pPr>
    </w:p>
    <w:p w14:paraId="08248863" w14:textId="7ED99966" w:rsidR="002346D6" w:rsidRDefault="002346D6" w:rsidP="00F3609E">
      <w:pPr>
        <w:autoSpaceDE w:val="0"/>
        <w:autoSpaceDN w:val="0"/>
        <w:adjustRightInd w:val="0"/>
        <w:spacing w:after="0" w:line="240" w:lineRule="auto"/>
      </w:pPr>
      <w:r>
        <w:t>*Corresponding authors</w:t>
      </w:r>
    </w:p>
    <w:p w14:paraId="62822B94" w14:textId="36CEBEE2" w:rsidR="002346D6" w:rsidRDefault="002346D6" w:rsidP="00F3609E">
      <w:pPr>
        <w:autoSpaceDE w:val="0"/>
        <w:autoSpaceDN w:val="0"/>
        <w:adjustRightInd w:val="0"/>
        <w:spacing w:after="0" w:line="240" w:lineRule="auto"/>
      </w:pPr>
    </w:p>
    <w:p w14:paraId="6A8BD232" w14:textId="110BABE6" w:rsidR="002346D6" w:rsidRDefault="002346D6" w:rsidP="00F3609E">
      <w:pPr>
        <w:autoSpaceDE w:val="0"/>
        <w:autoSpaceDN w:val="0"/>
        <w:adjustRightInd w:val="0"/>
        <w:spacing w:after="0" w:line="240" w:lineRule="auto"/>
      </w:pPr>
    </w:p>
    <w:p w14:paraId="2D6ABD46" w14:textId="77777777" w:rsidR="0034316B" w:rsidRDefault="00104A3E" w:rsidP="00F3609E">
      <w:pPr>
        <w:spacing w:line="240" w:lineRule="auto"/>
        <w:rPr>
          <w:rFonts w:ascii="Times New Roman" w:hAnsi="Times New Roman" w:cs="Times New Roman"/>
        </w:rPr>
      </w:pPr>
      <w:r w:rsidRPr="00104A3E">
        <w:rPr>
          <w:rFonts w:ascii="Times New Roman" w:hAnsi="Times New Roman" w:cs="Times New Roman"/>
          <w:u w:val="single"/>
        </w:rPr>
        <w:t>Dataset(s) title:</w:t>
      </w:r>
      <w:r>
        <w:rPr>
          <w:rFonts w:ascii="Times New Roman" w:hAnsi="Times New Roman" w:cs="Times New Roman"/>
        </w:rPr>
        <w:t xml:space="preserve"> </w:t>
      </w:r>
    </w:p>
    <w:p w14:paraId="37CD3EB8" w14:textId="0D7BFF9B" w:rsidR="00104A3E" w:rsidRPr="00F3609E" w:rsidRDefault="00A77514" w:rsidP="00F3609E">
      <w:pPr>
        <w:spacing w:line="240" w:lineRule="auto"/>
        <w:rPr>
          <w:b/>
          <w:bCs/>
        </w:rPr>
      </w:pPr>
      <w:r w:rsidRPr="00F3609E">
        <w:rPr>
          <w:b/>
          <w:bCs/>
        </w:rPr>
        <w:t>A</w:t>
      </w:r>
      <w:r w:rsidR="002346D6" w:rsidRPr="00F3609E">
        <w:rPr>
          <w:b/>
          <w:bCs/>
        </w:rPr>
        <w:t xml:space="preserve">bsolute (ALW) and relative (RLW) liver weight </w:t>
      </w:r>
      <w:r w:rsidR="00930556" w:rsidRPr="00F3609E">
        <w:rPr>
          <w:b/>
          <w:bCs/>
        </w:rPr>
        <w:t>changes and</w:t>
      </w:r>
      <w:r w:rsidR="00EE0FED" w:rsidRPr="00F3609E">
        <w:rPr>
          <w:b/>
          <w:bCs/>
        </w:rPr>
        <w:t xml:space="preserve"> </w:t>
      </w:r>
      <w:r w:rsidR="003D5DD2" w:rsidRPr="00F3609E">
        <w:rPr>
          <w:b/>
          <w:bCs/>
        </w:rPr>
        <w:t xml:space="preserve">associated </w:t>
      </w:r>
      <w:r w:rsidR="00EE0FED" w:rsidRPr="00F3609E">
        <w:rPr>
          <w:b/>
          <w:bCs/>
        </w:rPr>
        <w:t xml:space="preserve">histopathologic changes </w:t>
      </w:r>
      <w:r w:rsidR="002346D6" w:rsidRPr="00F3609E">
        <w:rPr>
          <w:b/>
          <w:bCs/>
        </w:rPr>
        <w:t xml:space="preserve">in </w:t>
      </w:r>
      <w:r w:rsidR="00930556" w:rsidRPr="00F3609E">
        <w:rPr>
          <w:b/>
          <w:bCs/>
        </w:rPr>
        <w:t xml:space="preserve">the livers of </w:t>
      </w:r>
      <w:r w:rsidR="002346D6" w:rsidRPr="00F3609E">
        <w:rPr>
          <w:b/>
          <w:bCs/>
        </w:rPr>
        <w:t xml:space="preserve">rodents exposed to chemicals </w:t>
      </w:r>
      <w:r w:rsidR="00EE0FED" w:rsidRPr="00F3609E">
        <w:rPr>
          <w:b/>
          <w:bCs/>
        </w:rPr>
        <w:t xml:space="preserve">relative to control groups. </w:t>
      </w:r>
    </w:p>
    <w:p w14:paraId="0F969F9D" w14:textId="2B7C843C" w:rsidR="009F608D" w:rsidRDefault="009F608D" w:rsidP="00F3609E">
      <w:pPr>
        <w:spacing w:line="240" w:lineRule="auto"/>
      </w:pPr>
    </w:p>
    <w:p w14:paraId="62A24AEF" w14:textId="77777777" w:rsidR="0034316B" w:rsidRPr="00F3609E" w:rsidRDefault="00104A3E" w:rsidP="00F3609E">
      <w:pPr>
        <w:autoSpaceDE w:val="0"/>
        <w:autoSpaceDN w:val="0"/>
        <w:adjustRightInd w:val="0"/>
        <w:spacing w:after="0" w:line="240" w:lineRule="auto"/>
        <w:rPr>
          <w:rFonts w:ascii="Calibri" w:hAnsi="Calibri" w:cs="Calibri"/>
          <w:u w:val="single"/>
        </w:rPr>
      </w:pPr>
      <w:r w:rsidRPr="00F3609E">
        <w:rPr>
          <w:rFonts w:ascii="Calibri" w:hAnsi="Calibri" w:cs="Calibri"/>
          <w:u w:val="single"/>
        </w:rPr>
        <w:t xml:space="preserve">Dataset(s) description: </w:t>
      </w:r>
    </w:p>
    <w:p w14:paraId="7158FE14" w14:textId="77777777" w:rsidR="00EE0FED" w:rsidRPr="00F3609E" w:rsidRDefault="00EE0FED" w:rsidP="00F3609E">
      <w:pPr>
        <w:autoSpaceDE w:val="0"/>
        <w:autoSpaceDN w:val="0"/>
        <w:adjustRightInd w:val="0"/>
        <w:spacing w:after="0" w:line="240" w:lineRule="auto"/>
        <w:rPr>
          <w:rFonts w:ascii="Calibri" w:hAnsi="Calibri" w:cs="Calibri"/>
        </w:rPr>
      </w:pPr>
    </w:p>
    <w:p w14:paraId="420D7BE8" w14:textId="4F0D8169" w:rsidR="00930556" w:rsidRPr="00F3609E" w:rsidRDefault="00EE0FED" w:rsidP="00F3609E">
      <w:pPr>
        <w:autoSpaceDE w:val="0"/>
        <w:autoSpaceDN w:val="0"/>
        <w:adjustRightInd w:val="0"/>
        <w:spacing w:after="0" w:line="240" w:lineRule="auto"/>
        <w:jc w:val="both"/>
        <w:rPr>
          <w:rFonts w:ascii="Calibri" w:hAnsi="Calibri" w:cs="Calibri"/>
        </w:rPr>
      </w:pPr>
      <w:r w:rsidRPr="00F3609E">
        <w:rPr>
          <w:rFonts w:ascii="Calibri" w:hAnsi="Calibri" w:cs="Calibri"/>
        </w:rPr>
        <w:t>Th</w:t>
      </w:r>
      <w:r w:rsidR="003D5DD2" w:rsidRPr="00F3609E">
        <w:rPr>
          <w:rFonts w:ascii="Calibri" w:hAnsi="Calibri" w:cs="Calibri"/>
        </w:rPr>
        <w:t>is dataset was</w:t>
      </w:r>
      <w:r w:rsidRPr="00F3609E">
        <w:rPr>
          <w:rFonts w:ascii="Calibri" w:hAnsi="Calibri" w:cs="Calibri"/>
          <w:color w:val="2E2E2E"/>
        </w:rPr>
        <w:t> </w:t>
      </w:r>
      <w:r w:rsidR="003D5DD2" w:rsidRPr="00F3609E">
        <w:rPr>
          <w:rFonts w:ascii="Calibri" w:hAnsi="Calibri" w:cs="Calibri"/>
          <w:color w:val="2E2E2E"/>
        </w:rPr>
        <w:t xml:space="preserve">prepared from the </w:t>
      </w:r>
      <w:r w:rsidRPr="00F3609E">
        <w:rPr>
          <w:rFonts w:ascii="Calibri" w:hAnsi="Calibri" w:cs="Calibri"/>
        </w:rPr>
        <w:t>US</w:t>
      </w:r>
      <w:r w:rsidRPr="00F3609E">
        <w:rPr>
          <w:rFonts w:ascii="Calibri" w:hAnsi="Calibri" w:cs="Calibri"/>
          <w:color w:val="2E2E2E"/>
        </w:rPr>
        <w:t> Environmental Protection Agency's (EPA) Toxicity Reference Database (ToxRefDB)</w:t>
      </w:r>
      <w:r w:rsidR="00930556" w:rsidRPr="00F3609E">
        <w:rPr>
          <w:rFonts w:ascii="Calibri" w:hAnsi="Calibri" w:cs="Calibri"/>
        </w:rPr>
        <w:t xml:space="preserve"> that contains information for 1</w:t>
      </w:r>
      <w:r w:rsidR="00A77514" w:rsidRPr="00F3609E">
        <w:rPr>
          <w:rFonts w:ascii="Calibri" w:hAnsi="Calibri" w:cs="Calibri"/>
        </w:rPr>
        <w:t>,</w:t>
      </w:r>
      <w:r w:rsidR="00930556" w:rsidRPr="00F3609E">
        <w:rPr>
          <w:rFonts w:ascii="Calibri" w:hAnsi="Calibri" w:cs="Calibri"/>
        </w:rPr>
        <w:t>142 chemicals and 5</w:t>
      </w:r>
      <w:r w:rsidR="00A77514" w:rsidRPr="00F3609E">
        <w:rPr>
          <w:rFonts w:ascii="Calibri" w:hAnsi="Calibri" w:cs="Calibri"/>
        </w:rPr>
        <w:t>,</w:t>
      </w:r>
      <w:r w:rsidR="00930556" w:rsidRPr="00F3609E">
        <w:rPr>
          <w:rFonts w:ascii="Calibri" w:hAnsi="Calibri" w:cs="Calibri"/>
        </w:rPr>
        <w:t xml:space="preserve">960 studies. Curations include information regarding the study design, chemical identity, dosing, treatment group parameters, treatment-related (significantly different from control) and critical (adverse) effects for all dose treatment groups, as well as endpoint testing status according to guideline specifications. </w:t>
      </w:r>
    </w:p>
    <w:p w14:paraId="2DD91B5A" w14:textId="7EC057EF" w:rsidR="00EC77C7" w:rsidRPr="00F3609E" w:rsidRDefault="00930556" w:rsidP="00F3609E">
      <w:pPr>
        <w:spacing w:after="0" w:line="240" w:lineRule="auto"/>
        <w:rPr>
          <w:rFonts w:ascii="Calibri" w:hAnsi="Calibri" w:cs="Calibri"/>
        </w:rPr>
      </w:pPr>
      <w:r w:rsidRPr="00F3609E">
        <w:rPr>
          <w:rFonts w:ascii="Calibri" w:hAnsi="Calibri" w:cs="Calibri"/>
        </w:rPr>
        <w:t xml:space="preserve">ToxRefDB data was examined for all subchronic (SUB) </w:t>
      </w:r>
      <w:r w:rsidR="00EC77C7" w:rsidRPr="00F3609E">
        <w:rPr>
          <w:rFonts w:ascii="Calibri" w:hAnsi="Calibri" w:cs="Calibri"/>
        </w:rPr>
        <w:t xml:space="preserve">studies with complete curations, which included registrant-submitted toxicity studies from the US EPA’s Office of Pesticide Programs (OPP) and guideline studies sourced from the National Toxicology Program (NTP). </w:t>
      </w:r>
    </w:p>
    <w:p w14:paraId="33FA66DC" w14:textId="77777777" w:rsidR="00EC77C7" w:rsidRPr="00F3609E" w:rsidRDefault="00EC77C7" w:rsidP="00F3609E">
      <w:pPr>
        <w:spacing w:after="0" w:line="240" w:lineRule="auto"/>
        <w:rPr>
          <w:rFonts w:ascii="Calibri" w:hAnsi="Calibri" w:cs="Calibri"/>
        </w:rPr>
      </w:pPr>
    </w:p>
    <w:p w14:paraId="487B2A77" w14:textId="60278F53" w:rsidR="00281CA1" w:rsidRPr="00F3609E" w:rsidRDefault="00930556" w:rsidP="00F3609E">
      <w:pPr>
        <w:spacing w:after="0" w:line="240" w:lineRule="auto"/>
        <w:rPr>
          <w:rFonts w:ascii="Calibri" w:hAnsi="Calibri" w:cs="Calibri"/>
        </w:rPr>
      </w:pPr>
      <w:r w:rsidRPr="00F3609E">
        <w:rPr>
          <w:rFonts w:ascii="Calibri" w:hAnsi="Calibri" w:cs="Calibri"/>
        </w:rPr>
        <w:t xml:space="preserve">Statistically significant differences between treatment and control group data at p&lt;0.05 within the source documents was extracted and denoted with a “treatment-related” Boolean indicator “true”. Across the studies with absolute </w:t>
      </w:r>
      <w:r w:rsidR="00281CA1" w:rsidRPr="00F3609E">
        <w:rPr>
          <w:rFonts w:ascii="Calibri" w:hAnsi="Calibri" w:cs="Calibri"/>
        </w:rPr>
        <w:t>liver weights</w:t>
      </w:r>
      <w:r w:rsidRPr="00F3609E">
        <w:rPr>
          <w:rFonts w:ascii="Calibri" w:hAnsi="Calibri" w:cs="Calibri"/>
        </w:rPr>
        <w:t xml:space="preserve"> and relative</w:t>
      </w:r>
      <w:r w:rsidR="00281CA1" w:rsidRPr="00F3609E">
        <w:rPr>
          <w:rFonts w:ascii="Calibri" w:hAnsi="Calibri" w:cs="Calibri"/>
        </w:rPr>
        <w:t>-to</w:t>
      </w:r>
      <w:r w:rsidR="00EC77C7" w:rsidRPr="00F3609E">
        <w:rPr>
          <w:rFonts w:ascii="Calibri" w:hAnsi="Calibri" w:cs="Calibri"/>
        </w:rPr>
        <w:t>-</w:t>
      </w:r>
      <w:r w:rsidR="00281CA1" w:rsidRPr="00F3609E">
        <w:rPr>
          <w:rFonts w:ascii="Calibri" w:hAnsi="Calibri" w:cs="Calibri"/>
        </w:rPr>
        <w:t>body</w:t>
      </w:r>
      <w:r w:rsidRPr="00F3609E">
        <w:rPr>
          <w:rFonts w:ascii="Calibri" w:hAnsi="Calibri" w:cs="Calibri"/>
        </w:rPr>
        <w:t xml:space="preserve"> </w:t>
      </w:r>
      <w:r w:rsidR="00281CA1" w:rsidRPr="00F3609E">
        <w:rPr>
          <w:rFonts w:ascii="Calibri" w:hAnsi="Calibri" w:cs="Calibri"/>
        </w:rPr>
        <w:t>(RLW</w:t>
      </w:r>
      <w:r w:rsidRPr="00F3609E">
        <w:rPr>
          <w:rFonts w:ascii="Calibri" w:hAnsi="Calibri" w:cs="Calibri"/>
        </w:rPr>
        <w:t>) liver weights, the treatment-related mean effect values at the lowest effect (LE) dose level</w:t>
      </w:r>
      <w:r w:rsidR="00A77514" w:rsidRPr="00F3609E">
        <w:rPr>
          <w:rFonts w:ascii="Calibri" w:hAnsi="Calibri" w:cs="Calibri"/>
        </w:rPr>
        <w:t>s</w:t>
      </w:r>
      <w:r w:rsidRPr="00F3609E">
        <w:rPr>
          <w:rFonts w:ascii="Calibri" w:hAnsi="Calibri" w:cs="Calibri"/>
        </w:rPr>
        <w:t xml:space="preserve"> as well as mean control liver weights were determined for all chemical-study-sex-species-exposure route groupings. The LE-ALW and LE-RLW changes were quantified as effect size differences from control using the following equation</w:t>
      </w:r>
      <w:r w:rsidR="00281CA1" w:rsidRPr="00F3609E">
        <w:rPr>
          <w:rFonts w:ascii="Calibri" w:hAnsi="Calibri" w:cs="Calibri"/>
        </w:rPr>
        <w:t>:</w:t>
      </w:r>
    </w:p>
    <w:p w14:paraId="322C96F5" w14:textId="77777777" w:rsidR="00281CA1" w:rsidRPr="00F3609E" w:rsidRDefault="00281CA1" w:rsidP="00F3609E">
      <w:pPr>
        <w:spacing w:after="0" w:line="240" w:lineRule="auto"/>
        <w:rPr>
          <w:rFonts w:ascii="Calibri" w:hAnsi="Calibri" w:cs="Calibri"/>
        </w:rPr>
      </w:pPr>
    </w:p>
    <w:p w14:paraId="2E447ABB" w14:textId="55370587" w:rsidR="00930556" w:rsidRPr="00F3609E" w:rsidRDefault="00281CA1" w:rsidP="00F3609E">
      <w:pPr>
        <w:spacing w:after="0" w:line="240" w:lineRule="auto"/>
        <w:rPr>
          <w:rFonts w:ascii="Calibri" w:hAnsi="Calibri" w:cs="Calibri"/>
        </w:rPr>
      </w:pPr>
      <w:proofErr w:type="spellStart"/>
      <w:r w:rsidRPr="00F3609E">
        <w:rPr>
          <w:rFonts w:ascii="Calibri" w:hAnsi="Calibri" w:cs="Calibri"/>
        </w:rPr>
        <w:lastRenderedPageBreak/>
        <w:t>Effect_size</w:t>
      </w:r>
      <w:proofErr w:type="spellEnd"/>
      <w:r w:rsidRPr="00F3609E">
        <w:rPr>
          <w:rFonts w:ascii="Calibri" w:hAnsi="Calibri" w:cs="Calibri"/>
        </w:rPr>
        <w:t xml:space="preserve"> = </w:t>
      </w:r>
      <w:r w:rsidR="00EC77C7" w:rsidRPr="00F3609E">
        <w:rPr>
          <w:rFonts w:ascii="Calibri" w:hAnsi="Calibri" w:cs="Calibri"/>
        </w:rPr>
        <w:t>100 x (</w:t>
      </w:r>
      <w:r w:rsidRPr="00F3609E">
        <w:rPr>
          <w:rFonts w:ascii="Calibri" w:hAnsi="Calibri" w:cs="Calibri"/>
        </w:rPr>
        <w:t xml:space="preserve">LE </w:t>
      </w:r>
      <w:proofErr w:type="spellStart"/>
      <w:r w:rsidRPr="00F3609E">
        <w:rPr>
          <w:rFonts w:ascii="Calibri" w:hAnsi="Calibri" w:cs="Calibri"/>
        </w:rPr>
        <w:t>Effect_value</w:t>
      </w:r>
      <w:proofErr w:type="spellEnd"/>
      <w:r w:rsidR="00930556" w:rsidRPr="00F3609E">
        <w:rPr>
          <w:rFonts w:ascii="Calibri" w:hAnsi="Calibri" w:cs="Calibri"/>
        </w:rPr>
        <w:t xml:space="preserve"> </w:t>
      </w:r>
      <w:r w:rsidR="00EC77C7" w:rsidRPr="00F3609E">
        <w:rPr>
          <w:rFonts w:ascii="Calibri" w:hAnsi="Calibri" w:cs="Calibri"/>
        </w:rPr>
        <w:t>–</w:t>
      </w:r>
      <w:r w:rsidRPr="00F3609E">
        <w:rPr>
          <w:rFonts w:ascii="Calibri" w:hAnsi="Calibri" w:cs="Calibri"/>
        </w:rPr>
        <w:t xml:space="preserve"> </w:t>
      </w:r>
      <w:r w:rsidR="00EC77C7" w:rsidRPr="00F3609E">
        <w:rPr>
          <w:rFonts w:ascii="Calibri" w:hAnsi="Calibri" w:cs="Calibri"/>
        </w:rPr>
        <w:t xml:space="preserve">Control </w:t>
      </w:r>
      <w:proofErr w:type="spellStart"/>
      <w:r w:rsidR="00EC77C7" w:rsidRPr="00F3609E">
        <w:rPr>
          <w:rFonts w:ascii="Calibri" w:hAnsi="Calibri" w:cs="Calibri"/>
        </w:rPr>
        <w:t>Effect_Value</w:t>
      </w:r>
      <w:proofErr w:type="spellEnd"/>
      <w:r w:rsidR="00EC77C7" w:rsidRPr="00F3609E">
        <w:rPr>
          <w:rFonts w:ascii="Calibri" w:hAnsi="Calibri" w:cs="Calibri"/>
        </w:rPr>
        <w:t xml:space="preserve">) / Control </w:t>
      </w:r>
      <w:proofErr w:type="spellStart"/>
      <w:r w:rsidR="00EC77C7" w:rsidRPr="00F3609E">
        <w:rPr>
          <w:rFonts w:ascii="Calibri" w:hAnsi="Calibri" w:cs="Calibri"/>
        </w:rPr>
        <w:t>Effect_Value</w:t>
      </w:r>
      <w:proofErr w:type="spellEnd"/>
    </w:p>
    <w:p w14:paraId="0DF8516D" w14:textId="0A586A03" w:rsidR="00930556" w:rsidRPr="00F3609E" w:rsidRDefault="00930556" w:rsidP="00F3609E">
      <w:pPr>
        <w:autoSpaceDE w:val="0"/>
        <w:autoSpaceDN w:val="0"/>
        <w:adjustRightInd w:val="0"/>
        <w:spacing w:after="0" w:line="240" w:lineRule="auto"/>
        <w:jc w:val="both"/>
        <w:rPr>
          <w:rFonts w:ascii="Calibri" w:hAnsi="Calibri" w:cs="Calibri"/>
        </w:rPr>
      </w:pPr>
    </w:p>
    <w:p w14:paraId="15696309" w14:textId="31C326AC" w:rsidR="00EE0FED" w:rsidRPr="00223642" w:rsidRDefault="00EE0FED" w:rsidP="00F3609E">
      <w:pPr>
        <w:autoSpaceDE w:val="0"/>
        <w:autoSpaceDN w:val="0"/>
        <w:adjustRightInd w:val="0"/>
        <w:spacing w:after="0" w:line="240" w:lineRule="auto"/>
        <w:jc w:val="both"/>
        <w:rPr>
          <w:rFonts w:ascii="Calibri" w:hAnsi="Calibri" w:cs="Calibri"/>
        </w:rPr>
      </w:pPr>
      <w:r w:rsidRPr="00F3609E">
        <w:rPr>
          <w:rFonts w:ascii="Calibri" w:hAnsi="Calibri" w:cs="Calibri"/>
        </w:rPr>
        <w:t xml:space="preserve">Any microscopic liver pathology effects occurring at the corresponding LE dose level of weight change were also identified and </w:t>
      </w:r>
      <w:r w:rsidR="00EC77C7" w:rsidRPr="00F3609E">
        <w:rPr>
          <w:rFonts w:ascii="Calibri" w:hAnsi="Calibri" w:cs="Calibri"/>
        </w:rPr>
        <w:t xml:space="preserve">listed in the dataset. </w:t>
      </w:r>
      <w:r w:rsidRPr="00F3609E">
        <w:rPr>
          <w:rFonts w:ascii="Calibri" w:hAnsi="Calibri" w:cs="Calibri"/>
        </w:rPr>
        <w:t xml:space="preserve">Histopathology terms were presented as they appeared in ToxRefDB without harmonizing different hierarchical levels and aggregating multiple terms used to depict the same </w:t>
      </w:r>
      <w:r w:rsidRPr="00223642">
        <w:rPr>
          <w:rFonts w:ascii="Calibri" w:hAnsi="Calibri" w:cs="Calibri"/>
        </w:rPr>
        <w:t>lesions.</w:t>
      </w:r>
    </w:p>
    <w:p w14:paraId="015CF6FE" w14:textId="673E6178" w:rsidR="00EE0FED" w:rsidRPr="00F3609E" w:rsidRDefault="00A77514" w:rsidP="00F3609E">
      <w:pPr>
        <w:autoSpaceDE w:val="0"/>
        <w:autoSpaceDN w:val="0"/>
        <w:adjustRightInd w:val="0"/>
        <w:spacing w:after="0" w:line="240" w:lineRule="auto"/>
        <w:jc w:val="both"/>
        <w:rPr>
          <w:rFonts w:ascii="Calibri" w:hAnsi="Calibri" w:cs="Calibri"/>
        </w:rPr>
      </w:pPr>
      <w:r w:rsidRPr="00223642">
        <w:rPr>
          <w:rFonts w:ascii="Calibri" w:hAnsi="Calibri" w:cs="Calibri"/>
        </w:rPr>
        <w:t xml:space="preserve">The final </w:t>
      </w:r>
      <w:r w:rsidR="00EE0FED" w:rsidRPr="00223642">
        <w:rPr>
          <w:rFonts w:ascii="Calibri" w:hAnsi="Calibri" w:cs="Calibri"/>
        </w:rPr>
        <w:t>dataset that include</w:t>
      </w:r>
      <w:r w:rsidRPr="00223642">
        <w:rPr>
          <w:rFonts w:ascii="Calibri" w:hAnsi="Calibri" w:cs="Calibri"/>
        </w:rPr>
        <w:t>s</w:t>
      </w:r>
      <w:r w:rsidR="00EE0FED" w:rsidRPr="00223642">
        <w:rPr>
          <w:rFonts w:ascii="Calibri" w:hAnsi="Calibri" w:cs="Calibri"/>
        </w:rPr>
        <w:t xml:space="preserve"> chemical stressor information, study source identifiers, study type, sex, species, strain, administration route, administration method, dose level, mg/kg/day value, qualitative and quantitative effect information, effect size from control, and pathology effects if present. Th</w:t>
      </w:r>
      <w:r w:rsidRPr="00223642">
        <w:rPr>
          <w:rFonts w:ascii="Calibri" w:hAnsi="Calibri" w:cs="Calibri"/>
        </w:rPr>
        <w:t xml:space="preserve">e dataset includes </w:t>
      </w:r>
      <w:r w:rsidR="00EE0FED" w:rsidRPr="00223642">
        <w:rPr>
          <w:rFonts w:ascii="Calibri" w:hAnsi="Calibri" w:cs="Calibri"/>
        </w:rPr>
        <w:t xml:space="preserve">data </w:t>
      </w:r>
      <w:r w:rsidRPr="00223642">
        <w:rPr>
          <w:rFonts w:ascii="Calibri" w:hAnsi="Calibri" w:cs="Calibri"/>
        </w:rPr>
        <w:t xml:space="preserve">from </w:t>
      </w:r>
      <w:r w:rsidR="00EE0FED" w:rsidRPr="00223642">
        <w:rPr>
          <w:rFonts w:ascii="Calibri" w:hAnsi="Calibri" w:cs="Calibri"/>
        </w:rPr>
        <w:t>389 subchronic studies on 273 chemicals.</w:t>
      </w:r>
      <w:r w:rsidR="00EE0FED" w:rsidRPr="00F3609E">
        <w:rPr>
          <w:rFonts w:ascii="Calibri" w:hAnsi="Calibri" w:cs="Calibri"/>
        </w:rPr>
        <w:t xml:space="preserve"> </w:t>
      </w:r>
    </w:p>
    <w:p w14:paraId="714A1918" w14:textId="77777777" w:rsidR="00EE0FED" w:rsidRPr="00F3609E" w:rsidRDefault="00EE0FED" w:rsidP="00F3609E">
      <w:pPr>
        <w:autoSpaceDE w:val="0"/>
        <w:autoSpaceDN w:val="0"/>
        <w:adjustRightInd w:val="0"/>
        <w:spacing w:after="0" w:line="240" w:lineRule="auto"/>
        <w:rPr>
          <w:rFonts w:ascii="Calibri" w:hAnsi="Calibri" w:cs="Calibri"/>
        </w:rPr>
      </w:pPr>
    </w:p>
    <w:p w14:paraId="0CCFF38C" w14:textId="77777777" w:rsidR="00104A3E" w:rsidRPr="00F3609E" w:rsidRDefault="00104A3E" w:rsidP="00F3609E">
      <w:pPr>
        <w:autoSpaceDE w:val="0"/>
        <w:autoSpaceDN w:val="0"/>
        <w:adjustRightInd w:val="0"/>
        <w:spacing w:after="0" w:line="240" w:lineRule="auto"/>
        <w:rPr>
          <w:rFonts w:ascii="Calibri" w:hAnsi="Calibri" w:cs="Calibri"/>
          <w:u w:val="single"/>
        </w:rPr>
      </w:pPr>
    </w:p>
    <w:p w14:paraId="31CFB15F" w14:textId="77777777" w:rsidR="0034316B" w:rsidRPr="00F3609E" w:rsidRDefault="00104A3E" w:rsidP="00F3609E">
      <w:pPr>
        <w:autoSpaceDE w:val="0"/>
        <w:autoSpaceDN w:val="0"/>
        <w:adjustRightInd w:val="0"/>
        <w:spacing w:after="0" w:line="240" w:lineRule="auto"/>
        <w:rPr>
          <w:rFonts w:ascii="Calibri" w:hAnsi="Calibri" w:cs="Calibri"/>
          <w:u w:val="single"/>
        </w:rPr>
      </w:pPr>
      <w:r w:rsidRPr="00F3609E">
        <w:rPr>
          <w:rFonts w:ascii="Calibri" w:hAnsi="Calibri" w:cs="Calibri"/>
          <w:u w:val="single"/>
        </w:rPr>
        <w:t xml:space="preserve">Definition(s) of acronyms and abbreviations: </w:t>
      </w:r>
    </w:p>
    <w:p w14:paraId="59717603" w14:textId="64735672" w:rsidR="00F3609E" w:rsidRPr="00223642" w:rsidRDefault="00223642" w:rsidP="00223642">
      <w:pPr>
        <w:pStyle w:val="ListParagraph"/>
        <w:numPr>
          <w:ilvl w:val="0"/>
          <w:numId w:val="3"/>
        </w:numPr>
        <w:autoSpaceDE w:val="0"/>
        <w:autoSpaceDN w:val="0"/>
        <w:adjustRightInd w:val="0"/>
        <w:spacing w:after="0" w:line="240" w:lineRule="auto"/>
        <w:rPr>
          <w:rFonts w:ascii="Calibri" w:eastAsia="Times New Roman" w:hAnsi="Calibri" w:cs="Calibri"/>
        </w:rPr>
      </w:pPr>
      <w:r w:rsidRPr="00223642">
        <w:rPr>
          <w:rFonts w:ascii="Calibri" w:eastAsia="Times New Roman" w:hAnsi="Calibri" w:cs="Calibri"/>
        </w:rPr>
        <w:t>LE-</w:t>
      </w:r>
      <w:r w:rsidR="00F3609E" w:rsidRPr="00223642">
        <w:rPr>
          <w:rFonts w:ascii="Calibri" w:eastAsia="Times New Roman" w:hAnsi="Calibri" w:cs="Calibri"/>
        </w:rPr>
        <w:t>ALW: absolute liver weight</w:t>
      </w:r>
      <w:r w:rsidRPr="00223642">
        <w:rPr>
          <w:rFonts w:ascii="Calibri" w:eastAsia="Times New Roman" w:hAnsi="Calibri" w:cs="Calibri"/>
        </w:rPr>
        <w:t xml:space="preserve"> at the lowest effect dose</w:t>
      </w:r>
    </w:p>
    <w:p w14:paraId="713E7598" w14:textId="6B717E12" w:rsidR="00F3609E" w:rsidRPr="00223642" w:rsidRDefault="00223642" w:rsidP="00223642">
      <w:pPr>
        <w:pStyle w:val="ListParagraph"/>
        <w:numPr>
          <w:ilvl w:val="0"/>
          <w:numId w:val="3"/>
        </w:numPr>
        <w:autoSpaceDE w:val="0"/>
        <w:autoSpaceDN w:val="0"/>
        <w:adjustRightInd w:val="0"/>
        <w:spacing w:after="0" w:line="240" w:lineRule="auto"/>
        <w:rPr>
          <w:rFonts w:ascii="Calibri" w:eastAsia="Times New Roman" w:hAnsi="Calibri" w:cs="Calibri"/>
        </w:rPr>
      </w:pPr>
      <w:r w:rsidRPr="00223642">
        <w:rPr>
          <w:rFonts w:ascii="Calibri" w:eastAsia="Times New Roman" w:hAnsi="Calibri" w:cs="Calibri"/>
        </w:rPr>
        <w:t>LE-</w:t>
      </w:r>
      <w:r w:rsidR="00F3609E" w:rsidRPr="00223642">
        <w:rPr>
          <w:rFonts w:ascii="Calibri" w:eastAsia="Times New Roman" w:hAnsi="Calibri" w:cs="Calibri"/>
        </w:rPr>
        <w:t>RLW: relative liver weight (liver-to-body)</w:t>
      </w:r>
      <w:r w:rsidRPr="00223642">
        <w:rPr>
          <w:rFonts w:ascii="Calibri" w:eastAsia="Times New Roman" w:hAnsi="Calibri" w:cs="Calibri"/>
        </w:rPr>
        <w:t xml:space="preserve"> at the lowest effect dose</w:t>
      </w:r>
    </w:p>
    <w:p w14:paraId="0827806B" w14:textId="77777777" w:rsidR="00104A3E" w:rsidRPr="00F3609E" w:rsidRDefault="00104A3E" w:rsidP="00F3609E">
      <w:pPr>
        <w:autoSpaceDE w:val="0"/>
        <w:autoSpaceDN w:val="0"/>
        <w:adjustRightInd w:val="0"/>
        <w:spacing w:after="0" w:line="240" w:lineRule="auto"/>
        <w:rPr>
          <w:rFonts w:ascii="Calibri" w:hAnsi="Calibri" w:cs="Calibri"/>
        </w:rPr>
      </w:pPr>
    </w:p>
    <w:p w14:paraId="58AFC216" w14:textId="7861E2C1" w:rsidR="00104A3E" w:rsidRPr="00F3609E" w:rsidRDefault="00104A3E" w:rsidP="00F3609E">
      <w:pPr>
        <w:autoSpaceDE w:val="0"/>
        <w:autoSpaceDN w:val="0"/>
        <w:adjustRightInd w:val="0"/>
        <w:spacing w:after="0" w:line="240" w:lineRule="auto"/>
        <w:rPr>
          <w:rFonts w:ascii="Calibri" w:hAnsi="Calibri" w:cs="Calibri"/>
          <w:u w:val="single"/>
        </w:rPr>
      </w:pPr>
      <w:r w:rsidRPr="00F3609E">
        <w:rPr>
          <w:rFonts w:ascii="Calibri" w:hAnsi="Calibri" w:cs="Calibri"/>
          <w:u w:val="single"/>
        </w:rPr>
        <w:t>Definition(s) of data variables and column headings</w:t>
      </w:r>
      <w:r w:rsidR="0034316B" w:rsidRPr="00F3609E">
        <w:rPr>
          <w:rFonts w:ascii="Calibri" w:hAnsi="Calibri" w:cs="Calibri"/>
          <w:u w:val="single"/>
        </w:rPr>
        <w:t>:</w:t>
      </w:r>
    </w:p>
    <w:p w14:paraId="173D455B" w14:textId="06FB69F7" w:rsidR="0034316B" w:rsidRDefault="0034316B" w:rsidP="00F3609E">
      <w:pPr>
        <w:autoSpaceDE w:val="0"/>
        <w:autoSpaceDN w:val="0"/>
        <w:adjustRightInd w:val="0"/>
        <w:spacing w:after="0" w:line="240" w:lineRule="auto"/>
        <w:rPr>
          <w:rFonts w:ascii="Calibri" w:hAnsi="Calibri" w:cs="Calibri"/>
        </w:rPr>
      </w:pPr>
    </w:p>
    <w:p w14:paraId="77029BA7" w14:textId="635854D1"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preferred_name</w:t>
      </w:r>
      <w:proofErr w:type="spellEnd"/>
      <w:r w:rsidR="006D246B" w:rsidRPr="00284D06">
        <w:rPr>
          <w:rFonts w:ascii="Calibri" w:eastAsia="Times New Roman" w:hAnsi="Calibri" w:cs="Calibri"/>
          <w:b/>
          <w:bCs/>
          <w:color w:val="000000"/>
        </w:rPr>
        <w:t xml:space="preserve">: </w:t>
      </w:r>
      <w:r w:rsidR="00284D06">
        <w:t>N</w:t>
      </w:r>
      <w:r w:rsidR="006D246B" w:rsidRPr="00284D06">
        <w:t xml:space="preserve">ame of the </w:t>
      </w:r>
      <w:r w:rsidR="00284D06">
        <w:t>test</w:t>
      </w:r>
      <w:r w:rsidR="006D246B" w:rsidRPr="00284D06">
        <w:t xml:space="preserve"> substance</w:t>
      </w:r>
      <w:r w:rsidR="00284D06">
        <w:t>.</w:t>
      </w:r>
    </w:p>
    <w:p w14:paraId="3A1A45B0" w14:textId="79E3202B"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study_id</w:t>
      </w:r>
      <w:proofErr w:type="spellEnd"/>
      <w:r w:rsidR="006D246B" w:rsidRPr="00284D06">
        <w:rPr>
          <w:rFonts w:ascii="Calibri" w:eastAsia="Times New Roman" w:hAnsi="Calibri" w:cs="Calibri"/>
          <w:b/>
          <w:bCs/>
          <w:color w:val="000000"/>
        </w:rPr>
        <w:t xml:space="preserve">: </w:t>
      </w:r>
      <w:r w:rsidR="006D246B" w:rsidRPr="00284D06">
        <w:t>A</w:t>
      </w:r>
      <w:r w:rsidR="00284D06">
        <w:t>utoincremented</w:t>
      </w:r>
      <w:r w:rsidR="006D246B" w:rsidRPr="00284D06">
        <w:t xml:space="preserve"> unique identifier for each study in the database.</w:t>
      </w:r>
    </w:p>
    <w:p w14:paraId="1CF039B2" w14:textId="310BA6C5" w:rsidR="00223642" w:rsidRPr="00284D06" w:rsidRDefault="00223642" w:rsidP="00223642">
      <w:pPr>
        <w:pStyle w:val="ListParagraph"/>
        <w:numPr>
          <w:ilvl w:val="0"/>
          <w:numId w:val="4"/>
        </w:numPr>
        <w:spacing w:after="0" w:line="240" w:lineRule="auto"/>
        <w:rPr>
          <w:rFonts w:ascii="Calibri" w:eastAsia="Times New Roman" w:hAnsi="Calibri" w:cs="Calibri"/>
          <w:color w:val="000000"/>
        </w:rPr>
      </w:pPr>
      <w:proofErr w:type="spellStart"/>
      <w:r w:rsidRPr="00284D06">
        <w:rPr>
          <w:rFonts w:ascii="Calibri" w:eastAsia="Times New Roman" w:hAnsi="Calibri" w:cs="Calibri"/>
          <w:b/>
          <w:bCs/>
          <w:color w:val="000000"/>
        </w:rPr>
        <w:t>study_source_id</w:t>
      </w:r>
      <w:proofErr w:type="spellEnd"/>
      <w:r w:rsidR="00284D06">
        <w:rPr>
          <w:rFonts w:ascii="Calibri" w:eastAsia="Times New Roman" w:hAnsi="Calibri" w:cs="Calibri"/>
          <w:b/>
          <w:bCs/>
          <w:color w:val="000000"/>
        </w:rPr>
        <w:t xml:space="preserve">: </w:t>
      </w:r>
      <w:r w:rsidR="001F13A2">
        <w:rPr>
          <w:rFonts w:ascii="Calibri" w:eastAsia="Times New Roman" w:hAnsi="Calibri" w:cs="Calibri"/>
          <w:color w:val="000000"/>
        </w:rPr>
        <w:t>D</w:t>
      </w:r>
      <w:r w:rsidR="00284D06" w:rsidRPr="00284D06">
        <w:rPr>
          <w:rFonts w:ascii="Calibri" w:eastAsia="Times New Roman" w:hAnsi="Calibri" w:cs="Calibri"/>
          <w:color w:val="000000"/>
        </w:rPr>
        <w:t>ocument identifier provided by the study source.</w:t>
      </w:r>
    </w:p>
    <w:p w14:paraId="46E22373" w14:textId="31CB1286"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r w:rsidRPr="00284D06">
        <w:rPr>
          <w:rFonts w:ascii="Calibri" w:eastAsia="Times New Roman" w:hAnsi="Calibri" w:cs="Calibri"/>
          <w:b/>
          <w:bCs/>
          <w:color w:val="000000"/>
        </w:rPr>
        <w:t>sex</w:t>
      </w:r>
      <w:r w:rsidR="00392951" w:rsidRPr="00284D06">
        <w:rPr>
          <w:rFonts w:ascii="Calibri" w:eastAsia="Times New Roman" w:hAnsi="Calibri" w:cs="Calibri"/>
          <w:b/>
          <w:bCs/>
          <w:color w:val="000000"/>
        </w:rPr>
        <w:t xml:space="preserve">: </w:t>
      </w:r>
      <w:r w:rsidR="00392951" w:rsidRPr="00284D06">
        <w:rPr>
          <w:rFonts w:ascii="Calibri" w:eastAsia="Times New Roman" w:hAnsi="Calibri" w:cs="Calibri"/>
          <w:color w:val="000000"/>
        </w:rPr>
        <w:t>Gender of</w:t>
      </w:r>
      <w:r w:rsidR="00284D06" w:rsidRPr="00284D06">
        <w:rPr>
          <w:rFonts w:ascii="Calibri" w:eastAsia="Times New Roman" w:hAnsi="Calibri" w:cs="Calibri"/>
          <w:color w:val="000000"/>
        </w:rPr>
        <w:t xml:space="preserve"> test</w:t>
      </w:r>
      <w:r w:rsidR="00392951" w:rsidRPr="00284D06">
        <w:rPr>
          <w:rFonts w:ascii="Calibri" w:eastAsia="Times New Roman" w:hAnsi="Calibri" w:cs="Calibri"/>
          <w:color w:val="000000"/>
        </w:rPr>
        <w:t xml:space="preserve"> animal</w:t>
      </w:r>
      <w:r w:rsidR="00EA2F92">
        <w:rPr>
          <w:rFonts w:ascii="Calibri" w:eastAsia="Times New Roman" w:hAnsi="Calibri" w:cs="Calibri"/>
          <w:color w:val="000000"/>
        </w:rPr>
        <w:t>.</w:t>
      </w:r>
    </w:p>
    <w:p w14:paraId="6C76DF0C" w14:textId="4C88F4E0"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r w:rsidRPr="00284D06">
        <w:rPr>
          <w:rFonts w:ascii="Calibri" w:eastAsia="Times New Roman" w:hAnsi="Calibri" w:cs="Calibri"/>
          <w:b/>
          <w:bCs/>
          <w:color w:val="000000"/>
        </w:rPr>
        <w:t>species</w:t>
      </w:r>
      <w:r w:rsidR="005E0C86" w:rsidRPr="00284D06">
        <w:rPr>
          <w:rFonts w:ascii="Calibri" w:eastAsia="Times New Roman" w:hAnsi="Calibri" w:cs="Calibri"/>
          <w:b/>
          <w:bCs/>
          <w:color w:val="000000"/>
        </w:rPr>
        <w:t xml:space="preserve">: </w:t>
      </w:r>
      <w:r w:rsidR="005E0C86" w:rsidRPr="00284D06">
        <w:t>Species of</w:t>
      </w:r>
      <w:r w:rsidR="00284D06" w:rsidRPr="00284D06">
        <w:t xml:space="preserve"> test</w:t>
      </w:r>
      <w:r w:rsidR="005E0C86" w:rsidRPr="00284D06">
        <w:t xml:space="preserve"> </w:t>
      </w:r>
      <w:r w:rsidR="00392951" w:rsidRPr="00284D06">
        <w:t>animal</w:t>
      </w:r>
      <w:r w:rsidR="005E0C86" w:rsidRPr="00284D06">
        <w:t xml:space="preserve"> used</w:t>
      </w:r>
      <w:r w:rsidR="00392951" w:rsidRPr="00284D06">
        <w:t>.</w:t>
      </w:r>
    </w:p>
    <w:p w14:paraId="2757BB42" w14:textId="3EB96534" w:rsidR="00223642" w:rsidRPr="00284D06" w:rsidRDefault="00392951" w:rsidP="00223642">
      <w:pPr>
        <w:pStyle w:val="ListParagraph"/>
        <w:numPr>
          <w:ilvl w:val="0"/>
          <w:numId w:val="4"/>
        </w:numPr>
        <w:spacing w:after="0" w:line="240" w:lineRule="auto"/>
        <w:rPr>
          <w:rFonts w:ascii="Calibri" w:eastAsia="Times New Roman" w:hAnsi="Calibri" w:cs="Calibri"/>
          <w:b/>
          <w:bCs/>
          <w:color w:val="000000"/>
        </w:rPr>
      </w:pPr>
      <w:r w:rsidRPr="00284D06">
        <w:rPr>
          <w:rFonts w:ascii="Calibri" w:eastAsia="Times New Roman" w:hAnsi="Calibri" w:cs="Calibri"/>
          <w:b/>
          <w:bCs/>
          <w:color w:val="000000"/>
        </w:rPr>
        <w:t>s</w:t>
      </w:r>
      <w:r w:rsidR="00223642" w:rsidRPr="00284D06">
        <w:rPr>
          <w:rFonts w:ascii="Calibri" w:eastAsia="Times New Roman" w:hAnsi="Calibri" w:cs="Calibri"/>
          <w:b/>
          <w:bCs/>
          <w:color w:val="000000"/>
        </w:rPr>
        <w:t>train</w:t>
      </w:r>
      <w:r w:rsidR="005E0C86" w:rsidRPr="00284D06">
        <w:rPr>
          <w:rFonts w:ascii="Calibri" w:eastAsia="Times New Roman" w:hAnsi="Calibri" w:cs="Calibri"/>
          <w:b/>
          <w:bCs/>
          <w:color w:val="000000"/>
        </w:rPr>
        <w:t xml:space="preserve">: </w:t>
      </w:r>
      <w:r w:rsidR="005E0C86" w:rsidRPr="00284D06">
        <w:t>Intraspecific description of group of animals used in a study; generally, a stock of animals that share a uniform morphological or physiological character, or group that is genetically uniform.</w:t>
      </w:r>
    </w:p>
    <w:p w14:paraId="6BB79C08" w14:textId="6FE4743B"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admin_route</w:t>
      </w:r>
      <w:proofErr w:type="spellEnd"/>
      <w:r w:rsidR="00392951" w:rsidRPr="00284D06">
        <w:rPr>
          <w:rFonts w:ascii="Calibri" w:eastAsia="Times New Roman" w:hAnsi="Calibri" w:cs="Calibri"/>
          <w:b/>
          <w:bCs/>
          <w:color w:val="000000"/>
        </w:rPr>
        <w:t xml:space="preserve">: </w:t>
      </w:r>
      <w:r w:rsidR="00392951" w:rsidRPr="00284D06">
        <w:rPr>
          <w:rFonts w:ascii="Calibri" w:eastAsia="Times New Roman" w:hAnsi="Calibri" w:cs="Calibri"/>
          <w:color w:val="000000"/>
        </w:rPr>
        <w:t>Path by which test substance is administered to animal. Options include oral, dermal, inhalation, injection, or other.</w:t>
      </w:r>
    </w:p>
    <w:p w14:paraId="7DE9BC90" w14:textId="5D43F196"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admin_method</w:t>
      </w:r>
      <w:proofErr w:type="spellEnd"/>
      <w:r w:rsidR="006D246B" w:rsidRPr="00284D06">
        <w:rPr>
          <w:rFonts w:ascii="Calibri" w:eastAsia="Times New Roman" w:hAnsi="Calibri" w:cs="Calibri"/>
          <w:b/>
          <w:bCs/>
          <w:color w:val="000000"/>
        </w:rPr>
        <w:t xml:space="preserve">: </w:t>
      </w:r>
      <w:r w:rsidR="00392951" w:rsidRPr="00284D06">
        <w:t>S</w:t>
      </w:r>
      <w:r w:rsidR="00392951" w:rsidRPr="00284D06">
        <w:t>pecific path by which the test substance was administered via the administration route. Examples include capsule, diet, gavage, or topical.</w:t>
      </w:r>
    </w:p>
    <w:p w14:paraId="0AF3E29E" w14:textId="575A0E4A"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dose_level</w:t>
      </w:r>
      <w:proofErr w:type="spellEnd"/>
      <w:r w:rsidR="006D246B" w:rsidRPr="00284D06">
        <w:rPr>
          <w:rFonts w:ascii="Calibri" w:eastAsia="Times New Roman" w:hAnsi="Calibri" w:cs="Calibri"/>
          <w:b/>
          <w:bCs/>
          <w:color w:val="000000"/>
        </w:rPr>
        <w:t xml:space="preserve">: </w:t>
      </w:r>
      <w:r w:rsidR="006D246B" w:rsidRPr="00284D06">
        <w:t>Numeric rank indicating the level of dose administered to test animals, with lower dose levels indicating lower concentrations of a chemical</w:t>
      </w:r>
      <w:r w:rsidR="006D246B" w:rsidRPr="00284D06">
        <w:t xml:space="preserve">, </w:t>
      </w:r>
      <w:r w:rsidR="006D246B" w:rsidRPr="00284D06">
        <w:t>e.g., 0 = vehicle, 1 = lowest dose, etc. The dose level for some studies may be staggered since concentrations may vary by sex</w:t>
      </w:r>
      <w:r w:rsidR="006D246B" w:rsidRPr="00284D06">
        <w:t xml:space="preserve">, </w:t>
      </w:r>
      <w:r w:rsidR="006D246B" w:rsidRPr="00284D06">
        <w:t>e.g., male treatment group: 0 = vehicle, 1 = lowest dose, 3 = second lowest dose, etc.</w:t>
      </w:r>
    </w:p>
    <w:p w14:paraId="49497614" w14:textId="3AE15BFF"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mg_kg_day_value</w:t>
      </w:r>
      <w:proofErr w:type="spellEnd"/>
      <w:r w:rsidR="006D246B" w:rsidRPr="00284D06">
        <w:rPr>
          <w:rFonts w:ascii="Calibri" w:eastAsia="Times New Roman" w:hAnsi="Calibri" w:cs="Calibri"/>
          <w:b/>
          <w:bCs/>
          <w:color w:val="000000"/>
        </w:rPr>
        <w:t xml:space="preserve">: </w:t>
      </w:r>
      <w:r w:rsidR="006D246B" w:rsidRPr="00284D06">
        <w:t>The mg/kg/day species-specific converted value</w:t>
      </w:r>
      <w:r w:rsidR="006D246B" w:rsidRPr="00284D06">
        <w:t>,</w:t>
      </w:r>
      <w:r w:rsidR="006D246B" w:rsidRPr="00284D06">
        <w:t xml:space="preserve"> </w:t>
      </w:r>
      <w:r w:rsidR="006D246B" w:rsidRPr="00284D06">
        <w:t>usually</w:t>
      </w:r>
      <w:r w:rsidR="001F13A2">
        <w:t xml:space="preserve"> converted</w:t>
      </w:r>
      <w:r w:rsidR="006D246B" w:rsidRPr="00284D06">
        <w:t xml:space="preserve"> </w:t>
      </w:r>
      <w:r w:rsidR="006D246B" w:rsidRPr="00284D06">
        <w:t>from ppm concentration</w:t>
      </w:r>
      <w:r w:rsidR="006D246B" w:rsidRPr="00284D06">
        <w:t xml:space="preserve">. </w:t>
      </w:r>
    </w:p>
    <w:p w14:paraId="2243BD53" w14:textId="17737EA8"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endpoint_category</w:t>
      </w:r>
      <w:proofErr w:type="spellEnd"/>
      <w:r w:rsidR="006D246B" w:rsidRPr="00284D06">
        <w:rPr>
          <w:rFonts w:ascii="Calibri" w:eastAsia="Times New Roman" w:hAnsi="Calibri" w:cs="Calibri"/>
          <w:b/>
          <w:bCs/>
          <w:color w:val="000000"/>
        </w:rPr>
        <w:t xml:space="preserve">: </w:t>
      </w:r>
      <w:r w:rsidR="006D246B" w:rsidRPr="00284D06">
        <w:t xml:space="preserve">The broadest descriptive term for an endpoint. Possible endpoint categories </w:t>
      </w:r>
      <w:proofErr w:type="gramStart"/>
      <w:r w:rsidR="006D246B" w:rsidRPr="00284D06">
        <w:t>include:</w:t>
      </w:r>
      <w:proofErr w:type="gramEnd"/>
      <w:r w:rsidR="006D246B" w:rsidRPr="00284D06">
        <w:t xml:space="preserve"> systemic, developmental, reproductive, and cholinesterase.</w:t>
      </w:r>
    </w:p>
    <w:p w14:paraId="1BC2EDC0" w14:textId="3A12B842"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endpoint_type</w:t>
      </w:r>
      <w:proofErr w:type="spellEnd"/>
      <w:r w:rsidR="006D246B" w:rsidRPr="00284D06">
        <w:rPr>
          <w:rFonts w:ascii="Calibri" w:eastAsia="Times New Roman" w:hAnsi="Calibri" w:cs="Calibri"/>
          <w:b/>
          <w:bCs/>
          <w:color w:val="000000"/>
        </w:rPr>
        <w:t xml:space="preserve">: </w:t>
      </w:r>
      <w:r w:rsidR="006D246B" w:rsidRPr="00284D06">
        <w:t xml:space="preserve">The subcategory for </w:t>
      </w:r>
      <w:proofErr w:type="spellStart"/>
      <w:r w:rsidR="006D246B" w:rsidRPr="00284D06">
        <w:t>endpoint_category</w:t>
      </w:r>
      <w:proofErr w:type="spellEnd"/>
      <w:r w:rsidR="006D246B" w:rsidRPr="00284D06">
        <w:t>, which is more descriptive for a particular endpoint</w:t>
      </w:r>
      <w:r w:rsidR="006D246B" w:rsidRPr="00284D06">
        <w:t xml:space="preserve">, </w:t>
      </w:r>
      <w:r w:rsidR="006D246B" w:rsidRPr="00284D06">
        <w:t>e.g. pathology gross, clinical chemistry, reproductive performance, etc.</w:t>
      </w:r>
    </w:p>
    <w:p w14:paraId="20279500" w14:textId="2F049EC1" w:rsidR="00223642" w:rsidRPr="00A94A38"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endpoint_target</w:t>
      </w:r>
      <w:proofErr w:type="spellEnd"/>
      <w:r w:rsidR="006D246B" w:rsidRPr="00284D06">
        <w:rPr>
          <w:rFonts w:ascii="Calibri" w:eastAsia="Times New Roman" w:hAnsi="Calibri" w:cs="Calibri"/>
          <w:b/>
          <w:bCs/>
          <w:color w:val="000000"/>
        </w:rPr>
        <w:t xml:space="preserve">: </w:t>
      </w:r>
      <w:r w:rsidR="00A94A38">
        <w:t>M</w:t>
      </w:r>
      <w:r w:rsidR="006D246B" w:rsidRPr="00284D06">
        <w:t>ore specific</w:t>
      </w:r>
      <w:r w:rsidR="00A94A38">
        <w:t xml:space="preserve"> description</w:t>
      </w:r>
      <w:r w:rsidR="006D246B" w:rsidRPr="00284D06">
        <w:t xml:space="preserve"> than </w:t>
      </w:r>
      <w:proofErr w:type="spellStart"/>
      <w:r w:rsidR="006D246B" w:rsidRPr="00284D06">
        <w:t>endpoint_type</w:t>
      </w:r>
      <w:proofErr w:type="spellEnd"/>
      <w:r w:rsidR="006D246B" w:rsidRPr="00284D06">
        <w:t xml:space="preserve">, </w:t>
      </w:r>
      <w:r w:rsidR="00A94A38">
        <w:t xml:space="preserve">often </w:t>
      </w:r>
      <w:r w:rsidR="006D246B" w:rsidRPr="00284D06">
        <w:t>indicating where</w:t>
      </w:r>
      <w:r w:rsidR="00A94A38">
        <w:t xml:space="preserve"> or </w:t>
      </w:r>
      <w:r w:rsidR="006D246B" w:rsidRPr="00284D06">
        <w:t>how the sample was collected to supply data for a particular endpoint. T</w:t>
      </w:r>
      <w:r w:rsidR="00A94A38">
        <w:t>arget may</w:t>
      </w:r>
      <w:r w:rsidR="006D246B" w:rsidRPr="00284D06">
        <w:t xml:space="preserve"> describe an organ</w:t>
      </w:r>
      <w:r w:rsidR="00A94A38">
        <w:t xml:space="preserve">, </w:t>
      </w:r>
      <w:r w:rsidR="006D246B" w:rsidRPr="00284D06">
        <w:t>tissue</w:t>
      </w:r>
      <w:r w:rsidR="00A94A38">
        <w:t xml:space="preserve">, </w:t>
      </w:r>
      <w:r w:rsidR="006D246B" w:rsidRPr="00284D06">
        <w:t>metabolite</w:t>
      </w:r>
      <w:r w:rsidR="00A94A38">
        <w:t xml:space="preserve">, or </w:t>
      </w:r>
      <w:r w:rsidR="006D246B" w:rsidRPr="00284D06">
        <w:t>protein measured.</w:t>
      </w:r>
    </w:p>
    <w:p w14:paraId="298BE7F5" w14:textId="4CFBAF4F"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effect_desc</w:t>
      </w:r>
      <w:proofErr w:type="spellEnd"/>
      <w:r w:rsidR="006D246B" w:rsidRPr="00284D06">
        <w:rPr>
          <w:rFonts w:ascii="Calibri" w:eastAsia="Times New Roman" w:hAnsi="Calibri" w:cs="Calibri"/>
          <w:b/>
          <w:bCs/>
          <w:color w:val="000000"/>
        </w:rPr>
        <w:t xml:space="preserve">: </w:t>
      </w:r>
      <w:r w:rsidR="006D246B" w:rsidRPr="00284D06">
        <w:t>S</w:t>
      </w:r>
      <w:r w:rsidR="006D246B" w:rsidRPr="00284D06">
        <w:t xml:space="preserve">pecific description for an effect, usually detailing a specific condition associated with an </w:t>
      </w:r>
      <w:proofErr w:type="spellStart"/>
      <w:r w:rsidR="006D246B" w:rsidRPr="00284D06">
        <w:t>endpoint_target</w:t>
      </w:r>
      <w:proofErr w:type="spellEnd"/>
      <w:r w:rsidR="006D246B" w:rsidRPr="00284D06">
        <w:t xml:space="preserve">, </w:t>
      </w:r>
      <w:r w:rsidR="006D246B" w:rsidRPr="00284D06">
        <w:t>e.g. dysplasia, atrophy, necrosis, etc.</w:t>
      </w:r>
    </w:p>
    <w:p w14:paraId="774E7C5D" w14:textId="0DEE14E3"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lastRenderedPageBreak/>
        <w:t>dtg_effect_comment</w:t>
      </w:r>
      <w:proofErr w:type="spellEnd"/>
      <w:r w:rsidR="006D246B" w:rsidRPr="00284D06">
        <w:rPr>
          <w:rFonts w:ascii="Calibri" w:eastAsia="Times New Roman" w:hAnsi="Calibri" w:cs="Calibri"/>
          <w:b/>
          <w:bCs/>
          <w:color w:val="000000"/>
        </w:rPr>
        <w:t xml:space="preserve">: </w:t>
      </w:r>
      <w:r w:rsidR="006D246B" w:rsidRPr="00284D06">
        <w:t>NULL if no additional comment needed</w:t>
      </w:r>
      <w:r w:rsidR="00EA2F92">
        <w:t>.</w:t>
      </w:r>
      <w:r w:rsidR="006D246B" w:rsidRPr="00284D06">
        <w:t xml:space="preserve"> </w:t>
      </w:r>
      <w:r w:rsidR="00EA2F92">
        <w:t xml:space="preserve">Field </w:t>
      </w:r>
      <w:r w:rsidR="006D246B" w:rsidRPr="00284D06">
        <w:t>provides additional explanation of the dose-treatment</w:t>
      </w:r>
      <w:r w:rsidR="00EA2F92">
        <w:t xml:space="preserve"> </w:t>
      </w:r>
      <w:r w:rsidR="006D246B" w:rsidRPr="00284D06">
        <w:t>group-effect row in the table, including statistical significance.</w:t>
      </w:r>
    </w:p>
    <w:p w14:paraId="1905FE3D" w14:textId="6518BEB0"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treatment_related</w:t>
      </w:r>
      <w:proofErr w:type="spellEnd"/>
      <w:r w:rsidR="005E0C86" w:rsidRPr="00284D06">
        <w:rPr>
          <w:rFonts w:ascii="Calibri" w:eastAsia="Times New Roman" w:hAnsi="Calibri" w:cs="Calibri"/>
          <w:b/>
          <w:bCs/>
          <w:color w:val="000000"/>
        </w:rPr>
        <w:t xml:space="preserve">: </w:t>
      </w:r>
      <w:r w:rsidR="005E0C86" w:rsidRPr="00284D06">
        <w:t>B</w:t>
      </w:r>
      <w:r w:rsidR="00392951" w:rsidRPr="00284D06">
        <w:t>oolean</w:t>
      </w:r>
      <w:r w:rsidR="005E0C86" w:rsidRPr="00284D06">
        <w:t xml:space="preserve"> description for an effect by dose treatment group. “</w:t>
      </w:r>
      <w:r w:rsidR="00284D06" w:rsidRPr="00284D06">
        <w:t>TRUE</w:t>
      </w:r>
      <w:r w:rsidR="005E0C86" w:rsidRPr="00284D06">
        <w:t>” indicates there was a statistically significant difference from the control group for the effect; “</w:t>
      </w:r>
      <w:r w:rsidR="00284D06" w:rsidRPr="00284D06">
        <w:t>FALSE</w:t>
      </w:r>
      <w:r w:rsidR="005E0C86" w:rsidRPr="00284D06">
        <w:t>” indicates there was no difference from control group. The highest dose level at which no significant observable adverse effects were observed corresponds to the no effect level (NEL). The lowest effect level (LEL) can be inferred by treatment related effects.</w:t>
      </w:r>
    </w:p>
    <w:p w14:paraId="15F726C8" w14:textId="2FF496DC"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critical_effect</w:t>
      </w:r>
      <w:proofErr w:type="spellEnd"/>
      <w:r w:rsidR="006D246B" w:rsidRPr="00284D06">
        <w:rPr>
          <w:rFonts w:ascii="Calibri" w:eastAsia="Times New Roman" w:hAnsi="Calibri" w:cs="Calibri"/>
          <w:b/>
          <w:bCs/>
          <w:color w:val="000000"/>
        </w:rPr>
        <w:t xml:space="preserve">: </w:t>
      </w:r>
      <w:r w:rsidR="006D246B" w:rsidRPr="00284D06">
        <w:t>B</w:t>
      </w:r>
      <w:r w:rsidR="00392951" w:rsidRPr="00284D06">
        <w:t>oolean</w:t>
      </w:r>
      <w:r w:rsidR="006D246B" w:rsidRPr="00284D06">
        <w:t xml:space="preserve"> description for an effect by dose treatment group. “</w:t>
      </w:r>
      <w:r w:rsidR="00392951" w:rsidRPr="00284D06">
        <w:t>TRUE</w:t>
      </w:r>
      <w:r w:rsidR="006D246B" w:rsidRPr="00284D06">
        <w:t>” corresponds to a toxic or adverse effect denoted in the study summary or via expert judgement using a weight-of-evidence approach. “</w:t>
      </w:r>
      <w:r w:rsidR="00392951" w:rsidRPr="00284D06">
        <w:t>FALSE</w:t>
      </w:r>
      <w:r w:rsidR="006D246B" w:rsidRPr="00284D06">
        <w:t>” indicates that although an effect is produced at this level, it is not considered adverse, nor immediate precursors to specific adverse effects. If there are several critical effects, the no observed adverse effect level (NOAEL) is determined from the highest dose level without critical effects. The lowest dose level at which the critical effect was observed in a study is the lowest observed adverse effect level (LOAEL.)</w:t>
      </w:r>
    </w:p>
    <w:p w14:paraId="4597781C" w14:textId="249AB956"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effect_val</w:t>
      </w:r>
      <w:proofErr w:type="spellEnd"/>
      <w:r w:rsidR="006D246B" w:rsidRPr="00284D06">
        <w:rPr>
          <w:rFonts w:ascii="Calibri" w:eastAsia="Times New Roman" w:hAnsi="Calibri" w:cs="Calibri"/>
          <w:b/>
          <w:bCs/>
          <w:color w:val="000000"/>
        </w:rPr>
        <w:t xml:space="preserve">: </w:t>
      </w:r>
      <w:r w:rsidR="006D246B" w:rsidRPr="00284D06">
        <w:t>Numeric value of a measured effect</w:t>
      </w:r>
      <w:r w:rsidR="001F13A2">
        <w:t>;</w:t>
      </w:r>
      <w:r w:rsidR="006D246B" w:rsidRPr="00284D06">
        <w:t xml:space="preserve"> can be continuous or dichotomous (incidence) data.</w:t>
      </w:r>
    </w:p>
    <w:p w14:paraId="5EE79F83" w14:textId="084BFE1C"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effect_val_unit</w:t>
      </w:r>
      <w:proofErr w:type="spellEnd"/>
      <w:r w:rsidR="006D246B" w:rsidRPr="00284D06">
        <w:rPr>
          <w:rFonts w:ascii="Calibri" w:eastAsia="Times New Roman" w:hAnsi="Calibri" w:cs="Calibri"/>
          <w:b/>
          <w:bCs/>
          <w:color w:val="000000"/>
        </w:rPr>
        <w:t xml:space="preserve">: </w:t>
      </w:r>
      <w:r w:rsidR="006D246B" w:rsidRPr="00284D06">
        <w:t>Unit associated with the effect value.</w:t>
      </w:r>
    </w:p>
    <w:p w14:paraId="76DF6085" w14:textId="697E4A69"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effect_var</w:t>
      </w:r>
      <w:proofErr w:type="spellEnd"/>
      <w:r w:rsidR="006D246B" w:rsidRPr="00284D06">
        <w:rPr>
          <w:rFonts w:ascii="Calibri" w:eastAsia="Times New Roman" w:hAnsi="Calibri" w:cs="Calibri"/>
          <w:b/>
          <w:bCs/>
          <w:color w:val="000000"/>
        </w:rPr>
        <w:t xml:space="preserve">: </w:t>
      </w:r>
      <w:r w:rsidR="006D246B" w:rsidRPr="00284D06">
        <w:t>Measurement of the variance for a set of data associated with a measured effect, generally reported as the standard deviation (SD) or standard error (SE).</w:t>
      </w:r>
    </w:p>
    <w:p w14:paraId="7286B8C9" w14:textId="1E4B1B7D"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effect_var_type</w:t>
      </w:r>
      <w:proofErr w:type="spellEnd"/>
      <w:r w:rsidR="006D246B" w:rsidRPr="00284D06">
        <w:rPr>
          <w:rFonts w:ascii="Calibri" w:eastAsia="Times New Roman" w:hAnsi="Calibri" w:cs="Calibri"/>
          <w:b/>
          <w:bCs/>
          <w:color w:val="000000"/>
        </w:rPr>
        <w:t xml:space="preserve">: </w:t>
      </w:r>
      <w:r w:rsidR="006D246B" w:rsidRPr="00284D06">
        <w:t xml:space="preserve">Name of the variance metric used to determine the effect variance, typically the standard deviation (SD) or standard error (SE). Other </w:t>
      </w:r>
      <w:proofErr w:type="spellStart"/>
      <w:r w:rsidR="006D246B" w:rsidRPr="00284D06">
        <w:t>effect_var</w:t>
      </w:r>
      <w:proofErr w:type="spellEnd"/>
      <w:r w:rsidR="006D246B" w:rsidRPr="00284D06">
        <w:t xml:space="preserve"> types </w:t>
      </w:r>
      <w:proofErr w:type="gramStart"/>
      <w:r w:rsidR="006D246B" w:rsidRPr="00284D06">
        <w:t>include:</w:t>
      </w:r>
      <w:proofErr w:type="gramEnd"/>
      <w:r w:rsidR="006D246B" w:rsidRPr="00284D06">
        <w:t xml:space="preserve"> interquartile range, 95% confidence limit, and none.</w:t>
      </w:r>
    </w:p>
    <w:p w14:paraId="356BFB92" w14:textId="6424E3F9" w:rsidR="00223642" w:rsidRPr="00284D06" w:rsidRDefault="00223642" w:rsidP="00223642">
      <w:pPr>
        <w:pStyle w:val="ListParagraph"/>
        <w:numPr>
          <w:ilvl w:val="0"/>
          <w:numId w:val="4"/>
        </w:numPr>
        <w:spacing w:after="0" w:line="240" w:lineRule="auto"/>
        <w:rPr>
          <w:rFonts w:ascii="Calibri" w:eastAsia="Times New Roman" w:hAnsi="Calibri" w:cs="Calibri"/>
          <w:b/>
          <w:bCs/>
          <w:color w:val="000000"/>
        </w:rPr>
      </w:pPr>
      <w:proofErr w:type="spellStart"/>
      <w:r w:rsidRPr="00284D06">
        <w:rPr>
          <w:rFonts w:ascii="Calibri" w:eastAsia="Times New Roman" w:hAnsi="Calibri" w:cs="Calibri"/>
          <w:b/>
          <w:bCs/>
          <w:color w:val="000000"/>
        </w:rPr>
        <w:t>sample_size</w:t>
      </w:r>
      <w:proofErr w:type="spellEnd"/>
      <w:r w:rsidR="006D246B" w:rsidRPr="00284D06">
        <w:rPr>
          <w:rFonts w:ascii="Calibri" w:eastAsia="Times New Roman" w:hAnsi="Calibri" w:cs="Calibri"/>
          <w:b/>
          <w:bCs/>
          <w:color w:val="000000"/>
        </w:rPr>
        <w:t xml:space="preserve">: </w:t>
      </w:r>
      <w:r w:rsidR="00A94A38" w:rsidRPr="00A94A38">
        <w:t>Number of animals used for an examination for a particular effect.</w:t>
      </w:r>
    </w:p>
    <w:p w14:paraId="351F1F36" w14:textId="7D32AA54" w:rsidR="00223642" w:rsidRPr="00284D06" w:rsidRDefault="00223642" w:rsidP="00223642">
      <w:pPr>
        <w:pStyle w:val="ListParagraph"/>
        <w:numPr>
          <w:ilvl w:val="0"/>
          <w:numId w:val="4"/>
        </w:numPr>
        <w:autoSpaceDE w:val="0"/>
        <w:autoSpaceDN w:val="0"/>
        <w:adjustRightInd w:val="0"/>
        <w:spacing w:after="0" w:line="240" w:lineRule="auto"/>
        <w:rPr>
          <w:rFonts w:ascii="Calibri" w:eastAsia="Times New Roman" w:hAnsi="Calibri" w:cs="Calibri"/>
          <w:b/>
          <w:bCs/>
          <w:i/>
          <w:iCs/>
          <w:color w:val="000000"/>
        </w:rPr>
      </w:pPr>
      <w:proofErr w:type="spellStart"/>
      <w:r w:rsidRPr="00284D06">
        <w:rPr>
          <w:rFonts w:ascii="Calibri" w:eastAsia="Times New Roman" w:hAnsi="Calibri" w:cs="Calibri"/>
          <w:b/>
          <w:bCs/>
          <w:color w:val="000000"/>
        </w:rPr>
        <w:t>effect_size</w:t>
      </w:r>
      <w:proofErr w:type="spellEnd"/>
      <w:r w:rsidRPr="00284D06">
        <w:rPr>
          <w:rFonts w:ascii="Calibri" w:eastAsia="Times New Roman" w:hAnsi="Calibri" w:cs="Calibri"/>
          <w:b/>
          <w:bCs/>
          <w:color w:val="000000"/>
        </w:rPr>
        <w:t xml:space="preserve">:  </w:t>
      </w:r>
      <w:r w:rsidRPr="00284D06">
        <w:rPr>
          <w:rFonts w:ascii="Calibri" w:eastAsia="Times New Roman" w:hAnsi="Calibri" w:cs="Calibri"/>
          <w:i/>
          <w:iCs/>
          <w:color w:val="000000"/>
        </w:rPr>
        <w:t>Corresponds to LE-ALW or LE-RLW as defined in the Dataset description section</w:t>
      </w:r>
    </w:p>
    <w:p w14:paraId="0B67B0B8" w14:textId="0065EE03" w:rsidR="00223642" w:rsidRPr="00284D06" w:rsidRDefault="00223642" w:rsidP="00223642">
      <w:pPr>
        <w:pStyle w:val="ListParagraph"/>
        <w:numPr>
          <w:ilvl w:val="0"/>
          <w:numId w:val="4"/>
        </w:numPr>
        <w:autoSpaceDE w:val="0"/>
        <w:autoSpaceDN w:val="0"/>
        <w:adjustRightInd w:val="0"/>
        <w:spacing w:after="0" w:line="240" w:lineRule="auto"/>
        <w:rPr>
          <w:rFonts w:ascii="Calibri" w:hAnsi="Calibri" w:cs="Calibri"/>
          <w:b/>
          <w:bCs/>
        </w:rPr>
      </w:pPr>
      <w:proofErr w:type="spellStart"/>
      <w:r w:rsidRPr="00284D06">
        <w:rPr>
          <w:rFonts w:ascii="Calibri" w:eastAsia="Times New Roman" w:hAnsi="Calibri" w:cs="Calibri"/>
          <w:b/>
          <w:bCs/>
          <w:color w:val="000000"/>
        </w:rPr>
        <w:t>pathology_liver_effect_descriptions</w:t>
      </w:r>
      <w:proofErr w:type="spellEnd"/>
      <w:r w:rsidR="005E0C86" w:rsidRPr="00284D06">
        <w:rPr>
          <w:rFonts w:ascii="Calibri" w:eastAsia="Times New Roman" w:hAnsi="Calibri" w:cs="Calibri"/>
          <w:b/>
          <w:bCs/>
          <w:color w:val="000000"/>
        </w:rPr>
        <w:t xml:space="preserve">: </w:t>
      </w:r>
      <w:r w:rsidR="005E0C86" w:rsidRPr="00284D06">
        <w:rPr>
          <w:rFonts w:ascii="Calibri" w:eastAsia="Times New Roman" w:hAnsi="Calibri" w:cs="Calibri"/>
          <w:color w:val="000000"/>
        </w:rPr>
        <w:t xml:space="preserve">List of histopathological </w:t>
      </w:r>
      <w:proofErr w:type="spellStart"/>
      <w:r w:rsidR="005E0C86" w:rsidRPr="00284D06">
        <w:rPr>
          <w:rFonts w:ascii="Calibri" w:eastAsia="Times New Roman" w:hAnsi="Calibri" w:cs="Calibri"/>
          <w:color w:val="000000"/>
        </w:rPr>
        <w:t>effect</w:t>
      </w:r>
      <w:r w:rsidR="00284D06" w:rsidRPr="00284D06">
        <w:rPr>
          <w:rFonts w:ascii="Calibri" w:eastAsia="Times New Roman" w:hAnsi="Calibri" w:cs="Calibri"/>
          <w:color w:val="000000"/>
        </w:rPr>
        <w:t>_</w:t>
      </w:r>
      <w:r w:rsidR="005E0C86" w:rsidRPr="00284D06">
        <w:rPr>
          <w:rFonts w:ascii="Calibri" w:eastAsia="Times New Roman" w:hAnsi="Calibri" w:cs="Calibri"/>
          <w:color w:val="000000"/>
        </w:rPr>
        <w:t>desc</w:t>
      </w:r>
      <w:proofErr w:type="spellEnd"/>
      <w:r w:rsidR="005E0C86" w:rsidRPr="00284D06">
        <w:rPr>
          <w:rFonts w:ascii="Calibri" w:eastAsia="Times New Roman" w:hAnsi="Calibri" w:cs="Calibri"/>
          <w:color w:val="000000"/>
        </w:rPr>
        <w:t xml:space="preserve"> associated </w:t>
      </w:r>
      <w:r w:rsidR="00284D06" w:rsidRPr="00284D06">
        <w:rPr>
          <w:rFonts w:ascii="Calibri" w:eastAsia="Times New Roman" w:hAnsi="Calibri" w:cs="Calibri"/>
          <w:color w:val="000000"/>
        </w:rPr>
        <w:t>at same dose level as</w:t>
      </w:r>
      <w:r w:rsidR="005E0C86" w:rsidRPr="00284D06">
        <w:rPr>
          <w:rFonts w:ascii="Calibri" w:eastAsia="Times New Roman" w:hAnsi="Calibri" w:cs="Calibri"/>
          <w:color w:val="000000"/>
        </w:rPr>
        <w:t xml:space="preserve"> </w:t>
      </w:r>
      <w:r w:rsidR="00284D06" w:rsidRPr="00284D06">
        <w:rPr>
          <w:rFonts w:ascii="Calibri" w:eastAsia="Times New Roman" w:hAnsi="Calibri" w:cs="Calibri"/>
          <w:i/>
          <w:iCs/>
          <w:color w:val="000000"/>
        </w:rPr>
        <w:t>LE-ALW or LE-RL</w:t>
      </w:r>
      <w:r w:rsidR="00284D06" w:rsidRPr="00284D06">
        <w:rPr>
          <w:rFonts w:ascii="Calibri" w:eastAsia="Times New Roman" w:hAnsi="Calibri" w:cs="Calibri"/>
          <w:i/>
          <w:iCs/>
          <w:color w:val="000000"/>
        </w:rPr>
        <w:t>W.</w:t>
      </w:r>
    </w:p>
    <w:p w14:paraId="5B84F8B0" w14:textId="17455227" w:rsidR="00223642" w:rsidRDefault="00223642" w:rsidP="00F3609E">
      <w:pPr>
        <w:autoSpaceDE w:val="0"/>
        <w:autoSpaceDN w:val="0"/>
        <w:adjustRightInd w:val="0"/>
        <w:spacing w:after="0" w:line="240" w:lineRule="auto"/>
        <w:rPr>
          <w:rFonts w:ascii="Calibri" w:hAnsi="Calibri" w:cs="Calibri"/>
        </w:rPr>
      </w:pPr>
    </w:p>
    <w:p w14:paraId="69B5BC9A" w14:textId="5E44F3A8" w:rsidR="00104A3E" w:rsidRPr="00F3609E" w:rsidRDefault="00104A3E" w:rsidP="00F3609E">
      <w:pPr>
        <w:autoSpaceDE w:val="0"/>
        <w:autoSpaceDN w:val="0"/>
        <w:adjustRightInd w:val="0"/>
        <w:spacing w:after="0" w:line="240" w:lineRule="auto"/>
        <w:rPr>
          <w:rFonts w:ascii="Calibri" w:hAnsi="Calibri" w:cs="Calibri"/>
          <w:u w:val="single"/>
        </w:rPr>
      </w:pPr>
      <w:r w:rsidRPr="00F3609E">
        <w:rPr>
          <w:rFonts w:ascii="Calibri" w:hAnsi="Calibri" w:cs="Calibri"/>
          <w:u w:val="single"/>
        </w:rPr>
        <w:t>Units of measurements</w:t>
      </w:r>
      <w:r w:rsidR="0034316B" w:rsidRPr="00F3609E">
        <w:rPr>
          <w:rFonts w:ascii="Calibri" w:hAnsi="Calibri" w:cs="Calibri"/>
          <w:u w:val="single"/>
        </w:rPr>
        <w:t>:</w:t>
      </w:r>
    </w:p>
    <w:p w14:paraId="260B370C" w14:textId="4D0C8EE8" w:rsidR="00F3609E" w:rsidRPr="00223642" w:rsidRDefault="00F3609E" w:rsidP="00223642">
      <w:pPr>
        <w:pStyle w:val="ListParagraph"/>
        <w:numPr>
          <w:ilvl w:val="0"/>
          <w:numId w:val="2"/>
        </w:numPr>
        <w:autoSpaceDE w:val="0"/>
        <w:autoSpaceDN w:val="0"/>
        <w:adjustRightInd w:val="0"/>
        <w:spacing w:after="0" w:line="240" w:lineRule="auto"/>
        <w:rPr>
          <w:rFonts w:ascii="Calibri" w:hAnsi="Calibri" w:cs="Calibri"/>
        </w:rPr>
      </w:pPr>
      <w:proofErr w:type="spellStart"/>
      <w:r w:rsidRPr="00223642">
        <w:rPr>
          <w:rFonts w:ascii="Calibri" w:hAnsi="Calibri" w:cs="Calibri"/>
        </w:rPr>
        <w:t>Effect_size</w:t>
      </w:r>
      <w:proofErr w:type="spellEnd"/>
      <w:r w:rsidRPr="00223642">
        <w:rPr>
          <w:rFonts w:ascii="Calibri" w:hAnsi="Calibri" w:cs="Calibri"/>
        </w:rPr>
        <w:t>: %</w:t>
      </w:r>
    </w:p>
    <w:p w14:paraId="75D339BD" w14:textId="2A28041A" w:rsidR="00F3609E" w:rsidRPr="00223642" w:rsidRDefault="00F3609E" w:rsidP="00223642">
      <w:pPr>
        <w:pStyle w:val="ListParagraph"/>
        <w:numPr>
          <w:ilvl w:val="0"/>
          <w:numId w:val="2"/>
        </w:numPr>
        <w:autoSpaceDE w:val="0"/>
        <w:autoSpaceDN w:val="0"/>
        <w:adjustRightInd w:val="0"/>
        <w:spacing w:after="0" w:line="240" w:lineRule="auto"/>
        <w:rPr>
          <w:rFonts w:ascii="Calibri" w:hAnsi="Calibri" w:cs="Calibri"/>
        </w:rPr>
      </w:pPr>
      <w:r w:rsidRPr="00223642">
        <w:rPr>
          <w:rFonts w:ascii="Calibri" w:hAnsi="Calibri" w:cs="Calibri"/>
        </w:rPr>
        <w:t xml:space="preserve">All other variables have units of measurements described in specific columns </w:t>
      </w:r>
    </w:p>
    <w:p w14:paraId="2CEEDD0A" w14:textId="77777777" w:rsidR="00F3609E" w:rsidRPr="00F3609E" w:rsidRDefault="00F3609E" w:rsidP="00F3609E">
      <w:pPr>
        <w:autoSpaceDE w:val="0"/>
        <w:autoSpaceDN w:val="0"/>
        <w:adjustRightInd w:val="0"/>
        <w:spacing w:after="0" w:line="240" w:lineRule="auto"/>
        <w:rPr>
          <w:rFonts w:ascii="Calibri" w:hAnsi="Calibri" w:cs="Calibri"/>
        </w:rPr>
      </w:pPr>
    </w:p>
    <w:p w14:paraId="46946B54" w14:textId="77777777" w:rsidR="00F3609E" w:rsidRPr="00F3609E" w:rsidRDefault="00F3609E" w:rsidP="00F3609E">
      <w:pPr>
        <w:autoSpaceDE w:val="0"/>
        <w:autoSpaceDN w:val="0"/>
        <w:adjustRightInd w:val="0"/>
        <w:spacing w:after="0" w:line="240" w:lineRule="auto"/>
        <w:rPr>
          <w:rFonts w:ascii="Calibri" w:hAnsi="Calibri" w:cs="Calibri"/>
        </w:rPr>
      </w:pPr>
    </w:p>
    <w:p w14:paraId="7C114E63" w14:textId="2B058242" w:rsidR="00104A3E" w:rsidRPr="00F3609E" w:rsidRDefault="00104A3E" w:rsidP="00F3609E">
      <w:pPr>
        <w:autoSpaceDE w:val="0"/>
        <w:autoSpaceDN w:val="0"/>
        <w:adjustRightInd w:val="0"/>
        <w:spacing w:after="0" w:line="240" w:lineRule="auto"/>
        <w:rPr>
          <w:rFonts w:ascii="Calibri" w:hAnsi="Calibri" w:cs="Calibri"/>
          <w:u w:val="single"/>
        </w:rPr>
      </w:pPr>
      <w:r w:rsidRPr="00F3609E">
        <w:rPr>
          <w:rFonts w:ascii="Calibri" w:hAnsi="Calibri" w:cs="Calibri"/>
          <w:u w:val="single"/>
        </w:rPr>
        <w:t>Meaning of variables (e.g., data dictionary)</w:t>
      </w:r>
      <w:r w:rsidR="0034316B" w:rsidRPr="00F3609E">
        <w:rPr>
          <w:rFonts w:ascii="Calibri" w:hAnsi="Calibri" w:cs="Calibri"/>
          <w:u w:val="single"/>
        </w:rPr>
        <w:t xml:space="preserve">: </w:t>
      </w:r>
    </w:p>
    <w:p w14:paraId="3E139142" w14:textId="0C901211" w:rsidR="00223642" w:rsidRPr="00F3609E" w:rsidRDefault="00223642" w:rsidP="00F3609E">
      <w:pPr>
        <w:autoSpaceDE w:val="0"/>
        <w:autoSpaceDN w:val="0"/>
        <w:adjustRightInd w:val="0"/>
        <w:spacing w:after="0" w:line="240" w:lineRule="auto"/>
        <w:rPr>
          <w:rFonts w:ascii="Calibri" w:hAnsi="Calibri" w:cs="Calibri"/>
        </w:rPr>
      </w:pPr>
      <w:r>
        <w:rPr>
          <w:rFonts w:ascii="Calibri" w:hAnsi="Calibri" w:cs="Calibri"/>
        </w:rPr>
        <w:t xml:space="preserve">Described in definition of data variables. </w:t>
      </w:r>
    </w:p>
    <w:p w14:paraId="5A6AA1F1" w14:textId="77777777" w:rsidR="00EC77C7" w:rsidRPr="00F3609E" w:rsidRDefault="00EC77C7" w:rsidP="00F3609E">
      <w:pPr>
        <w:autoSpaceDE w:val="0"/>
        <w:autoSpaceDN w:val="0"/>
        <w:adjustRightInd w:val="0"/>
        <w:spacing w:after="0" w:line="240" w:lineRule="auto"/>
        <w:rPr>
          <w:rFonts w:ascii="Calibri" w:hAnsi="Calibri" w:cs="Calibri"/>
        </w:rPr>
      </w:pPr>
    </w:p>
    <w:p w14:paraId="29EEE17F" w14:textId="77777777" w:rsidR="0034316B" w:rsidRPr="00F3609E" w:rsidRDefault="00104A3E" w:rsidP="00F3609E">
      <w:pPr>
        <w:spacing w:after="0" w:line="240" w:lineRule="auto"/>
        <w:rPr>
          <w:rFonts w:ascii="Calibri" w:hAnsi="Calibri" w:cs="Calibri"/>
          <w:u w:val="single"/>
        </w:rPr>
      </w:pPr>
      <w:r w:rsidRPr="00F3609E">
        <w:rPr>
          <w:rFonts w:ascii="Calibri" w:hAnsi="Calibri" w:cs="Calibri"/>
          <w:u w:val="single"/>
        </w:rPr>
        <w:t>Descriptions of sample types</w:t>
      </w:r>
    </w:p>
    <w:p w14:paraId="50CB230D" w14:textId="2665DEDE" w:rsidR="0034316B" w:rsidRPr="00F3609E" w:rsidRDefault="00F3609E" w:rsidP="00F3609E">
      <w:pPr>
        <w:spacing w:after="0" w:line="240" w:lineRule="auto"/>
        <w:rPr>
          <w:rFonts w:ascii="Calibri" w:hAnsi="Calibri" w:cs="Calibri"/>
        </w:rPr>
      </w:pPr>
      <w:r w:rsidRPr="00F3609E">
        <w:rPr>
          <w:rFonts w:ascii="Calibri" w:hAnsi="Calibri" w:cs="Calibri"/>
        </w:rPr>
        <w:t>Each line corresponds to a single chemical-species-sex-route of administration</w:t>
      </w:r>
      <w:r w:rsidR="00223642">
        <w:rPr>
          <w:rFonts w:ascii="Calibri" w:hAnsi="Calibri" w:cs="Calibri"/>
        </w:rPr>
        <w:t xml:space="preserve"> and shows LE-ALW or LE-RLW values</w:t>
      </w:r>
      <w:r w:rsidR="00CB56F7">
        <w:rPr>
          <w:rFonts w:ascii="Calibri" w:hAnsi="Calibri" w:cs="Calibri"/>
        </w:rPr>
        <w:t xml:space="preserve"> and associated histopathologic changes </w:t>
      </w:r>
      <w:r w:rsidR="00223642">
        <w:rPr>
          <w:rFonts w:ascii="Calibri" w:hAnsi="Calibri" w:cs="Calibri"/>
        </w:rPr>
        <w:t xml:space="preserve"> </w:t>
      </w:r>
      <w:r>
        <w:rPr>
          <w:rFonts w:ascii="Calibri" w:hAnsi="Calibri" w:cs="Calibri"/>
        </w:rPr>
        <w:t xml:space="preserve">  </w:t>
      </w:r>
    </w:p>
    <w:p w14:paraId="26EC3F50" w14:textId="77777777" w:rsidR="0034316B" w:rsidRPr="00F3609E" w:rsidRDefault="0034316B" w:rsidP="00F3609E">
      <w:pPr>
        <w:spacing w:line="240" w:lineRule="auto"/>
        <w:rPr>
          <w:rFonts w:ascii="Calibri" w:hAnsi="Calibri" w:cs="Calibri"/>
          <w:b/>
          <w:bCs/>
        </w:rPr>
      </w:pPr>
    </w:p>
    <w:sectPr w:rsidR="0034316B" w:rsidRPr="00F360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F626" w14:textId="77777777" w:rsidR="00E46C31" w:rsidRDefault="00E46C31" w:rsidP="00E46C31">
      <w:pPr>
        <w:spacing w:after="0" w:line="240" w:lineRule="auto"/>
      </w:pPr>
      <w:r>
        <w:separator/>
      </w:r>
    </w:p>
  </w:endnote>
  <w:endnote w:type="continuationSeparator" w:id="0">
    <w:p w14:paraId="3E349468" w14:textId="77777777" w:rsidR="00E46C31" w:rsidRDefault="00E46C31" w:rsidP="00E4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564071"/>
      <w:docPartObj>
        <w:docPartGallery w:val="Page Numbers (Bottom of Page)"/>
        <w:docPartUnique/>
      </w:docPartObj>
    </w:sdtPr>
    <w:sdtEndPr>
      <w:rPr>
        <w:noProof/>
      </w:rPr>
    </w:sdtEndPr>
    <w:sdtContent>
      <w:p w14:paraId="58439383" w14:textId="276AD47F" w:rsidR="00E46C31" w:rsidRDefault="00E46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596E1" w14:textId="77777777" w:rsidR="00E46C31" w:rsidRDefault="00E4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0B09" w14:textId="77777777" w:rsidR="00E46C31" w:rsidRDefault="00E46C31" w:rsidP="00E46C31">
      <w:pPr>
        <w:spacing w:after="0" w:line="240" w:lineRule="auto"/>
      </w:pPr>
      <w:r>
        <w:separator/>
      </w:r>
    </w:p>
  </w:footnote>
  <w:footnote w:type="continuationSeparator" w:id="0">
    <w:p w14:paraId="3EDDEEC6" w14:textId="77777777" w:rsidR="00E46C31" w:rsidRDefault="00E46C31" w:rsidP="00E46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BF2"/>
    <w:multiLevelType w:val="hybridMultilevel"/>
    <w:tmpl w:val="F318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E6109"/>
    <w:multiLevelType w:val="hybridMultilevel"/>
    <w:tmpl w:val="573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A78AC"/>
    <w:multiLevelType w:val="hybridMultilevel"/>
    <w:tmpl w:val="BD92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D68B9"/>
    <w:multiLevelType w:val="hybridMultilevel"/>
    <w:tmpl w:val="4B5C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828948">
    <w:abstractNumId w:val="2"/>
  </w:num>
  <w:num w:numId="2" w16cid:durableId="1512069499">
    <w:abstractNumId w:val="0"/>
  </w:num>
  <w:num w:numId="3" w16cid:durableId="678044246">
    <w:abstractNumId w:val="3"/>
  </w:num>
  <w:num w:numId="4" w16cid:durableId="190941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3E"/>
    <w:rsid w:val="00104A3E"/>
    <w:rsid w:val="001F13A2"/>
    <w:rsid w:val="00223642"/>
    <w:rsid w:val="002346D6"/>
    <w:rsid w:val="00281CA1"/>
    <w:rsid w:val="00284D06"/>
    <w:rsid w:val="0029642E"/>
    <w:rsid w:val="002F4768"/>
    <w:rsid w:val="00303BE8"/>
    <w:rsid w:val="0034316B"/>
    <w:rsid w:val="00377048"/>
    <w:rsid w:val="00392951"/>
    <w:rsid w:val="003D5DD2"/>
    <w:rsid w:val="005E0C86"/>
    <w:rsid w:val="006D246B"/>
    <w:rsid w:val="0076308C"/>
    <w:rsid w:val="0090648E"/>
    <w:rsid w:val="00930556"/>
    <w:rsid w:val="009A62F6"/>
    <w:rsid w:val="009F608D"/>
    <w:rsid w:val="00A77514"/>
    <w:rsid w:val="00A94A38"/>
    <w:rsid w:val="00AA4242"/>
    <w:rsid w:val="00BA1A58"/>
    <w:rsid w:val="00CB56F7"/>
    <w:rsid w:val="00CE67E3"/>
    <w:rsid w:val="00D2739C"/>
    <w:rsid w:val="00E40550"/>
    <w:rsid w:val="00E46C31"/>
    <w:rsid w:val="00E959C7"/>
    <w:rsid w:val="00EA2F92"/>
    <w:rsid w:val="00EC77C7"/>
    <w:rsid w:val="00EE0FED"/>
    <w:rsid w:val="00F3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D5E0"/>
  <w15:docId w15:val="{0E3F40A3-E7A7-4717-86EC-750878BB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A3E"/>
    <w:pPr>
      <w:ind w:left="720"/>
      <w:contextualSpacing/>
    </w:pPr>
  </w:style>
  <w:style w:type="table" w:styleId="TableGrid">
    <w:name w:val="Table Grid"/>
    <w:basedOn w:val="TableNormal"/>
    <w:uiPriority w:val="39"/>
    <w:rsid w:val="0029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768"/>
    <w:rPr>
      <w:color w:val="0563C1" w:themeColor="hyperlink"/>
      <w:u w:val="single"/>
    </w:rPr>
  </w:style>
  <w:style w:type="character" w:styleId="UnresolvedMention">
    <w:name w:val="Unresolved Mention"/>
    <w:basedOn w:val="DefaultParagraphFont"/>
    <w:uiPriority w:val="99"/>
    <w:semiHidden/>
    <w:unhideWhenUsed/>
    <w:rsid w:val="002F4768"/>
    <w:rPr>
      <w:color w:val="605E5C"/>
      <w:shd w:val="clear" w:color="auto" w:fill="E1DFDD"/>
    </w:rPr>
  </w:style>
  <w:style w:type="paragraph" w:styleId="Header">
    <w:name w:val="header"/>
    <w:basedOn w:val="Normal"/>
    <w:link w:val="HeaderChar"/>
    <w:uiPriority w:val="99"/>
    <w:unhideWhenUsed/>
    <w:rsid w:val="00E4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C31"/>
  </w:style>
  <w:style w:type="paragraph" w:styleId="Footer">
    <w:name w:val="footer"/>
    <w:basedOn w:val="Normal"/>
    <w:link w:val="FooterChar"/>
    <w:uiPriority w:val="99"/>
    <w:unhideWhenUsed/>
    <w:rsid w:val="00E46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C31"/>
  </w:style>
  <w:style w:type="character" w:styleId="CommentReference">
    <w:name w:val="annotation reference"/>
    <w:basedOn w:val="DefaultParagraphFont"/>
    <w:uiPriority w:val="99"/>
    <w:semiHidden/>
    <w:unhideWhenUsed/>
    <w:rsid w:val="0076308C"/>
    <w:rPr>
      <w:sz w:val="16"/>
      <w:szCs w:val="16"/>
    </w:rPr>
  </w:style>
  <w:style w:type="paragraph" w:styleId="CommentText">
    <w:name w:val="annotation text"/>
    <w:basedOn w:val="Normal"/>
    <w:link w:val="CommentTextChar"/>
    <w:uiPriority w:val="99"/>
    <w:semiHidden/>
    <w:unhideWhenUsed/>
    <w:rsid w:val="0076308C"/>
    <w:pPr>
      <w:spacing w:line="240" w:lineRule="auto"/>
    </w:pPr>
    <w:rPr>
      <w:sz w:val="20"/>
      <w:szCs w:val="20"/>
    </w:rPr>
  </w:style>
  <w:style w:type="character" w:customStyle="1" w:styleId="CommentTextChar">
    <w:name w:val="Comment Text Char"/>
    <w:basedOn w:val="DefaultParagraphFont"/>
    <w:link w:val="CommentText"/>
    <w:uiPriority w:val="99"/>
    <w:semiHidden/>
    <w:rsid w:val="0076308C"/>
    <w:rPr>
      <w:sz w:val="20"/>
      <w:szCs w:val="20"/>
    </w:rPr>
  </w:style>
  <w:style w:type="paragraph" w:styleId="CommentSubject">
    <w:name w:val="annotation subject"/>
    <w:basedOn w:val="CommentText"/>
    <w:next w:val="CommentText"/>
    <w:link w:val="CommentSubjectChar"/>
    <w:uiPriority w:val="99"/>
    <w:semiHidden/>
    <w:unhideWhenUsed/>
    <w:rsid w:val="0076308C"/>
    <w:rPr>
      <w:b/>
      <w:bCs/>
    </w:rPr>
  </w:style>
  <w:style w:type="character" w:customStyle="1" w:styleId="CommentSubjectChar">
    <w:name w:val="Comment Subject Char"/>
    <w:basedOn w:val="CommentTextChar"/>
    <w:link w:val="CommentSubject"/>
    <w:uiPriority w:val="99"/>
    <w:semiHidden/>
    <w:rsid w:val="0076308C"/>
    <w:rPr>
      <w:b/>
      <w:bCs/>
      <w:sz w:val="20"/>
      <w:szCs w:val="20"/>
    </w:rPr>
  </w:style>
  <w:style w:type="paragraph" w:styleId="BalloonText">
    <w:name w:val="Balloon Text"/>
    <w:basedOn w:val="Normal"/>
    <w:link w:val="BalloonTextChar"/>
    <w:uiPriority w:val="99"/>
    <w:semiHidden/>
    <w:unhideWhenUsed/>
    <w:rsid w:val="00763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8C"/>
    <w:rPr>
      <w:rFonts w:ascii="Segoe UI" w:hAnsi="Segoe UI" w:cs="Segoe UI"/>
      <w:sz w:val="18"/>
      <w:szCs w:val="18"/>
    </w:rPr>
  </w:style>
  <w:style w:type="paragraph" w:styleId="Revision">
    <w:name w:val="Revision"/>
    <w:hidden/>
    <w:uiPriority w:val="99"/>
    <w:semiHidden/>
    <w:rsid w:val="009A6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095">
      <w:bodyDiv w:val="1"/>
      <w:marLeft w:val="0"/>
      <w:marRight w:val="0"/>
      <w:marTop w:val="0"/>
      <w:marBottom w:val="0"/>
      <w:divBdr>
        <w:top w:val="none" w:sz="0" w:space="0" w:color="auto"/>
        <w:left w:val="none" w:sz="0" w:space="0" w:color="auto"/>
        <w:bottom w:val="none" w:sz="0" w:space="0" w:color="auto"/>
        <w:right w:val="none" w:sz="0" w:space="0" w:color="auto"/>
      </w:divBdr>
    </w:div>
    <w:div w:id="242760316">
      <w:bodyDiv w:val="1"/>
      <w:marLeft w:val="0"/>
      <w:marRight w:val="0"/>
      <w:marTop w:val="0"/>
      <w:marBottom w:val="0"/>
      <w:divBdr>
        <w:top w:val="none" w:sz="0" w:space="0" w:color="auto"/>
        <w:left w:val="none" w:sz="0" w:space="0" w:color="auto"/>
        <w:bottom w:val="none" w:sz="0" w:space="0" w:color="auto"/>
        <w:right w:val="none" w:sz="0" w:space="0" w:color="auto"/>
      </w:divBdr>
    </w:div>
    <w:div w:id="277026509">
      <w:bodyDiv w:val="1"/>
      <w:marLeft w:val="0"/>
      <w:marRight w:val="0"/>
      <w:marTop w:val="0"/>
      <w:marBottom w:val="0"/>
      <w:divBdr>
        <w:top w:val="none" w:sz="0" w:space="0" w:color="auto"/>
        <w:left w:val="none" w:sz="0" w:space="0" w:color="auto"/>
        <w:bottom w:val="none" w:sz="0" w:space="0" w:color="auto"/>
        <w:right w:val="none" w:sz="0" w:space="0" w:color="auto"/>
      </w:divBdr>
    </w:div>
    <w:div w:id="279072297">
      <w:bodyDiv w:val="1"/>
      <w:marLeft w:val="0"/>
      <w:marRight w:val="0"/>
      <w:marTop w:val="0"/>
      <w:marBottom w:val="0"/>
      <w:divBdr>
        <w:top w:val="none" w:sz="0" w:space="0" w:color="auto"/>
        <w:left w:val="none" w:sz="0" w:space="0" w:color="auto"/>
        <w:bottom w:val="none" w:sz="0" w:space="0" w:color="auto"/>
        <w:right w:val="none" w:sz="0" w:space="0" w:color="auto"/>
      </w:divBdr>
    </w:div>
    <w:div w:id="613286898">
      <w:bodyDiv w:val="1"/>
      <w:marLeft w:val="0"/>
      <w:marRight w:val="0"/>
      <w:marTop w:val="0"/>
      <w:marBottom w:val="0"/>
      <w:divBdr>
        <w:top w:val="none" w:sz="0" w:space="0" w:color="auto"/>
        <w:left w:val="none" w:sz="0" w:space="0" w:color="auto"/>
        <w:bottom w:val="none" w:sz="0" w:space="0" w:color="auto"/>
        <w:right w:val="none" w:sz="0" w:space="0" w:color="auto"/>
      </w:divBdr>
    </w:div>
    <w:div w:id="814680779">
      <w:bodyDiv w:val="1"/>
      <w:marLeft w:val="0"/>
      <w:marRight w:val="0"/>
      <w:marTop w:val="0"/>
      <w:marBottom w:val="0"/>
      <w:divBdr>
        <w:top w:val="none" w:sz="0" w:space="0" w:color="auto"/>
        <w:left w:val="none" w:sz="0" w:space="0" w:color="auto"/>
        <w:bottom w:val="none" w:sz="0" w:space="0" w:color="auto"/>
        <w:right w:val="none" w:sz="0" w:space="0" w:color="auto"/>
      </w:divBdr>
    </w:div>
    <w:div w:id="866678105">
      <w:bodyDiv w:val="1"/>
      <w:marLeft w:val="0"/>
      <w:marRight w:val="0"/>
      <w:marTop w:val="0"/>
      <w:marBottom w:val="0"/>
      <w:divBdr>
        <w:top w:val="none" w:sz="0" w:space="0" w:color="auto"/>
        <w:left w:val="none" w:sz="0" w:space="0" w:color="auto"/>
        <w:bottom w:val="none" w:sz="0" w:space="0" w:color="auto"/>
        <w:right w:val="none" w:sz="0" w:space="0" w:color="auto"/>
      </w:divBdr>
    </w:div>
    <w:div w:id="926695075">
      <w:bodyDiv w:val="1"/>
      <w:marLeft w:val="0"/>
      <w:marRight w:val="0"/>
      <w:marTop w:val="0"/>
      <w:marBottom w:val="0"/>
      <w:divBdr>
        <w:top w:val="none" w:sz="0" w:space="0" w:color="auto"/>
        <w:left w:val="none" w:sz="0" w:space="0" w:color="auto"/>
        <w:bottom w:val="none" w:sz="0" w:space="0" w:color="auto"/>
        <w:right w:val="none" w:sz="0" w:space="0" w:color="auto"/>
      </w:divBdr>
    </w:div>
    <w:div w:id="1070470153">
      <w:bodyDiv w:val="1"/>
      <w:marLeft w:val="0"/>
      <w:marRight w:val="0"/>
      <w:marTop w:val="0"/>
      <w:marBottom w:val="0"/>
      <w:divBdr>
        <w:top w:val="none" w:sz="0" w:space="0" w:color="auto"/>
        <w:left w:val="none" w:sz="0" w:space="0" w:color="auto"/>
        <w:bottom w:val="none" w:sz="0" w:space="0" w:color="auto"/>
        <w:right w:val="none" w:sz="0" w:space="0" w:color="auto"/>
      </w:divBdr>
    </w:div>
    <w:div w:id="1210268890">
      <w:bodyDiv w:val="1"/>
      <w:marLeft w:val="0"/>
      <w:marRight w:val="0"/>
      <w:marTop w:val="0"/>
      <w:marBottom w:val="0"/>
      <w:divBdr>
        <w:top w:val="none" w:sz="0" w:space="0" w:color="auto"/>
        <w:left w:val="none" w:sz="0" w:space="0" w:color="auto"/>
        <w:bottom w:val="none" w:sz="0" w:space="0" w:color="auto"/>
        <w:right w:val="none" w:sz="0" w:space="0" w:color="auto"/>
      </w:divBdr>
    </w:div>
    <w:div w:id="1424109059">
      <w:bodyDiv w:val="1"/>
      <w:marLeft w:val="0"/>
      <w:marRight w:val="0"/>
      <w:marTop w:val="0"/>
      <w:marBottom w:val="0"/>
      <w:divBdr>
        <w:top w:val="none" w:sz="0" w:space="0" w:color="auto"/>
        <w:left w:val="none" w:sz="0" w:space="0" w:color="auto"/>
        <w:bottom w:val="none" w:sz="0" w:space="0" w:color="auto"/>
        <w:right w:val="none" w:sz="0" w:space="0" w:color="auto"/>
      </w:divBdr>
    </w:div>
    <w:div w:id="1458912156">
      <w:bodyDiv w:val="1"/>
      <w:marLeft w:val="0"/>
      <w:marRight w:val="0"/>
      <w:marTop w:val="0"/>
      <w:marBottom w:val="0"/>
      <w:divBdr>
        <w:top w:val="none" w:sz="0" w:space="0" w:color="auto"/>
        <w:left w:val="none" w:sz="0" w:space="0" w:color="auto"/>
        <w:bottom w:val="none" w:sz="0" w:space="0" w:color="auto"/>
        <w:right w:val="none" w:sz="0" w:space="0" w:color="auto"/>
      </w:divBdr>
    </w:div>
    <w:div w:id="1517186541">
      <w:bodyDiv w:val="1"/>
      <w:marLeft w:val="0"/>
      <w:marRight w:val="0"/>
      <w:marTop w:val="0"/>
      <w:marBottom w:val="0"/>
      <w:divBdr>
        <w:top w:val="none" w:sz="0" w:space="0" w:color="auto"/>
        <w:left w:val="none" w:sz="0" w:space="0" w:color="auto"/>
        <w:bottom w:val="none" w:sz="0" w:space="0" w:color="auto"/>
        <w:right w:val="none" w:sz="0" w:space="0" w:color="auto"/>
      </w:divBdr>
    </w:div>
    <w:div w:id="1606961303">
      <w:bodyDiv w:val="1"/>
      <w:marLeft w:val="0"/>
      <w:marRight w:val="0"/>
      <w:marTop w:val="0"/>
      <w:marBottom w:val="0"/>
      <w:divBdr>
        <w:top w:val="none" w:sz="0" w:space="0" w:color="auto"/>
        <w:left w:val="none" w:sz="0" w:space="0" w:color="auto"/>
        <w:bottom w:val="none" w:sz="0" w:space="0" w:color="auto"/>
        <w:right w:val="none" w:sz="0" w:space="0" w:color="auto"/>
      </w:divBdr>
    </w:div>
    <w:div w:id="1745372240">
      <w:bodyDiv w:val="1"/>
      <w:marLeft w:val="0"/>
      <w:marRight w:val="0"/>
      <w:marTop w:val="0"/>
      <w:marBottom w:val="0"/>
      <w:divBdr>
        <w:top w:val="none" w:sz="0" w:space="0" w:color="auto"/>
        <w:left w:val="none" w:sz="0" w:space="0" w:color="auto"/>
        <w:bottom w:val="none" w:sz="0" w:space="0" w:color="auto"/>
        <w:right w:val="none" w:sz="0" w:space="0" w:color="auto"/>
      </w:divBdr>
    </w:div>
    <w:div w:id="183468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E438-8CE1-4755-8635-5E479575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Mezencev, Roman</dc:creator>
  <cp:keywords/>
  <dc:description/>
  <cp:lastModifiedBy>Feshuk, Madison</cp:lastModifiedBy>
  <cp:revision>3</cp:revision>
  <dcterms:created xsi:type="dcterms:W3CDTF">2023-06-15T13:47:00Z</dcterms:created>
  <dcterms:modified xsi:type="dcterms:W3CDTF">2023-06-15T13:54:00Z</dcterms:modified>
</cp:coreProperties>
</file>