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E6E72" w14:textId="1E382DAE" w:rsidR="007A702E" w:rsidRDefault="007A702E">
      <w:r>
        <w:t>Meta Data for ORD 00025</w:t>
      </w:r>
      <w:r>
        <w:t>9</w:t>
      </w:r>
    </w:p>
    <w:p w14:paraId="6C3D3D5B" w14:textId="7A22F67D" w:rsidR="007A702E" w:rsidRDefault="007A702E"/>
    <w:p w14:paraId="2A5725C1" w14:textId="269C9813" w:rsidR="00C54E6E" w:rsidRDefault="00C54E6E">
      <w:r w:rsidRPr="00C54E6E">
        <w:rPr>
          <w:noProof/>
        </w:rPr>
        <w:drawing>
          <wp:inline distT="0" distB="0" distL="0" distR="0" wp14:anchorId="2BF2FCDB" wp14:editId="67BF07D6">
            <wp:extent cx="5943600" cy="5979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2E9FE" w14:textId="0E2DC542" w:rsidR="00C54E6E" w:rsidRDefault="00C54E6E">
      <w:r>
        <w:t>Fig. 1 The location of the study area and the distribution of soil samples.</w:t>
      </w:r>
    </w:p>
    <w:p w14:paraId="0CF52229" w14:textId="332C46AD" w:rsidR="00C54E6E" w:rsidRDefault="00C54E6E"/>
    <w:p w14:paraId="44A03523" w14:textId="3AD1E8B1" w:rsidR="00C54E6E" w:rsidRDefault="00C54E6E">
      <w:r w:rsidRPr="00C54E6E">
        <w:rPr>
          <w:noProof/>
        </w:rPr>
        <w:lastRenderedPageBreak/>
        <w:drawing>
          <wp:inline distT="0" distB="0" distL="0" distR="0" wp14:anchorId="32172E9A" wp14:editId="1E575978">
            <wp:extent cx="2889885" cy="8229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8ABE3" w14:textId="1B157EC4" w:rsidR="00C54E6E" w:rsidRDefault="00C54E6E">
      <w:r w:rsidRPr="00C54E6E">
        <w:rPr>
          <w:noProof/>
        </w:rPr>
        <w:lastRenderedPageBreak/>
        <w:drawing>
          <wp:inline distT="0" distB="0" distL="0" distR="0" wp14:anchorId="7BA8DA83" wp14:editId="4EBF470C">
            <wp:extent cx="5943600" cy="13449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E2CC" w14:textId="7ED3D054" w:rsidR="00C54E6E" w:rsidRDefault="00C54E6E">
      <w:r>
        <w:t>Fig. 2 Variation of T-Cu, A-Cu, and AR in the coastal orchards with planting duration. T-Cu, total Cu concentration; A-Cu, available Cu concentration; AR, Cu available ratio; PD, planting duration.</w:t>
      </w:r>
    </w:p>
    <w:p w14:paraId="1EEC1629" w14:textId="621AEF3F" w:rsidR="00C54E6E" w:rsidRDefault="00C54E6E"/>
    <w:p w14:paraId="3E59213F" w14:textId="7C5D5429" w:rsidR="00C54E6E" w:rsidRDefault="00C54E6E"/>
    <w:p w14:paraId="2372A6C7" w14:textId="4C9505BC" w:rsidR="00C54E6E" w:rsidRDefault="00C54E6E">
      <w:r w:rsidRPr="00C54E6E">
        <w:rPr>
          <w:noProof/>
        </w:rPr>
        <w:drawing>
          <wp:inline distT="0" distB="0" distL="0" distR="0" wp14:anchorId="6D1F622B" wp14:editId="1DFEA1E1">
            <wp:extent cx="5943600" cy="22225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9E4B4" w14:textId="3C23DE6E" w:rsidR="00C54E6E" w:rsidRDefault="00C54E6E">
      <w:r>
        <w:t>Fig. 3 Temporal distribution of Cu fractions in the coastal orchards under different planting durations. F1, weak acid-soluble fraction; F2, reducible fraction; F3, oxidizable fraction; F4, residual fraction; PD, planting duration.</w:t>
      </w:r>
    </w:p>
    <w:p w14:paraId="471903D1" w14:textId="25B44B4F" w:rsidR="00C54E6E" w:rsidRDefault="00C54E6E"/>
    <w:p w14:paraId="10B9DC23" w14:textId="453ED44D" w:rsidR="00C54E6E" w:rsidRDefault="00C54E6E"/>
    <w:p w14:paraId="1663608C" w14:textId="11E108FD" w:rsidR="00C54E6E" w:rsidRDefault="00C54E6E">
      <w:r w:rsidRPr="00C54E6E">
        <w:rPr>
          <w:noProof/>
        </w:rPr>
        <w:lastRenderedPageBreak/>
        <w:drawing>
          <wp:inline distT="0" distB="0" distL="0" distR="0" wp14:anchorId="1F61B5A3" wp14:editId="624BD2C0">
            <wp:extent cx="5943600" cy="5325110"/>
            <wp:effectExtent l="0" t="0" r="0" b="889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28158" w14:textId="614D9008" w:rsidR="00C54E6E" w:rsidRDefault="00C54E6E">
      <w:r>
        <w:t>Fig. 4 Spatial distributions of Cu concentration and chemical fractions in coastal orchards soils. T-Cu, total Cu concentration; A-Cu, available Cu concentration; AR, Cu available ratio; F1, weak acid-soluble fraction; F2, reducible fraction; F3, oxidizable fraction; F4, residual fraction; SOC, soil organic carbon.</w:t>
      </w:r>
    </w:p>
    <w:p w14:paraId="779B6369" w14:textId="1F41B18D" w:rsidR="00C54E6E" w:rsidRDefault="00C54E6E"/>
    <w:p w14:paraId="3645322F" w14:textId="17A30540" w:rsidR="00C54E6E" w:rsidRDefault="00C54E6E"/>
    <w:p w14:paraId="640D295C" w14:textId="5A62AFC9" w:rsidR="00C54E6E" w:rsidRDefault="00C54E6E">
      <w:r w:rsidRPr="00C54E6E">
        <w:rPr>
          <w:noProof/>
        </w:rPr>
        <w:lastRenderedPageBreak/>
        <w:drawing>
          <wp:inline distT="0" distB="0" distL="0" distR="0" wp14:anchorId="0FC8E4B6" wp14:editId="2E0A40BF">
            <wp:extent cx="5943600" cy="2662555"/>
            <wp:effectExtent l="0" t="0" r="0" b="444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E880A" w14:textId="07DF1991" w:rsidR="00C54E6E" w:rsidRDefault="00C54E6E"/>
    <w:p w14:paraId="14E48B52" w14:textId="1DF4B514" w:rsidR="00C54E6E" w:rsidRDefault="00C54E6E">
      <w:r w:rsidRPr="00C54E6E">
        <w:rPr>
          <w:noProof/>
        </w:rPr>
        <w:drawing>
          <wp:inline distT="0" distB="0" distL="0" distR="0" wp14:anchorId="1283C5C3" wp14:editId="13F9DCE1">
            <wp:extent cx="5943600" cy="188849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E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02E"/>
    <w:rsid w:val="007A702E"/>
    <w:rsid w:val="00C5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6"/>
    <o:shapelayout v:ext="edit">
      <o:idmap v:ext="edit" data="1"/>
    </o:shapelayout>
  </w:shapeDefaults>
  <w:decimalSymbol w:val="."/>
  <w:listSeparator w:val=","/>
  <w14:docId w14:val="155A483C"/>
  <w15:chartTrackingRefBased/>
  <w15:docId w15:val="{809926EE-F495-447F-BBEB-43A58AE4C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Scheckel, Kirk</dc:creator>
  <cp:keywords/>
  <dc:description/>
  <cp:lastModifiedBy>Scheckel, Kirk</cp:lastModifiedBy>
  <cp:revision>2</cp:revision>
  <dcterms:created xsi:type="dcterms:W3CDTF">2022-06-29T18:57:00Z</dcterms:created>
  <dcterms:modified xsi:type="dcterms:W3CDTF">2022-06-29T19:47:00Z</dcterms:modified>
</cp:coreProperties>
</file>