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847E" w14:textId="02154896" w:rsidR="00387983" w:rsidRDefault="00AC51F4" w:rsidP="00387983">
      <w:pPr>
        <w:spacing w:after="40"/>
        <w:rPr>
          <w:b/>
          <w:color w:val="808080" w:themeColor="background1" w:themeShade="80"/>
          <w:sz w:val="24"/>
        </w:rPr>
      </w:pPr>
      <w:r>
        <w:rPr>
          <w:b/>
          <w:color w:val="808080" w:themeColor="background1" w:themeShade="80"/>
          <w:sz w:val="24"/>
        </w:rPr>
        <w:t xml:space="preserve">Modified </w:t>
      </w:r>
      <w:r w:rsidR="00387983">
        <w:rPr>
          <w:b/>
          <w:color w:val="808080" w:themeColor="background1" w:themeShade="80"/>
          <w:sz w:val="24"/>
        </w:rPr>
        <w:t xml:space="preserve">PRISMA Report </w:t>
      </w:r>
    </w:p>
    <w:p w14:paraId="7337A55E" w14:textId="428D94F7" w:rsidR="00387983" w:rsidRDefault="00387983" w:rsidP="00387983">
      <w:pPr>
        <w:spacing w:after="0" w:line="240" w:lineRule="auto"/>
      </w:pPr>
      <w:r>
        <w:rPr>
          <w:b/>
        </w:rPr>
        <w:t>Title of submitted paper and corresponding author</w:t>
      </w:r>
      <w:r>
        <w:t xml:space="preserve">: </w:t>
      </w:r>
      <w:r w:rsidR="00543926" w:rsidRPr="00543926">
        <w:t>A Systematic Evidence Map for the Evaluation of Noncancer Health Effects and Exposures to Polychlorinated Biphenyl Mixtures</w:t>
      </w:r>
      <w:r w:rsidR="00620F74">
        <w:t xml:space="preserve">. Geniece </w:t>
      </w:r>
      <w:r w:rsidR="00543926">
        <w:t xml:space="preserve">M. </w:t>
      </w:r>
      <w:r w:rsidR="00620F74">
        <w:t>Lehmann (</w:t>
      </w:r>
      <w:hyperlink r:id="rId12" w:history="1">
        <w:r w:rsidR="00543926" w:rsidRPr="001F5C6F">
          <w:rPr>
            <w:rStyle w:val="Hyperlink"/>
          </w:rPr>
          <w:t>lehmann.geniece@epa.gov</w:t>
        </w:r>
      </w:hyperlink>
      <w:r w:rsidR="00620F74">
        <w:t xml:space="preserve">) </w:t>
      </w:r>
    </w:p>
    <w:p w14:paraId="38CFF5D1" w14:textId="77777777" w:rsidR="00387983" w:rsidRDefault="00387983" w:rsidP="00387983">
      <w:pPr>
        <w:spacing w:after="0" w:line="240" w:lineRule="auto"/>
      </w:pPr>
    </w:p>
    <w:tbl>
      <w:tblPr>
        <w:tblStyle w:val="TableGridLight"/>
        <w:tblW w:w="5000" w:type="pct"/>
        <w:tblLook w:val="04A0" w:firstRow="1" w:lastRow="0" w:firstColumn="1" w:lastColumn="0" w:noHBand="0" w:noVBand="1"/>
      </w:tblPr>
      <w:tblGrid>
        <w:gridCol w:w="419"/>
        <w:gridCol w:w="1270"/>
        <w:gridCol w:w="3597"/>
        <w:gridCol w:w="1407"/>
        <w:gridCol w:w="6257"/>
      </w:tblGrid>
      <w:tr w:rsidR="001D3DF8" w:rsidRPr="0053354E" w14:paraId="7D93E8AF" w14:textId="77777777" w:rsidTr="00D77BF9">
        <w:trPr>
          <w:trHeight w:val="435"/>
        </w:trPr>
        <w:tc>
          <w:tcPr>
            <w:tcW w:w="164" w:type="pct"/>
            <w:hideMark/>
          </w:tcPr>
          <w:p w14:paraId="1D1637B5" w14:textId="77777777" w:rsidR="00387983" w:rsidRPr="0053354E" w:rsidRDefault="00387983">
            <w:pPr>
              <w:spacing w:line="240" w:lineRule="auto"/>
              <w:jc w:val="center"/>
              <w:rPr>
                <w:b/>
              </w:rPr>
            </w:pPr>
            <w:r w:rsidRPr="0053354E">
              <w:rPr>
                <w:b/>
              </w:rPr>
              <w:t>#</w:t>
            </w:r>
          </w:p>
        </w:tc>
        <w:tc>
          <w:tcPr>
            <w:tcW w:w="517" w:type="pct"/>
            <w:hideMark/>
          </w:tcPr>
          <w:p w14:paraId="7863D9FE" w14:textId="77777777" w:rsidR="00387983" w:rsidRPr="0053354E" w:rsidRDefault="00387983">
            <w:pPr>
              <w:spacing w:line="240" w:lineRule="auto"/>
              <w:jc w:val="center"/>
              <w:rPr>
                <w:b/>
              </w:rPr>
            </w:pPr>
            <w:r w:rsidRPr="0053354E">
              <w:rPr>
                <w:b/>
              </w:rPr>
              <w:t>Item</w:t>
            </w:r>
          </w:p>
        </w:tc>
        <w:tc>
          <w:tcPr>
            <w:tcW w:w="1403" w:type="pct"/>
            <w:hideMark/>
          </w:tcPr>
          <w:p w14:paraId="29AECACE" w14:textId="77777777" w:rsidR="00387983" w:rsidRPr="0053354E" w:rsidRDefault="00387983">
            <w:pPr>
              <w:spacing w:line="240" w:lineRule="auto"/>
              <w:jc w:val="center"/>
              <w:rPr>
                <w:b/>
              </w:rPr>
            </w:pPr>
            <w:r w:rsidRPr="0053354E">
              <w:rPr>
                <w:b/>
              </w:rPr>
              <w:t>Guidance</w:t>
            </w:r>
          </w:p>
        </w:tc>
        <w:tc>
          <w:tcPr>
            <w:tcW w:w="486" w:type="pct"/>
            <w:hideMark/>
          </w:tcPr>
          <w:p w14:paraId="31A6F91C" w14:textId="2D6F323B" w:rsidR="00387983" w:rsidRPr="0053354E" w:rsidRDefault="00A209E8">
            <w:pPr>
              <w:spacing w:line="240" w:lineRule="auto"/>
              <w:jc w:val="center"/>
              <w:rPr>
                <w:b/>
              </w:rPr>
            </w:pPr>
            <w:r>
              <w:rPr>
                <w:b/>
              </w:rPr>
              <w:t xml:space="preserve">Section Information is Located In </w:t>
            </w:r>
          </w:p>
        </w:tc>
        <w:tc>
          <w:tcPr>
            <w:tcW w:w="2430" w:type="pct"/>
            <w:hideMark/>
          </w:tcPr>
          <w:p w14:paraId="6DAF6A74" w14:textId="77777777" w:rsidR="00387983" w:rsidRPr="0053354E" w:rsidRDefault="00387983">
            <w:pPr>
              <w:spacing w:line="240" w:lineRule="auto"/>
              <w:jc w:val="center"/>
              <w:rPr>
                <w:b/>
              </w:rPr>
            </w:pPr>
            <w:r w:rsidRPr="0053354E">
              <w:rPr>
                <w:b/>
              </w:rPr>
              <w:t>Manuscript Quote / Author Comments</w:t>
            </w:r>
          </w:p>
        </w:tc>
      </w:tr>
      <w:tr w:rsidR="00387983" w:rsidRPr="0053354E" w14:paraId="3026AB93" w14:textId="77777777" w:rsidTr="00D77BF9">
        <w:tc>
          <w:tcPr>
            <w:tcW w:w="5000" w:type="pct"/>
            <w:gridSpan w:val="5"/>
            <w:hideMark/>
          </w:tcPr>
          <w:p w14:paraId="2E528E37" w14:textId="77777777" w:rsidR="00387983" w:rsidRPr="0053354E" w:rsidRDefault="00387983">
            <w:pPr>
              <w:spacing w:line="240" w:lineRule="auto"/>
              <w:rPr>
                <w:rFonts w:ascii="Calibri" w:hAnsi="Calibri"/>
                <w:b/>
                <w:sz w:val="20"/>
                <w:szCs w:val="20"/>
              </w:rPr>
            </w:pPr>
            <w:r w:rsidRPr="0053354E">
              <w:rPr>
                <w:rFonts w:ascii="Calibri" w:hAnsi="Calibri"/>
                <w:b/>
                <w:sz w:val="20"/>
                <w:szCs w:val="20"/>
              </w:rPr>
              <w:t>Title</w:t>
            </w:r>
          </w:p>
        </w:tc>
      </w:tr>
      <w:tr w:rsidR="001D3DF8" w:rsidRPr="0053354E" w14:paraId="06801D20" w14:textId="77777777" w:rsidTr="00D77BF9">
        <w:tc>
          <w:tcPr>
            <w:tcW w:w="164" w:type="pct"/>
            <w:hideMark/>
          </w:tcPr>
          <w:p w14:paraId="5690E6D7" w14:textId="77777777" w:rsidR="00387983" w:rsidRPr="0053354E" w:rsidRDefault="00387983">
            <w:pPr>
              <w:spacing w:line="240" w:lineRule="auto"/>
              <w:rPr>
                <w:rFonts w:ascii="Calibri" w:hAnsi="Calibri"/>
                <w:sz w:val="20"/>
                <w:szCs w:val="20"/>
              </w:rPr>
            </w:pPr>
            <w:r w:rsidRPr="0053354E">
              <w:rPr>
                <w:rFonts w:ascii="Calibri" w:hAnsi="Calibri"/>
                <w:sz w:val="20"/>
                <w:szCs w:val="20"/>
              </w:rPr>
              <w:t>1</w:t>
            </w:r>
          </w:p>
        </w:tc>
        <w:tc>
          <w:tcPr>
            <w:tcW w:w="517" w:type="pct"/>
            <w:hideMark/>
          </w:tcPr>
          <w:p w14:paraId="0FF4A80A" w14:textId="77777777" w:rsidR="00387983" w:rsidRPr="0053354E" w:rsidRDefault="00387983">
            <w:pPr>
              <w:spacing w:line="240" w:lineRule="auto"/>
              <w:rPr>
                <w:rFonts w:ascii="Calibri" w:hAnsi="Calibri"/>
                <w:sz w:val="20"/>
                <w:szCs w:val="20"/>
              </w:rPr>
            </w:pPr>
            <w:r w:rsidRPr="0053354E">
              <w:rPr>
                <w:rFonts w:ascii="Calibri" w:hAnsi="Calibri"/>
                <w:sz w:val="20"/>
                <w:szCs w:val="20"/>
              </w:rPr>
              <w:t>Title</w:t>
            </w:r>
          </w:p>
        </w:tc>
        <w:tc>
          <w:tcPr>
            <w:tcW w:w="1403" w:type="pct"/>
            <w:hideMark/>
          </w:tcPr>
          <w:p w14:paraId="37DF4A9F"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Identify the report as a systematic map.</w:t>
            </w:r>
          </w:p>
        </w:tc>
        <w:tc>
          <w:tcPr>
            <w:tcW w:w="486" w:type="pct"/>
          </w:tcPr>
          <w:p w14:paraId="0C3E7814" w14:textId="7522852E" w:rsidR="00387983" w:rsidRPr="0053354E" w:rsidRDefault="00A209E8">
            <w:pPr>
              <w:spacing w:line="240" w:lineRule="auto"/>
              <w:rPr>
                <w:rFonts w:ascii="Calibri" w:hAnsi="Calibri"/>
                <w:sz w:val="20"/>
                <w:szCs w:val="20"/>
              </w:rPr>
            </w:pPr>
            <w:r>
              <w:rPr>
                <w:rFonts w:ascii="Calibri" w:hAnsi="Calibri"/>
                <w:sz w:val="20"/>
                <w:szCs w:val="20"/>
              </w:rPr>
              <w:t>Title, Abstract</w:t>
            </w:r>
          </w:p>
        </w:tc>
        <w:tc>
          <w:tcPr>
            <w:tcW w:w="2430" w:type="pct"/>
          </w:tcPr>
          <w:p w14:paraId="53914139" w14:textId="6236538A" w:rsidR="00387983" w:rsidRPr="0053354E" w:rsidRDefault="007E1178" w:rsidP="00387983">
            <w:pPr>
              <w:pStyle w:val="CommentText"/>
            </w:pPr>
            <w:r w:rsidRPr="0053354E">
              <w:t>The manuscript title indicates the report is a systematic map (</w:t>
            </w:r>
            <w:r w:rsidR="0038014B" w:rsidRPr="0053354E">
              <w:rPr>
                <w:i/>
                <w:iCs/>
              </w:rPr>
              <w:t>Systematic</w:t>
            </w:r>
            <w:r w:rsidR="00387983" w:rsidRPr="0053354E">
              <w:rPr>
                <w:i/>
                <w:iCs/>
              </w:rPr>
              <w:t xml:space="preserve"> </w:t>
            </w:r>
            <w:r w:rsidRPr="0053354E">
              <w:rPr>
                <w:i/>
                <w:iCs/>
              </w:rPr>
              <w:t xml:space="preserve">Evidence </w:t>
            </w:r>
            <w:r w:rsidR="00387983" w:rsidRPr="0053354E">
              <w:rPr>
                <w:i/>
                <w:iCs/>
              </w:rPr>
              <w:t xml:space="preserve">Map for Noncancer Health Effects </w:t>
            </w:r>
            <w:r w:rsidR="00A209E8">
              <w:rPr>
                <w:i/>
                <w:iCs/>
              </w:rPr>
              <w:t>and Exposures to</w:t>
            </w:r>
            <w:r w:rsidR="00387983" w:rsidRPr="0053354E">
              <w:rPr>
                <w:i/>
                <w:iCs/>
              </w:rPr>
              <w:t xml:space="preserve"> Polychlorinated Biphenyl (PCB)</w:t>
            </w:r>
            <w:r w:rsidR="00D70932" w:rsidRPr="0053354E">
              <w:rPr>
                <w:i/>
                <w:iCs/>
              </w:rPr>
              <w:t xml:space="preserve"> Mixtures</w:t>
            </w:r>
            <w:r w:rsidRPr="0053354E">
              <w:t>).</w:t>
            </w:r>
            <w:r w:rsidR="009368AA" w:rsidRPr="0053354E">
              <w:t xml:space="preserve"> The abstract and introduction </w:t>
            </w:r>
            <w:r w:rsidR="00D879F9" w:rsidRPr="0053354E">
              <w:t>also mention the report is a systematic map.</w:t>
            </w:r>
          </w:p>
        </w:tc>
      </w:tr>
      <w:tr w:rsidR="00387983" w:rsidRPr="0053354E" w14:paraId="5A26578F" w14:textId="77777777" w:rsidTr="00D77BF9">
        <w:tc>
          <w:tcPr>
            <w:tcW w:w="5000" w:type="pct"/>
            <w:gridSpan w:val="5"/>
            <w:hideMark/>
          </w:tcPr>
          <w:p w14:paraId="7BE9F9F0" w14:textId="77777777" w:rsidR="00387983" w:rsidRPr="0053354E" w:rsidRDefault="00387983">
            <w:pPr>
              <w:spacing w:line="240" w:lineRule="auto"/>
              <w:rPr>
                <w:rFonts w:ascii="Calibri" w:hAnsi="Calibri"/>
                <w:b/>
                <w:sz w:val="20"/>
                <w:szCs w:val="20"/>
              </w:rPr>
            </w:pPr>
            <w:r w:rsidRPr="0053354E">
              <w:rPr>
                <w:rFonts w:ascii="Calibri" w:hAnsi="Calibri"/>
                <w:b/>
                <w:sz w:val="20"/>
                <w:szCs w:val="20"/>
              </w:rPr>
              <w:t>Abstract</w:t>
            </w:r>
          </w:p>
        </w:tc>
      </w:tr>
      <w:tr w:rsidR="001D3DF8" w:rsidRPr="0053354E" w14:paraId="7D7E7FD8" w14:textId="77777777" w:rsidTr="00D77BF9">
        <w:tc>
          <w:tcPr>
            <w:tcW w:w="164" w:type="pct"/>
            <w:hideMark/>
          </w:tcPr>
          <w:p w14:paraId="0BF9EE08" w14:textId="77777777" w:rsidR="00387983" w:rsidRPr="0053354E" w:rsidRDefault="00387983">
            <w:pPr>
              <w:spacing w:line="240" w:lineRule="auto"/>
              <w:rPr>
                <w:rFonts w:ascii="Calibri" w:hAnsi="Calibri"/>
                <w:sz w:val="20"/>
                <w:szCs w:val="20"/>
              </w:rPr>
            </w:pPr>
            <w:r w:rsidRPr="0053354E">
              <w:rPr>
                <w:rFonts w:ascii="Calibri" w:hAnsi="Calibri"/>
                <w:sz w:val="20"/>
                <w:szCs w:val="20"/>
              </w:rPr>
              <w:t>2</w:t>
            </w:r>
          </w:p>
        </w:tc>
        <w:tc>
          <w:tcPr>
            <w:tcW w:w="517" w:type="pct"/>
            <w:hideMark/>
          </w:tcPr>
          <w:p w14:paraId="0E2D5DA9" w14:textId="77777777" w:rsidR="00387983" w:rsidRPr="0053354E" w:rsidRDefault="00387983">
            <w:pPr>
              <w:spacing w:line="240" w:lineRule="auto"/>
              <w:rPr>
                <w:rFonts w:ascii="Calibri" w:hAnsi="Calibri"/>
                <w:sz w:val="20"/>
                <w:szCs w:val="20"/>
              </w:rPr>
            </w:pPr>
            <w:r w:rsidRPr="0053354E">
              <w:rPr>
                <w:rFonts w:ascii="Calibri" w:hAnsi="Calibri"/>
                <w:sz w:val="20"/>
                <w:szCs w:val="20"/>
              </w:rPr>
              <w:t>Structured summary</w:t>
            </w:r>
          </w:p>
        </w:tc>
        <w:tc>
          <w:tcPr>
            <w:tcW w:w="1403" w:type="pct"/>
            <w:hideMark/>
          </w:tcPr>
          <w:p w14:paraId="7D6ECB12" w14:textId="77777777" w:rsidR="00387983" w:rsidRPr="0053354E" w:rsidRDefault="00387983">
            <w:pPr>
              <w:spacing w:line="240" w:lineRule="auto"/>
              <w:rPr>
                <w:rFonts w:ascii="Calibri" w:hAnsi="Calibri" w:cs="Arial"/>
                <w:sz w:val="20"/>
                <w:szCs w:val="20"/>
              </w:rPr>
            </w:pPr>
            <w:r w:rsidRPr="0053354E">
              <w:rPr>
                <w:rFonts w:ascii="Calibri" w:hAnsi="Calibri" w:cs="Arial"/>
                <w:sz w:val="20"/>
                <w:szCs w:val="20"/>
              </w:rPr>
              <w:t>Provide a structured summary including, as applicable:</w:t>
            </w:r>
          </w:p>
          <w:p w14:paraId="1E7177F6" w14:textId="77777777" w:rsidR="00387983" w:rsidRPr="0053354E" w:rsidRDefault="00387983" w:rsidP="005D1C73">
            <w:pPr>
              <w:pStyle w:val="ListParagraph"/>
              <w:widowControl/>
              <w:numPr>
                <w:ilvl w:val="0"/>
                <w:numId w:val="1"/>
              </w:numPr>
              <w:autoSpaceDE/>
              <w:adjustRightInd/>
              <w:contextualSpacing/>
              <w:rPr>
                <w:rFonts w:ascii="Calibri" w:hAnsi="Calibri" w:cs="Arial"/>
                <w:sz w:val="20"/>
                <w:szCs w:val="20"/>
              </w:rPr>
            </w:pPr>
            <w:r w:rsidRPr="0053354E">
              <w:rPr>
                <w:rFonts w:ascii="Calibri" w:hAnsi="Calibri" w:cs="Arial"/>
                <w:sz w:val="20"/>
                <w:szCs w:val="20"/>
              </w:rPr>
              <w:t>Background;</w:t>
            </w:r>
          </w:p>
          <w:p w14:paraId="0213ED1D" w14:textId="77777777" w:rsidR="00387983" w:rsidRPr="0053354E" w:rsidRDefault="00387983" w:rsidP="005D1C73">
            <w:pPr>
              <w:pStyle w:val="ListParagraph"/>
              <w:widowControl/>
              <w:numPr>
                <w:ilvl w:val="0"/>
                <w:numId w:val="1"/>
              </w:numPr>
              <w:autoSpaceDE/>
              <w:adjustRightInd/>
              <w:contextualSpacing/>
              <w:rPr>
                <w:rFonts w:ascii="Calibri" w:hAnsi="Calibri" w:cs="Arial"/>
                <w:sz w:val="20"/>
                <w:szCs w:val="20"/>
              </w:rPr>
            </w:pPr>
            <w:r w:rsidRPr="0053354E">
              <w:rPr>
                <w:rFonts w:ascii="Calibri" w:hAnsi="Calibri" w:cs="Arial"/>
                <w:sz w:val="20"/>
                <w:szCs w:val="20"/>
              </w:rPr>
              <w:t>Objectives;</w:t>
            </w:r>
          </w:p>
          <w:p w14:paraId="517C35B8" w14:textId="77777777" w:rsidR="00387983" w:rsidRPr="0053354E" w:rsidRDefault="00387983" w:rsidP="005D1C73">
            <w:pPr>
              <w:pStyle w:val="ListParagraph"/>
              <w:widowControl/>
              <w:numPr>
                <w:ilvl w:val="0"/>
                <w:numId w:val="1"/>
              </w:numPr>
              <w:autoSpaceDE/>
              <w:adjustRightInd/>
              <w:contextualSpacing/>
              <w:rPr>
                <w:rFonts w:ascii="Calibri" w:hAnsi="Calibri" w:cs="Arial"/>
                <w:sz w:val="20"/>
                <w:szCs w:val="20"/>
              </w:rPr>
            </w:pPr>
            <w:r w:rsidRPr="0053354E">
              <w:rPr>
                <w:rFonts w:ascii="Calibri" w:hAnsi="Calibri" w:cs="Arial"/>
                <w:sz w:val="20"/>
                <w:szCs w:val="20"/>
              </w:rPr>
              <w:t xml:space="preserve">Data sources; </w:t>
            </w:r>
          </w:p>
          <w:p w14:paraId="2525B8ED" w14:textId="77777777" w:rsidR="00387983" w:rsidRPr="0053354E" w:rsidRDefault="00387983" w:rsidP="005D1C73">
            <w:pPr>
              <w:pStyle w:val="ListParagraph"/>
              <w:widowControl/>
              <w:numPr>
                <w:ilvl w:val="0"/>
                <w:numId w:val="1"/>
              </w:numPr>
              <w:autoSpaceDE/>
              <w:adjustRightInd/>
              <w:contextualSpacing/>
              <w:rPr>
                <w:rFonts w:ascii="Calibri" w:hAnsi="Calibri" w:cs="Arial"/>
                <w:sz w:val="20"/>
                <w:szCs w:val="20"/>
              </w:rPr>
            </w:pPr>
            <w:r w:rsidRPr="0053354E">
              <w:rPr>
                <w:rFonts w:ascii="Calibri" w:hAnsi="Calibri" w:cs="Arial"/>
                <w:sz w:val="20"/>
                <w:szCs w:val="20"/>
              </w:rPr>
              <w:t>Study eligibility criteria;</w:t>
            </w:r>
          </w:p>
          <w:p w14:paraId="333427DA" w14:textId="77777777" w:rsidR="00387983" w:rsidRPr="0053354E" w:rsidRDefault="00387983" w:rsidP="005D1C73">
            <w:pPr>
              <w:pStyle w:val="ListParagraph"/>
              <w:widowControl/>
              <w:numPr>
                <w:ilvl w:val="0"/>
                <w:numId w:val="1"/>
              </w:numPr>
              <w:autoSpaceDE/>
              <w:adjustRightInd/>
              <w:contextualSpacing/>
              <w:rPr>
                <w:rFonts w:ascii="Calibri" w:hAnsi="Calibri" w:cs="Arial"/>
                <w:sz w:val="20"/>
                <w:szCs w:val="20"/>
              </w:rPr>
            </w:pPr>
            <w:r w:rsidRPr="0053354E">
              <w:rPr>
                <w:rFonts w:ascii="Calibri" w:hAnsi="Calibri" w:cs="Arial"/>
                <w:sz w:val="20"/>
                <w:szCs w:val="20"/>
              </w:rPr>
              <w:t>Study appraisal methods, if conducted;</w:t>
            </w:r>
          </w:p>
          <w:p w14:paraId="72E9A22B" w14:textId="77777777" w:rsidR="00387983" w:rsidRPr="0053354E" w:rsidRDefault="00387983" w:rsidP="005D1C73">
            <w:pPr>
              <w:pStyle w:val="ListParagraph"/>
              <w:widowControl/>
              <w:numPr>
                <w:ilvl w:val="0"/>
                <w:numId w:val="1"/>
              </w:numPr>
              <w:autoSpaceDE/>
              <w:adjustRightInd/>
              <w:contextualSpacing/>
              <w:rPr>
                <w:rFonts w:ascii="Calibri" w:hAnsi="Calibri" w:cs="Arial"/>
                <w:sz w:val="20"/>
                <w:szCs w:val="20"/>
              </w:rPr>
            </w:pPr>
            <w:r w:rsidRPr="0053354E">
              <w:rPr>
                <w:rFonts w:ascii="Calibri" w:hAnsi="Calibri" w:cs="Arial"/>
                <w:sz w:val="20"/>
                <w:szCs w:val="20"/>
              </w:rPr>
              <w:t xml:space="preserve">Results; </w:t>
            </w:r>
          </w:p>
          <w:p w14:paraId="07FF52DF" w14:textId="77777777" w:rsidR="00387983" w:rsidRPr="0053354E" w:rsidRDefault="00387983" w:rsidP="005D1C73">
            <w:pPr>
              <w:pStyle w:val="ListParagraph"/>
              <w:widowControl/>
              <w:numPr>
                <w:ilvl w:val="0"/>
                <w:numId w:val="1"/>
              </w:numPr>
              <w:autoSpaceDE/>
              <w:adjustRightInd/>
              <w:contextualSpacing/>
              <w:rPr>
                <w:rFonts w:ascii="Calibri" w:hAnsi="Calibri" w:cs="Arial"/>
                <w:sz w:val="20"/>
                <w:szCs w:val="20"/>
              </w:rPr>
            </w:pPr>
            <w:r w:rsidRPr="0053354E">
              <w:rPr>
                <w:rFonts w:ascii="Calibri" w:hAnsi="Calibri" w:cs="Arial"/>
                <w:sz w:val="20"/>
                <w:szCs w:val="20"/>
              </w:rPr>
              <w:t xml:space="preserve">Limitations; conclusions and implications of key findings; </w:t>
            </w:r>
          </w:p>
          <w:p w14:paraId="691AE33E" w14:textId="77777777" w:rsidR="00387983" w:rsidRPr="0053354E" w:rsidRDefault="00387983" w:rsidP="005D1C73">
            <w:pPr>
              <w:pStyle w:val="ListParagraph"/>
              <w:widowControl/>
              <w:numPr>
                <w:ilvl w:val="0"/>
                <w:numId w:val="1"/>
              </w:numPr>
              <w:autoSpaceDE/>
              <w:adjustRightInd/>
              <w:contextualSpacing/>
              <w:rPr>
                <w:rFonts w:ascii="Calibri" w:hAnsi="Calibri"/>
                <w:sz w:val="20"/>
                <w:szCs w:val="20"/>
              </w:rPr>
            </w:pPr>
            <w:r w:rsidRPr="0053354E">
              <w:rPr>
                <w:rFonts w:ascii="Calibri" w:hAnsi="Calibri" w:cs="Arial"/>
                <w:sz w:val="20"/>
                <w:szCs w:val="20"/>
              </w:rPr>
              <w:t>Systematic map registration number.</w:t>
            </w:r>
          </w:p>
        </w:tc>
        <w:tc>
          <w:tcPr>
            <w:tcW w:w="486" w:type="pct"/>
          </w:tcPr>
          <w:p w14:paraId="478C9E22" w14:textId="5E0B78EB" w:rsidR="00387983" w:rsidRPr="0053354E" w:rsidRDefault="00A209E8">
            <w:pPr>
              <w:spacing w:line="240" w:lineRule="auto"/>
              <w:rPr>
                <w:rFonts w:ascii="Calibri" w:hAnsi="Calibri"/>
                <w:sz w:val="20"/>
                <w:szCs w:val="20"/>
              </w:rPr>
            </w:pPr>
            <w:r>
              <w:rPr>
                <w:rFonts w:ascii="Calibri" w:hAnsi="Calibri"/>
                <w:sz w:val="20"/>
                <w:szCs w:val="20"/>
              </w:rPr>
              <w:t xml:space="preserve">1 (Introduction); 2 (Methods) </w:t>
            </w:r>
          </w:p>
        </w:tc>
        <w:tc>
          <w:tcPr>
            <w:tcW w:w="2430" w:type="pct"/>
          </w:tcPr>
          <w:p w14:paraId="789B6BAB" w14:textId="7350391D" w:rsidR="00387983" w:rsidRPr="0053354E" w:rsidRDefault="007E1178">
            <w:pPr>
              <w:spacing w:line="240" w:lineRule="auto"/>
              <w:rPr>
                <w:rFonts w:ascii="Calibri" w:hAnsi="Calibri"/>
                <w:sz w:val="20"/>
                <w:szCs w:val="20"/>
              </w:rPr>
            </w:pPr>
            <w:r w:rsidRPr="0053354E">
              <w:rPr>
                <w:rFonts w:ascii="Calibri" w:hAnsi="Calibri"/>
                <w:sz w:val="20"/>
                <w:szCs w:val="20"/>
              </w:rPr>
              <w:t>In the summary provided in the abstract</w:t>
            </w:r>
            <w:r w:rsidR="00875ED6" w:rsidRPr="0053354E">
              <w:rPr>
                <w:rFonts w:ascii="Calibri" w:hAnsi="Calibri"/>
                <w:sz w:val="20"/>
                <w:szCs w:val="20"/>
              </w:rPr>
              <w:t xml:space="preserve"> and in the methods sectio</w:t>
            </w:r>
            <w:r w:rsidR="00454BEB" w:rsidRPr="0053354E">
              <w:rPr>
                <w:rFonts w:ascii="Calibri" w:hAnsi="Calibri"/>
                <w:sz w:val="20"/>
                <w:szCs w:val="20"/>
              </w:rPr>
              <w:t>n</w:t>
            </w:r>
            <w:r w:rsidRPr="0053354E">
              <w:rPr>
                <w:rFonts w:ascii="Calibri" w:hAnsi="Calibri"/>
                <w:sz w:val="20"/>
                <w:szCs w:val="20"/>
              </w:rPr>
              <w:t>, we provide</w:t>
            </w:r>
            <w:r w:rsidR="008528E9" w:rsidRPr="0053354E">
              <w:rPr>
                <w:rFonts w:ascii="Calibri" w:hAnsi="Calibri"/>
                <w:sz w:val="20"/>
                <w:szCs w:val="20"/>
              </w:rPr>
              <w:t xml:space="preserve"> the background, objectives, data sources,</w:t>
            </w:r>
            <w:r w:rsidR="00280822" w:rsidRPr="0053354E">
              <w:rPr>
                <w:rFonts w:ascii="Calibri" w:hAnsi="Calibri"/>
                <w:sz w:val="20"/>
                <w:szCs w:val="20"/>
              </w:rPr>
              <w:t xml:space="preserve"> </w:t>
            </w:r>
            <w:r w:rsidR="00A209E8">
              <w:rPr>
                <w:rFonts w:ascii="Calibri" w:hAnsi="Calibri"/>
                <w:sz w:val="20"/>
                <w:szCs w:val="20"/>
              </w:rPr>
              <w:t xml:space="preserve">and </w:t>
            </w:r>
            <w:r w:rsidR="00280822" w:rsidRPr="0053354E">
              <w:rPr>
                <w:rFonts w:ascii="Calibri" w:hAnsi="Calibri"/>
                <w:sz w:val="20"/>
                <w:szCs w:val="20"/>
              </w:rPr>
              <w:t>study eligibility criteria.  T</w:t>
            </w:r>
            <w:r w:rsidRPr="0053354E">
              <w:rPr>
                <w:rFonts w:ascii="Calibri" w:hAnsi="Calibri"/>
                <w:sz w:val="20"/>
                <w:szCs w:val="20"/>
              </w:rPr>
              <w:t>he protocol registration information from 2019 via Zenodo (</w:t>
            </w:r>
            <w:hyperlink r:id="rId13" w:history="1">
              <w:r w:rsidRPr="0053354E">
                <w:rPr>
                  <w:rStyle w:val="Hyperlink"/>
                  <w:rFonts w:cstheme="minorHAnsi"/>
                  <w:sz w:val="20"/>
                  <w:szCs w:val="20"/>
                </w:rPr>
                <w:t>https://doi.org/10.5281/zenodo.3585771</w:t>
              </w:r>
            </w:hyperlink>
            <w:r w:rsidRPr="0053354E">
              <w:rPr>
                <w:rFonts w:cstheme="minorHAnsi"/>
                <w:sz w:val="20"/>
                <w:szCs w:val="20"/>
              </w:rPr>
              <w:t>)</w:t>
            </w:r>
            <w:r w:rsidR="009F1625" w:rsidRPr="0053354E">
              <w:rPr>
                <w:rFonts w:cstheme="minorHAnsi"/>
                <w:sz w:val="20"/>
                <w:szCs w:val="20"/>
              </w:rPr>
              <w:t xml:space="preserve"> which is in the </w:t>
            </w:r>
            <w:r w:rsidR="00E24DD2" w:rsidRPr="0053354E">
              <w:rPr>
                <w:rFonts w:cstheme="minorHAnsi"/>
                <w:sz w:val="20"/>
                <w:szCs w:val="20"/>
              </w:rPr>
              <w:t>Methods section</w:t>
            </w:r>
            <w:r w:rsidR="00503595" w:rsidRPr="0053354E">
              <w:rPr>
                <w:rFonts w:cstheme="minorHAnsi"/>
                <w:sz w:val="20"/>
                <w:szCs w:val="20"/>
              </w:rPr>
              <w:t xml:space="preserve">. </w:t>
            </w:r>
            <w:r w:rsidR="00E24DD2" w:rsidRPr="0053354E">
              <w:rPr>
                <w:rFonts w:cstheme="minorHAnsi"/>
                <w:sz w:val="20"/>
                <w:szCs w:val="20"/>
              </w:rPr>
              <w:t>Study appraisals were not conducted and are not a</w:t>
            </w:r>
            <w:r w:rsidR="005C12EF" w:rsidRPr="0053354E">
              <w:rPr>
                <w:rFonts w:cstheme="minorHAnsi"/>
                <w:sz w:val="20"/>
                <w:szCs w:val="20"/>
              </w:rPr>
              <w:t xml:space="preserve"> </w:t>
            </w:r>
            <w:r w:rsidR="00E24DD2" w:rsidRPr="0053354E">
              <w:rPr>
                <w:rFonts w:cstheme="minorHAnsi"/>
                <w:sz w:val="20"/>
                <w:szCs w:val="20"/>
              </w:rPr>
              <w:t xml:space="preserve">part of this evidence map. </w:t>
            </w:r>
            <w:r w:rsidR="00757C9F" w:rsidRPr="0053354E">
              <w:rPr>
                <w:rFonts w:ascii="Calibri" w:hAnsi="Calibri"/>
                <w:sz w:val="20"/>
                <w:szCs w:val="20"/>
              </w:rPr>
              <w:t xml:space="preserve">The results are reported </w:t>
            </w:r>
            <w:r w:rsidR="00A209E8">
              <w:rPr>
                <w:rFonts w:ascii="Calibri" w:hAnsi="Calibri"/>
                <w:sz w:val="20"/>
                <w:szCs w:val="20"/>
              </w:rPr>
              <w:t>in Section 3</w:t>
            </w:r>
            <w:r w:rsidR="00757C9F" w:rsidRPr="0053354E">
              <w:rPr>
                <w:rFonts w:ascii="Calibri" w:hAnsi="Calibri"/>
                <w:sz w:val="20"/>
                <w:szCs w:val="20"/>
              </w:rPr>
              <w:t xml:space="preserve">. </w:t>
            </w:r>
            <w:r w:rsidR="00503595" w:rsidRPr="0053354E">
              <w:rPr>
                <w:rFonts w:cstheme="minorHAnsi"/>
                <w:sz w:val="20"/>
                <w:szCs w:val="20"/>
              </w:rPr>
              <w:t>Limitations</w:t>
            </w:r>
            <w:r w:rsidR="00A209E8">
              <w:rPr>
                <w:rFonts w:cstheme="minorHAnsi"/>
                <w:sz w:val="20"/>
                <w:szCs w:val="20"/>
              </w:rPr>
              <w:t>, conclusions,</w:t>
            </w:r>
            <w:r w:rsidR="00503595" w:rsidRPr="0053354E">
              <w:rPr>
                <w:rFonts w:cstheme="minorHAnsi"/>
                <w:sz w:val="20"/>
                <w:szCs w:val="20"/>
              </w:rPr>
              <w:t xml:space="preserve"> and implications of findings are discussed in</w:t>
            </w:r>
            <w:r w:rsidR="00A209E8">
              <w:rPr>
                <w:rFonts w:cstheme="minorHAnsi"/>
                <w:sz w:val="20"/>
                <w:szCs w:val="20"/>
              </w:rPr>
              <w:t xml:space="preserve"> Section 4</w:t>
            </w:r>
            <w:r w:rsidR="00503595" w:rsidRPr="0053354E">
              <w:rPr>
                <w:rFonts w:cstheme="minorHAnsi"/>
                <w:sz w:val="20"/>
                <w:szCs w:val="20"/>
              </w:rPr>
              <w:t xml:space="preserve">.  </w:t>
            </w:r>
          </w:p>
        </w:tc>
      </w:tr>
      <w:tr w:rsidR="00387983" w:rsidRPr="0053354E" w14:paraId="64067117" w14:textId="77777777" w:rsidTr="00D77BF9">
        <w:tc>
          <w:tcPr>
            <w:tcW w:w="5000" w:type="pct"/>
            <w:gridSpan w:val="5"/>
            <w:hideMark/>
          </w:tcPr>
          <w:p w14:paraId="78FB8411" w14:textId="77777777" w:rsidR="00387983" w:rsidRPr="0053354E" w:rsidRDefault="00387983">
            <w:pPr>
              <w:spacing w:line="240" w:lineRule="auto"/>
              <w:rPr>
                <w:rFonts w:ascii="Calibri" w:hAnsi="Calibri"/>
                <w:b/>
                <w:sz w:val="20"/>
                <w:szCs w:val="20"/>
              </w:rPr>
            </w:pPr>
            <w:r w:rsidRPr="0053354E">
              <w:rPr>
                <w:rFonts w:ascii="Calibri" w:hAnsi="Calibri"/>
                <w:b/>
                <w:sz w:val="20"/>
                <w:szCs w:val="20"/>
              </w:rPr>
              <w:t>Introduction</w:t>
            </w:r>
          </w:p>
        </w:tc>
      </w:tr>
      <w:tr w:rsidR="001D3DF8" w:rsidRPr="0053354E" w14:paraId="594CEF01" w14:textId="77777777" w:rsidTr="00D77BF9">
        <w:tc>
          <w:tcPr>
            <w:tcW w:w="164" w:type="pct"/>
            <w:hideMark/>
          </w:tcPr>
          <w:p w14:paraId="662D755E" w14:textId="77777777" w:rsidR="00387983" w:rsidRPr="0053354E" w:rsidRDefault="00387983">
            <w:pPr>
              <w:spacing w:line="240" w:lineRule="auto"/>
              <w:rPr>
                <w:rFonts w:ascii="Calibri" w:hAnsi="Calibri"/>
                <w:sz w:val="20"/>
                <w:szCs w:val="20"/>
              </w:rPr>
            </w:pPr>
            <w:r w:rsidRPr="0053354E">
              <w:rPr>
                <w:rFonts w:ascii="Calibri" w:hAnsi="Calibri"/>
                <w:sz w:val="20"/>
                <w:szCs w:val="20"/>
              </w:rPr>
              <w:t>3</w:t>
            </w:r>
          </w:p>
        </w:tc>
        <w:tc>
          <w:tcPr>
            <w:tcW w:w="517" w:type="pct"/>
            <w:hideMark/>
          </w:tcPr>
          <w:p w14:paraId="78FC7435" w14:textId="77777777" w:rsidR="00387983" w:rsidRPr="0053354E" w:rsidRDefault="00387983">
            <w:pPr>
              <w:spacing w:line="240" w:lineRule="auto"/>
              <w:rPr>
                <w:rFonts w:ascii="Calibri" w:hAnsi="Calibri"/>
                <w:sz w:val="20"/>
                <w:szCs w:val="20"/>
              </w:rPr>
            </w:pPr>
            <w:r w:rsidRPr="0053354E">
              <w:rPr>
                <w:rFonts w:ascii="Calibri" w:hAnsi="Calibri"/>
                <w:sz w:val="20"/>
                <w:szCs w:val="20"/>
              </w:rPr>
              <w:t>Rationale</w:t>
            </w:r>
          </w:p>
        </w:tc>
        <w:tc>
          <w:tcPr>
            <w:tcW w:w="1403" w:type="pct"/>
            <w:hideMark/>
          </w:tcPr>
          <w:p w14:paraId="08030606"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Describe the rationale for the map.</w:t>
            </w:r>
          </w:p>
        </w:tc>
        <w:tc>
          <w:tcPr>
            <w:tcW w:w="486" w:type="pct"/>
          </w:tcPr>
          <w:p w14:paraId="770AD5E4" w14:textId="5DAD5E91" w:rsidR="00387983" w:rsidRPr="0053354E" w:rsidRDefault="00A209E8">
            <w:pPr>
              <w:spacing w:line="240" w:lineRule="auto"/>
              <w:rPr>
                <w:rFonts w:ascii="Calibri" w:hAnsi="Calibri"/>
                <w:sz w:val="20"/>
                <w:szCs w:val="20"/>
              </w:rPr>
            </w:pPr>
            <w:r>
              <w:rPr>
                <w:rFonts w:ascii="Calibri" w:hAnsi="Calibri"/>
                <w:sz w:val="20"/>
                <w:szCs w:val="20"/>
              </w:rPr>
              <w:t>1 (Introduction)</w:t>
            </w:r>
          </w:p>
        </w:tc>
        <w:tc>
          <w:tcPr>
            <w:tcW w:w="2430" w:type="pct"/>
          </w:tcPr>
          <w:p w14:paraId="75BC7121" w14:textId="439716C3" w:rsidR="00387983" w:rsidRPr="0053354E" w:rsidRDefault="007E1178">
            <w:pPr>
              <w:spacing w:line="240" w:lineRule="auto"/>
              <w:rPr>
                <w:rFonts w:ascii="Calibri" w:hAnsi="Calibri"/>
                <w:sz w:val="20"/>
                <w:szCs w:val="20"/>
              </w:rPr>
            </w:pPr>
            <w:r w:rsidRPr="0053354E">
              <w:rPr>
                <w:rFonts w:ascii="Calibri" w:hAnsi="Calibri"/>
                <w:sz w:val="20"/>
                <w:szCs w:val="20"/>
              </w:rPr>
              <w:t>In the introduction, we note that “</w:t>
            </w:r>
            <w:r w:rsidRPr="0053354E">
              <w:rPr>
                <w:rFonts w:eastAsia="Times New Roman" w:cstheme="minorHAnsi"/>
                <w:sz w:val="20"/>
                <w:szCs w:val="20"/>
              </w:rPr>
              <w:t>New research in the years since ATSDR’s assessments were published has suggested the potential for additional hazards, notably metabolic and cardiovascular effects. Furthermore, the full database of PCB literature has never been reviewed using systematic methods with the intent to identify most of the available evidence informing noncancer health hazards of exposure to PCB mixtures”</w:t>
            </w:r>
          </w:p>
        </w:tc>
      </w:tr>
      <w:tr w:rsidR="001D3DF8" w:rsidRPr="0053354E" w14:paraId="09A19CFA" w14:textId="77777777" w:rsidTr="00D77BF9">
        <w:tc>
          <w:tcPr>
            <w:tcW w:w="164" w:type="pct"/>
            <w:hideMark/>
          </w:tcPr>
          <w:p w14:paraId="7779E87B" w14:textId="77777777" w:rsidR="00387983" w:rsidRPr="0053354E" w:rsidRDefault="00387983">
            <w:pPr>
              <w:spacing w:line="240" w:lineRule="auto"/>
              <w:rPr>
                <w:rFonts w:ascii="Calibri" w:hAnsi="Calibri"/>
                <w:sz w:val="20"/>
                <w:szCs w:val="20"/>
              </w:rPr>
            </w:pPr>
            <w:r w:rsidRPr="0053354E">
              <w:rPr>
                <w:rFonts w:ascii="Calibri" w:hAnsi="Calibri"/>
                <w:sz w:val="20"/>
                <w:szCs w:val="20"/>
              </w:rPr>
              <w:t>4</w:t>
            </w:r>
          </w:p>
        </w:tc>
        <w:tc>
          <w:tcPr>
            <w:tcW w:w="517" w:type="pct"/>
            <w:hideMark/>
          </w:tcPr>
          <w:p w14:paraId="1AD89ED6" w14:textId="77777777" w:rsidR="00387983" w:rsidRPr="0053354E" w:rsidRDefault="00387983">
            <w:pPr>
              <w:spacing w:line="240" w:lineRule="auto"/>
              <w:rPr>
                <w:rFonts w:ascii="Calibri" w:hAnsi="Calibri"/>
                <w:sz w:val="20"/>
                <w:szCs w:val="20"/>
              </w:rPr>
            </w:pPr>
            <w:r w:rsidRPr="0053354E">
              <w:rPr>
                <w:rFonts w:ascii="Calibri" w:hAnsi="Calibri"/>
                <w:sz w:val="20"/>
                <w:szCs w:val="20"/>
              </w:rPr>
              <w:t>Objectives</w:t>
            </w:r>
          </w:p>
        </w:tc>
        <w:tc>
          <w:tcPr>
            <w:tcW w:w="1403" w:type="pct"/>
            <w:hideMark/>
          </w:tcPr>
          <w:p w14:paraId="03523DCE" w14:textId="77777777" w:rsidR="00387983" w:rsidRPr="0053354E" w:rsidRDefault="00387983">
            <w:pPr>
              <w:spacing w:line="240" w:lineRule="auto"/>
              <w:rPr>
                <w:rFonts w:ascii="Calibri" w:hAnsi="Calibri"/>
                <w:sz w:val="20"/>
                <w:szCs w:val="20"/>
              </w:rPr>
            </w:pPr>
            <w:r w:rsidRPr="0053354E">
              <w:rPr>
                <w:rFonts w:ascii="Calibri" w:hAnsi="Calibri"/>
                <w:sz w:val="20"/>
                <w:szCs w:val="20"/>
              </w:rPr>
              <w:t>Define primary and secondary questions for the systematic map.</w:t>
            </w:r>
          </w:p>
        </w:tc>
        <w:tc>
          <w:tcPr>
            <w:tcW w:w="486" w:type="pct"/>
          </w:tcPr>
          <w:p w14:paraId="0519B4F2" w14:textId="1D364B47" w:rsidR="00387983" w:rsidRPr="0053354E" w:rsidRDefault="00A209E8">
            <w:pPr>
              <w:spacing w:line="240" w:lineRule="auto"/>
              <w:rPr>
                <w:rFonts w:ascii="Calibri" w:hAnsi="Calibri"/>
                <w:sz w:val="20"/>
                <w:szCs w:val="20"/>
              </w:rPr>
            </w:pPr>
            <w:r>
              <w:rPr>
                <w:rFonts w:ascii="Calibri" w:hAnsi="Calibri"/>
                <w:sz w:val="20"/>
                <w:szCs w:val="20"/>
              </w:rPr>
              <w:t>1 (Introduction)</w:t>
            </w:r>
          </w:p>
        </w:tc>
        <w:tc>
          <w:tcPr>
            <w:tcW w:w="2430" w:type="pct"/>
          </w:tcPr>
          <w:p w14:paraId="463F68BB" w14:textId="789AB3B3" w:rsidR="00387983" w:rsidRPr="00500008" w:rsidRDefault="007E1178" w:rsidP="00500008">
            <w:pPr>
              <w:contextualSpacing/>
              <w:textAlignment w:val="baseline"/>
              <w:rPr>
                <w:rFonts w:eastAsia="Times New Roman" w:cstheme="minorHAnsi"/>
                <w:sz w:val="20"/>
                <w:szCs w:val="20"/>
              </w:rPr>
            </w:pPr>
            <w:r w:rsidRPr="0053354E">
              <w:rPr>
                <w:rFonts w:ascii="Calibri" w:hAnsi="Calibri"/>
                <w:sz w:val="20"/>
                <w:szCs w:val="20"/>
              </w:rPr>
              <w:t>In the introduction, we provide objectives for the map “</w:t>
            </w:r>
            <w:r w:rsidRPr="0053354E">
              <w:rPr>
                <w:rFonts w:eastAsia="Times New Roman" w:cstheme="minorHAnsi"/>
                <w:sz w:val="20"/>
                <w:szCs w:val="20"/>
              </w:rPr>
              <w:t xml:space="preserve">This evidence map’s main objective is to summarize available noncancer health outcome data for mammalian toxicology and human epidemiology </w:t>
            </w:r>
            <w:r w:rsidRPr="0053354E">
              <w:rPr>
                <w:rFonts w:eastAsia="Times New Roman" w:cstheme="minorHAnsi"/>
                <w:sz w:val="20"/>
                <w:szCs w:val="20"/>
              </w:rPr>
              <w:lastRenderedPageBreak/>
              <w:t xml:space="preserve">studies of exposures to PCB mixtures. By identifying health outcomes with evidence bases </w:t>
            </w:r>
            <w:r w:rsidR="00174D1F" w:rsidRPr="0053354E">
              <w:rPr>
                <w:rFonts w:eastAsia="Times New Roman" w:cstheme="minorHAnsi"/>
                <w:sz w:val="20"/>
                <w:szCs w:val="20"/>
              </w:rPr>
              <w:t>sufficient</w:t>
            </w:r>
            <w:r w:rsidRPr="0053354E">
              <w:rPr>
                <w:rFonts w:eastAsia="Times New Roman" w:cstheme="minorHAnsi"/>
                <w:sz w:val="20"/>
                <w:szCs w:val="20"/>
              </w:rPr>
              <w:t xml:space="preserve"> to support evaluations of coherence across both human and animal evidence and biologically related endpoints, we are able to highlight outcomes for future systematic reviews that have the highest likelihood of supporting a causal analysis of relationships with exposure to PCB mixtures. In addition, data gaps can be identified to inform future research efforts. Conversely, by identifying areas with </w:t>
            </w:r>
            <w:r w:rsidR="00213474" w:rsidRPr="0053354E">
              <w:rPr>
                <w:rFonts w:eastAsia="Times New Roman" w:cstheme="minorHAnsi"/>
                <w:sz w:val="20"/>
                <w:szCs w:val="20"/>
              </w:rPr>
              <w:t>poorer</w:t>
            </w:r>
            <w:r w:rsidRPr="0053354E">
              <w:rPr>
                <w:rFonts w:eastAsia="Times New Roman" w:cstheme="minorHAnsi"/>
                <w:sz w:val="20"/>
                <w:szCs w:val="20"/>
              </w:rPr>
              <w:t xml:space="preserve"> databases, this evidence map can also be used to inform future research efforts on topics that have been insufficiently studied.”</w:t>
            </w:r>
          </w:p>
        </w:tc>
      </w:tr>
      <w:tr w:rsidR="00387983" w:rsidRPr="0053354E" w14:paraId="33F303E4" w14:textId="77777777" w:rsidTr="00D77BF9">
        <w:trPr>
          <w:trHeight w:val="168"/>
        </w:trPr>
        <w:tc>
          <w:tcPr>
            <w:tcW w:w="5000" w:type="pct"/>
            <w:gridSpan w:val="5"/>
            <w:hideMark/>
          </w:tcPr>
          <w:p w14:paraId="180FDF37" w14:textId="77777777" w:rsidR="00387983" w:rsidRPr="0053354E" w:rsidRDefault="00387983">
            <w:pPr>
              <w:spacing w:line="240" w:lineRule="auto"/>
              <w:rPr>
                <w:rFonts w:ascii="Calibri" w:hAnsi="Calibri"/>
                <w:b/>
                <w:sz w:val="20"/>
                <w:szCs w:val="20"/>
              </w:rPr>
            </w:pPr>
            <w:r w:rsidRPr="0053354E">
              <w:rPr>
                <w:rFonts w:ascii="Calibri" w:hAnsi="Calibri"/>
                <w:b/>
                <w:sz w:val="20"/>
                <w:szCs w:val="20"/>
              </w:rPr>
              <w:lastRenderedPageBreak/>
              <w:t>Methods</w:t>
            </w:r>
          </w:p>
        </w:tc>
      </w:tr>
      <w:tr w:rsidR="001D3DF8" w:rsidRPr="0053354E" w14:paraId="6CA7977D" w14:textId="77777777" w:rsidTr="00D77BF9">
        <w:tc>
          <w:tcPr>
            <w:tcW w:w="164" w:type="pct"/>
            <w:hideMark/>
          </w:tcPr>
          <w:p w14:paraId="0CE9238A" w14:textId="77777777" w:rsidR="00387983" w:rsidRPr="0053354E" w:rsidRDefault="00387983">
            <w:pPr>
              <w:spacing w:line="240" w:lineRule="auto"/>
              <w:rPr>
                <w:rFonts w:ascii="Calibri" w:hAnsi="Calibri"/>
                <w:sz w:val="20"/>
                <w:szCs w:val="20"/>
              </w:rPr>
            </w:pPr>
            <w:r w:rsidRPr="0053354E">
              <w:rPr>
                <w:rFonts w:ascii="Calibri" w:hAnsi="Calibri"/>
                <w:sz w:val="20"/>
                <w:szCs w:val="20"/>
              </w:rPr>
              <w:t>5</w:t>
            </w:r>
          </w:p>
        </w:tc>
        <w:tc>
          <w:tcPr>
            <w:tcW w:w="517" w:type="pct"/>
            <w:hideMark/>
          </w:tcPr>
          <w:p w14:paraId="67051336" w14:textId="77777777" w:rsidR="00387983" w:rsidRPr="0053354E" w:rsidRDefault="00387983">
            <w:pPr>
              <w:spacing w:line="240" w:lineRule="auto"/>
              <w:rPr>
                <w:rFonts w:ascii="Calibri" w:hAnsi="Calibri"/>
                <w:sz w:val="20"/>
                <w:szCs w:val="20"/>
              </w:rPr>
            </w:pPr>
            <w:r w:rsidRPr="0053354E">
              <w:rPr>
                <w:rFonts w:ascii="Calibri" w:hAnsi="Calibri"/>
                <w:sz w:val="20"/>
                <w:szCs w:val="20"/>
              </w:rPr>
              <w:t>Protocol and registration</w:t>
            </w:r>
          </w:p>
        </w:tc>
        <w:tc>
          <w:tcPr>
            <w:tcW w:w="1403" w:type="pct"/>
            <w:hideMark/>
          </w:tcPr>
          <w:p w14:paraId="48BEF3A8"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Indicate if a map protocol exists, if and where it can be accessed (e.g., Web address), and, if available, provide registration information including registration number.</w:t>
            </w:r>
          </w:p>
        </w:tc>
        <w:tc>
          <w:tcPr>
            <w:tcW w:w="486" w:type="pct"/>
          </w:tcPr>
          <w:p w14:paraId="6096433B" w14:textId="1A237866" w:rsidR="00387983" w:rsidRPr="0053354E" w:rsidRDefault="00A209E8">
            <w:pPr>
              <w:spacing w:line="240" w:lineRule="auto"/>
              <w:rPr>
                <w:rFonts w:ascii="Calibri" w:hAnsi="Calibri"/>
                <w:sz w:val="20"/>
                <w:szCs w:val="20"/>
              </w:rPr>
            </w:pPr>
            <w:r>
              <w:rPr>
                <w:rFonts w:ascii="Calibri" w:hAnsi="Calibri"/>
                <w:sz w:val="20"/>
                <w:szCs w:val="20"/>
              </w:rPr>
              <w:t>2 (Methods)</w:t>
            </w:r>
          </w:p>
        </w:tc>
        <w:tc>
          <w:tcPr>
            <w:tcW w:w="2430" w:type="pct"/>
          </w:tcPr>
          <w:p w14:paraId="370C69EA" w14:textId="162051F2" w:rsidR="007E1178" w:rsidRPr="0053354E" w:rsidRDefault="007E1178">
            <w:pPr>
              <w:spacing w:line="240" w:lineRule="auto"/>
              <w:rPr>
                <w:sz w:val="20"/>
                <w:szCs w:val="20"/>
              </w:rPr>
            </w:pPr>
            <w:r w:rsidRPr="0053354E">
              <w:rPr>
                <w:sz w:val="20"/>
                <w:szCs w:val="20"/>
              </w:rPr>
              <w:t>The systematic review protocol was published in 2019 and is accessible here:</w:t>
            </w:r>
          </w:p>
          <w:p w14:paraId="1B61B9F7" w14:textId="77777777" w:rsidR="00387983" w:rsidRPr="0053354E" w:rsidRDefault="005101FD">
            <w:pPr>
              <w:spacing w:line="240" w:lineRule="auto"/>
              <w:rPr>
                <w:rStyle w:val="Hyperlink"/>
              </w:rPr>
            </w:pPr>
            <w:hyperlink r:id="rId14" w:anchor=".Xfu_okdKhaR" w:history="1">
              <w:r w:rsidR="007E1178" w:rsidRPr="0053354E">
                <w:rPr>
                  <w:rStyle w:val="Hyperlink"/>
                  <w:sz w:val="20"/>
                  <w:szCs w:val="20"/>
                </w:rPr>
                <w:t>https://zenodo.org/record/3585772#.Xfu_okdKhaR</w:t>
              </w:r>
            </w:hyperlink>
            <w:r w:rsidR="00503595" w:rsidRPr="0053354E">
              <w:rPr>
                <w:rStyle w:val="Hyperlink"/>
                <w:sz w:val="20"/>
                <w:szCs w:val="20"/>
              </w:rPr>
              <w:t>.</w:t>
            </w:r>
            <w:r w:rsidR="00503595" w:rsidRPr="0053354E">
              <w:rPr>
                <w:rStyle w:val="Hyperlink"/>
              </w:rPr>
              <w:t xml:space="preserve"> </w:t>
            </w:r>
          </w:p>
          <w:p w14:paraId="7F9E080B" w14:textId="707BBBFF" w:rsidR="00503595" w:rsidRPr="0053354E" w:rsidRDefault="00503595">
            <w:pPr>
              <w:spacing w:line="240" w:lineRule="auto"/>
              <w:rPr>
                <w:rFonts w:ascii="Calibri" w:hAnsi="Calibri"/>
                <w:sz w:val="20"/>
                <w:szCs w:val="20"/>
              </w:rPr>
            </w:pPr>
          </w:p>
        </w:tc>
      </w:tr>
      <w:tr w:rsidR="001D3DF8" w:rsidRPr="0053354E" w14:paraId="609E9899" w14:textId="77777777" w:rsidTr="00D77BF9">
        <w:tc>
          <w:tcPr>
            <w:tcW w:w="164" w:type="pct"/>
            <w:hideMark/>
          </w:tcPr>
          <w:p w14:paraId="746B7C3C" w14:textId="77777777" w:rsidR="00387983" w:rsidRPr="0053354E" w:rsidRDefault="00387983">
            <w:pPr>
              <w:spacing w:line="240" w:lineRule="auto"/>
              <w:rPr>
                <w:rFonts w:ascii="Calibri" w:hAnsi="Calibri"/>
                <w:sz w:val="20"/>
                <w:szCs w:val="20"/>
              </w:rPr>
            </w:pPr>
            <w:r w:rsidRPr="0053354E">
              <w:rPr>
                <w:rFonts w:ascii="Calibri" w:hAnsi="Calibri"/>
                <w:sz w:val="20"/>
                <w:szCs w:val="20"/>
              </w:rPr>
              <w:t>6</w:t>
            </w:r>
          </w:p>
        </w:tc>
        <w:tc>
          <w:tcPr>
            <w:tcW w:w="517" w:type="pct"/>
            <w:hideMark/>
          </w:tcPr>
          <w:p w14:paraId="5A8A044E" w14:textId="77777777" w:rsidR="00387983" w:rsidRPr="0053354E" w:rsidRDefault="00387983">
            <w:pPr>
              <w:spacing w:line="240" w:lineRule="auto"/>
              <w:rPr>
                <w:rFonts w:ascii="Calibri" w:hAnsi="Calibri"/>
                <w:sz w:val="20"/>
                <w:szCs w:val="20"/>
              </w:rPr>
            </w:pPr>
            <w:r w:rsidRPr="0053354E">
              <w:rPr>
                <w:rFonts w:ascii="Calibri" w:hAnsi="Calibri"/>
                <w:sz w:val="20"/>
                <w:szCs w:val="20"/>
              </w:rPr>
              <w:t>Eligibility criteria</w:t>
            </w:r>
          </w:p>
        </w:tc>
        <w:tc>
          <w:tcPr>
            <w:tcW w:w="1403" w:type="pct"/>
            <w:hideMark/>
          </w:tcPr>
          <w:p w14:paraId="7BD3FD92"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Specify characteristics of study reports used as criteria for eligibility, giving rationale.</w:t>
            </w:r>
          </w:p>
        </w:tc>
        <w:tc>
          <w:tcPr>
            <w:tcW w:w="486" w:type="pct"/>
          </w:tcPr>
          <w:p w14:paraId="0EB3D70F" w14:textId="134E0555" w:rsidR="00387983" w:rsidRPr="0053354E" w:rsidRDefault="00A209E8">
            <w:pPr>
              <w:spacing w:line="240" w:lineRule="auto"/>
              <w:rPr>
                <w:rFonts w:ascii="Calibri" w:hAnsi="Calibri"/>
                <w:sz w:val="20"/>
                <w:szCs w:val="20"/>
              </w:rPr>
            </w:pPr>
            <w:r>
              <w:rPr>
                <w:rFonts w:ascii="Calibri" w:hAnsi="Calibri"/>
                <w:sz w:val="20"/>
                <w:szCs w:val="20"/>
              </w:rPr>
              <w:t>2 (Methods)</w:t>
            </w:r>
          </w:p>
        </w:tc>
        <w:tc>
          <w:tcPr>
            <w:tcW w:w="2430" w:type="pct"/>
          </w:tcPr>
          <w:p w14:paraId="244E083C" w14:textId="56DD3326" w:rsidR="00387983" w:rsidRPr="0053354E" w:rsidRDefault="00806B8E">
            <w:pPr>
              <w:spacing w:line="240" w:lineRule="auto"/>
              <w:rPr>
                <w:rFonts w:ascii="Calibri" w:hAnsi="Calibri"/>
                <w:sz w:val="20"/>
                <w:szCs w:val="20"/>
              </w:rPr>
            </w:pPr>
            <w:r w:rsidRPr="0053354E">
              <w:rPr>
                <w:rFonts w:ascii="Calibri" w:hAnsi="Calibri"/>
                <w:sz w:val="20"/>
                <w:szCs w:val="20"/>
              </w:rPr>
              <w:t>PECO criteria</w:t>
            </w:r>
            <w:r w:rsidR="00503595" w:rsidRPr="0053354E">
              <w:rPr>
                <w:rFonts w:ascii="Calibri" w:hAnsi="Calibri"/>
                <w:sz w:val="20"/>
                <w:szCs w:val="20"/>
              </w:rPr>
              <w:t xml:space="preserve"> for study eligibility</w:t>
            </w:r>
            <w:r w:rsidRPr="0053354E">
              <w:rPr>
                <w:rFonts w:ascii="Calibri" w:hAnsi="Calibri"/>
                <w:sz w:val="20"/>
                <w:szCs w:val="20"/>
              </w:rPr>
              <w:t xml:space="preserve"> are included in Table 1</w:t>
            </w:r>
            <w:r w:rsidR="00EA746F" w:rsidRPr="0053354E">
              <w:rPr>
                <w:rFonts w:ascii="Calibri" w:hAnsi="Calibri"/>
                <w:sz w:val="20"/>
                <w:szCs w:val="20"/>
              </w:rPr>
              <w:t xml:space="preserve"> </w:t>
            </w:r>
            <w:r w:rsidR="007E1178" w:rsidRPr="0053354E">
              <w:rPr>
                <w:rFonts w:ascii="Calibri" w:hAnsi="Calibri"/>
                <w:sz w:val="20"/>
                <w:szCs w:val="20"/>
              </w:rPr>
              <w:t xml:space="preserve"> and described in the Methods </w:t>
            </w:r>
            <w:r w:rsidR="00A209E8">
              <w:rPr>
                <w:rFonts w:ascii="Calibri" w:hAnsi="Calibri"/>
                <w:sz w:val="20"/>
                <w:szCs w:val="20"/>
              </w:rPr>
              <w:t>S</w:t>
            </w:r>
            <w:r w:rsidR="007E1178" w:rsidRPr="0053354E">
              <w:rPr>
                <w:rFonts w:ascii="Calibri" w:hAnsi="Calibri"/>
                <w:sz w:val="20"/>
                <w:szCs w:val="20"/>
              </w:rPr>
              <w:t>ection</w:t>
            </w:r>
            <w:r w:rsidR="00EA746F" w:rsidRPr="0053354E">
              <w:rPr>
                <w:rFonts w:ascii="Calibri" w:hAnsi="Calibri"/>
                <w:sz w:val="20"/>
                <w:szCs w:val="20"/>
              </w:rPr>
              <w:t xml:space="preserve"> </w:t>
            </w:r>
            <w:r w:rsidR="00A209E8">
              <w:rPr>
                <w:rFonts w:ascii="Calibri" w:hAnsi="Calibri"/>
                <w:sz w:val="20"/>
                <w:szCs w:val="20"/>
              </w:rPr>
              <w:t>2</w:t>
            </w:r>
            <w:r w:rsidRPr="0053354E">
              <w:rPr>
                <w:rFonts w:ascii="Calibri" w:hAnsi="Calibri"/>
                <w:sz w:val="20"/>
                <w:szCs w:val="20"/>
              </w:rPr>
              <w:t xml:space="preserve">. </w:t>
            </w:r>
          </w:p>
        </w:tc>
      </w:tr>
      <w:tr w:rsidR="001D3DF8" w:rsidRPr="0053354E" w14:paraId="0D7C1EC5" w14:textId="77777777" w:rsidTr="00D77BF9">
        <w:tc>
          <w:tcPr>
            <w:tcW w:w="164" w:type="pct"/>
            <w:hideMark/>
          </w:tcPr>
          <w:p w14:paraId="3F510544" w14:textId="77777777" w:rsidR="00387983" w:rsidRPr="0053354E" w:rsidRDefault="00387983">
            <w:pPr>
              <w:spacing w:line="240" w:lineRule="auto"/>
              <w:rPr>
                <w:rFonts w:ascii="Calibri" w:hAnsi="Calibri"/>
                <w:sz w:val="20"/>
                <w:szCs w:val="20"/>
              </w:rPr>
            </w:pPr>
            <w:r w:rsidRPr="0053354E">
              <w:rPr>
                <w:rFonts w:ascii="Calibri" w:hAnsi="Calibri"/>
                <w:sz w:val="20"/>
                <w:szCs w:val="20"/>
              </w:rPr>
              <w:t>7</w:t>
            </w:r>
          </w:p>
        </w:tc>
        <w:tc>
          <w:tcPr>
            <w:tcW w:w="517" w:type="pct"/>
            <w:hideMark/>
          </w:tcPr>
          <w:p w14:paraId="2243D9D2" w14:textId="77777777" w:rsidR="00387983" w:rsidRPr="0053354E" w:rsidRDefault="00387983">
            <w:pPr>
              <w:spacing w:line="240" w:lineRule="auto"/>
              <w:rPr>
                <w:rFonts w:ascii="Calibri" w:hAnsi="Calibri"/>
                <w:sz w:val="20"/>
                <w:szCs w:val="20"/>
              </w:rPr>
            </w:pPr>
            <w:r w:rsidRPr="0053354E">
              <w:rPr>
                <w:rFonts w:ascii="Calibri" w:hAnsi="Calibri"/>
                <w:sz w:val="20"/>
                <w:szCs w:val="20"/>
              </w:rPr>
              <w:t>Information sources</w:t>
            </w:r>
          </w:p>
        </w:tc>
        <w:tc>
          <w:tcPr>
            <w:tcW w:w="1403" w:type="pct"/>
            <w:hideMark/>
          </w:tcPr>
          <w:p w14:paraId="20081825"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Describe all information sources (e.g., databases with dates of coverage, contact with study authors to identify additional studies) in the search and date last searched.</w:t>
            </w:r>
          </w:p>
        </w:tc>
        <w:tc>
          <w:tcPr>
            <w:tcW w:w="486" w:type="pct"/>
          </w:tcPr>
          <w:p w14:paraId="71930886" w14:textId="26554034" w:rsidR="00387983" w:rsidRPr="0053354E" w:rsidRDefault="00A209E8">
            <w:pPr>
              <w:spacing w:line="240" w:lineRule="auto"/>
              <w:rPr>
                <w:rFonts w:ascii="Calibri" w:hAnsi="Calibri"/>
                <w:sz w:val="20"/>
                <w:szCs w:val="20"/>
              </w:rPr>
            </w:pPr>
            <w:r>
              <w:rPr>
                <w:rFonts w:ascii="Calibri" w:hAnsi="Calibri"/>
                <w:sz w:val="20"/>
                <w:szCs w:val="20"/>
              </w:rPr>
              <w:t>2 (Methods)</w:t>
            </w:r>
          </w:p>
        </w:tc>
        <w:tc>
          <w:tcPr>
            <w:tcW w:w="2430" w:type="pct"/>
          </w:tcPr>
          <w:p w14:paraId="30BAE8A7" w14:textId="6B465E58" w:rsidR="00387983" w:rsidRPr="0053354E" w:rsidRDefault="005C7156" w:rsidP="005C7156">
            <w:pPr>
              <w:pStyle w:val="IRBodyText"/>
              <w:spacing w:line="240" w:lineRule="auto"/>
              <w:ind w:firstLine="0"/>
              <w:contextualSpacing/>
              <w:rPr>
                <w:rFonts w:asciiTheme="minorHAnsi" w:hAnsiTheme="minorHAnsi" w:cstheme="minorBidi"/>
                <w:sz w:val="20"/>
              </w:rPr>
            </w:pPr>
            <w:r w:rsidRPr="0053354E">
              <w:rPr>
                <w:rFonts w:ascii="Calibri" w:hAnsi="Calibri"/>
                <w:sz w:val="20"/>
              </w:rPr>
              <w:t>The literature search is described in the Methods section “</w:t>
            </w:r>
            <w:r w:rsidRPr="0053354E">
              <w:rPr>
                <w:rStyle w:val="IRBodyTextChar"/>
                <w:rFonts w:asciiTheme="minorHAnsi" w:hAnsiTheme="minorHAnsi" w:cstheme="minorBidi"/>
                <w:sz w:val="20"/>
              </w:rPr>
              <w:t xml:space="preserve">The literature search strategy relied on terms describing PCB mixtures and individual congeners (e.g., “polychlorinated biphenyls”, “Aroclor”, “PCB”, “tetrachlorobiphenyl”) to gather information on exposure to the chemicals of interest.  Additional exposure terms were used to identify studies that were not indexed by the chemical name (e.g., "capacitor manufacturing workers", "Yu-Cheng", "New York State Angler Cohort").  These search terms were intentionally broad and did not prioritize studies in which exposure was quantified; this was considered during screening of the literature.  The detailed search strategies are presented in Supplemental File 1.  Peer-reviewed literature was identified by searching PubMed (National Library of Medicine), Web of Science (Clarivate Analytics), and Toxline (National Library of Medicine). The original search, conducted in 2015, was not restricted by publication date </w:t>
            </w:r>
            <w:r w:rsidRPr="0053354E">
              <w:rPr>
                <w:rStyle w:val="IRBodyTextChar"/>
                <w:rFonts w:asciiTheme="minorHAnsi" w:eastAsiaTheme="minorEastAsia" w:hAnsiTheme="minorHAnsi" w:cstheme="minorBidi"/>
                <w:sz w:val="20"/>
              </w:rPr>
              <w:t>or</w:t>
            </w:r>
            <w:r w:rsidRPr="0053354E">
              <w:rPr>
                <w:rStyle w:val="IRBodyTextChar"/>
                <w:rFonts w:asciiTheme="minorHAnsi" w:hAnsiTheme="minorHAnsi" w:cstheme="minorBidi"/>
                <w:sz w:val="20"/>
              </w:rPr>
              <w:t xml:space="preserve"> language. Literature search updates were conducted yearly and were restricted to the 12-month period since the original search or the most recent update.</w:t>
            </w:r>
            <w:r w:rsidRPr="0053354E">
              <w:rPr>
                <w:rStyle w:val="IRBodyTextChar"/>
                <w:rFonts w:asciiTheme="minorHAnsi" w:eastAsiaTheme="minorEastAsia" w:hAnsiTheme="minorHAnsi" w:cstheme="minorBidi"/>
                <w:sz w:val="20"/>
              </w:rPr>
              <w:t xml:space="preserve"> Records identified through the original literature search were prioritized electronically as described below.</w:t>
            </w:r>
            <w:r w:rsidRPr="0053354E">
              <w:rPr>
                <w:rStyle w:val="IRBodyTextChar"/>
                <w:rFonts w:asciiTheme="minorHAnsi" w:hAnsiTheme="minorHAnsi" w:cstheme="minorBidi"/>
                <w:sz w:val="20"/>
              </w:rPr>
              <w:t>”</w:t>
            </w:r>
            <w:r w:rsidR="00290E07" w:rsidRPr="0053354E">
              <w:rPr>
                <w:rStyle w:val="IRBodyTextChar"/>
                <w:rFonts w:asciiTheme="minorHAnsi" w:hAnsiTheme="minorHAnsi" w:cstheme="minorBidi"/>
                <w:sz w:val="20"/>
              </w:rPr>
              <w:t xml:space="preserve"> </w:t>
            </w:r>
            <w:r w:rsidR="00290E07" w:rsidRPr="0053354E">
              <w:rPr>
                <w:rStyle w:val="IRBodyTextChar"/>
                <w:rFonts w:asciiTheme="minorHAnsi" w:hAnsiTheme="minorHAnsi"/>
                <w:sz w:val="20"/>
              </w:rPr>
              <w:t>The literature was updated to include all the 2021 literature just prior to submission</w:t>
            </w:r>
            <w:r w:rsidR="006070AD" w:rsidRPr="0053354E">
              <w:rPr>
                <w:rStyle w:val="IRBodyTextChar"/>
                <w:rFonts w:asciiTheme="minorHAnsi" w:hAnsiTheme="minorHAnsi"/>
                <w:sz w:val="20"/>
              </w:rPr>
              <w:t>.</w:t>
            </w:r>
          </w:p>
        </w:tc>
      </w:tr>
      <w:tr w:rsidR="001D3DF8" w:rsidRPr="0053354E" w14:paraId="04295911" w14:textId="77777777" w:rsidTr="00D77BF9">
        <w:tc>
          <w:tcPr>
            <w:tcW w:w="164" w:type="pct"/>
            <w:hideMark/>
          </w:tcPr>
          <w:p w14:paraId="6DB525B5" w14:textId="77777777" w:rsidR="00387983" w:rsidRPr="0053354E" w:rsidRDefault="00387983">
            <w:pPr>
              <w:spacing w:line="240" w:lineRule="auto"/>
              <w:rPr>
                <w:rFonts w:ascii="Calibri" w:hAnsi="Calibri"/>
                <w:sz w:val="20"/>
                <w:szCs w:val="20"/>
              </w:rPr>
            </w:pPr>
            <w:r w:rsidRPr="0053354E">
              <w:rPr>
                <w:rFonts w:ascii="Calibri" w:hAnsi="Calibri"/>
                <w:sz w:val="20"/>
                <w:szCs w:val="20"/>
              </w:rPr>
              <w:lastRenderedPageBreak/>
              <w:t>8</w:t>
            </w:r>
          </w:p>
        </w:tc>
        <w:tc>
          <w:tcPr>
            <w:tcW w:w="517" w:type="pct"/>
            <w:hideMark/>
          </w:tcPr>
          <w:p w14:paraId="59748F28" w14:textId="77777777" w:rsidR="00387983" w:rsidRPr="0053354E" w:rsidRDefault="00387983">
            <w:pPr>
              <w:spacing w:line="240" w:lineRule="auto"/>
              <w:rPr>
                <w:rFonts w:ascii="Calibri" w:hAnsi="Calibri"/>
                <w:sz w:val="20"/>
                <w:szCs w:val="20"/>
              </w:rPr>
            </w:pPr>
            <w:r w:rsidRPr="0053354E">
              <w:rPr>
                <w:rFonts w:ascii="Calibri" w:hAnsi="Calibri"/>
                <w:sz w:val="20"/>
                <w:szCs w:val="20"/>
              </w:rPr>
              <w:t>Search</w:t>
            </w:r>
          </w:p>
        </w:tc>
        <w:tc>
          <w:tcPr>
            <w:tcW w:w="1403" w:type="pct"/>
            <w:hideMark/>
          </w:tcPr>
          <w:p w14:paraId="67A4DBDA"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Present full electronic search strategy for at least one database, including any limits used, such that it could be repeated.</w:t>
            </w:r>
          </w:p>
        </w:tc>
        <w:tc>
          <w:tcPr>
            <w:tcW w:w="486" w:type="pct"/>
          </w:tcPr>
          <w:p w14:paraId="3A9330BC" w14:textId="7433A167" w:rsidR="00387983" w:rsidRPr="0053354E" w:rsidRDefault="005C7156">
            <w:pPr>
              <w:spacing w:line="240" w:lineRule="auto"/>
              <w:rPr>
                <w:rFonts w:ascii="Calibri" w:hAnsi="Calibri"/>
                <w:sz w:val="20"/>
                <w:szCs w:val="20"/>
              </w:rPr>
            </w:pPr>
            <w:r w:rsidRPr="0053354E">
              <w:rPr>
                <w:rFonts w:ascii="Calibri" w:hAnsi="Calibri"/>
                <w:sz w:val="20"/>
                <w:szCs w:val="20"/>
              </w:rPr>
              <w:t>Supplemental file 1</w:t>
            </w:r>
          </w:p>
        </w:tc>
        <w:tc>
          <w:tcPr>
            <w:tcW w:w="2430" w:type="pct"/>
          </w:tcPr>
          <w:p w14:paraId="3BC15D69" w14:textId="638CAF78" w:rsidR="00387983" w:rsidRPr="0053354E" w:rsidRDefault="00806B8E">
            <w:pPr>
              <w:spacing w:line="240" w:lineRule="auto"/>
              <w:rPr>
                <w:rFonts w:ascii="Calibri" w:hAnsi="Calibri"/>
                <w:sz w:val="20"/>
                <w:szCs w:val="20"/>
              </w:rPr>
            </w:pPr>
            <w:r w:rsidRPr="0053354E">
              <w:rPr>
                <w:rFonts w:ascii="Calibri" w:hAnsi="Calibri"/>
                <w:sz w:val="20"/>
                <w:szCs w:val="20"/>
              </w:rPr>
              <w:t>The detailed search strategies are presented in Supplemental File 1.</w:t>
            </w:r>
          </w:p>
        </w:tc>
      </w:tr>
      <w:tr w:rsidR="001D3DF8" w:rsidRPr="0053354E" w14:paraId="5E8EC2A7" w14:textId="77777777" w:rsidTr="00D77BF9">
        <w:tc>
          <w:tcPr>
            <w:tcW w:w="164" w:type="pct"/>
            <w:hideMark/>
          </w:tcPr>
          <w:p w14:paraId="414AA570" w14:textId="77777777" w:rsidR="00387983" w:rsidRPr="0053354E" w:rsidRDefault="00387983">
            <w:pPr>
              <w:spacing w:line="240" w:lineRule="auto"/>
              <w:rPr>
                <w:rFonts w:ascii="Calibri" w:hAnsi="Calibri"/>
                <w:sz w:val="20"/>
                <w:szCs w:val="20"/>
              </w:rPr>
            </w:pPr>
            <w:r w:rsidRPr="0053354E">
              <w:rPr>
                <w:rFonts w:ascii="Calibri" w:hAnsi="Calibri"/>
                <w:sz w:val="20"/>
                <w:szCs w:val="20"/>
              </w:rPr>
              <w:t>9</w:t>
            </w:r>
          </w:p>
        </w:tc>
        <w:tc>
          <w:tcPr>
            <w:tcW w:w="517" w:type="pct"/>
            <w:hideMark/>
          </w:tcPr>
          <w:p w14:paraId="67B97F5E" w14:textId="77777777" w:rsidR="00387983" w:rsidRPr="0053354E" w:rsidRDefault="00387983">
            <w:pPr>
              <w:spacing w:line="240" w:lineRule="auto"/>
              <w:rPr>
                <w:rFonts w:ascii="Calibri" w:hAnsi="Calibri"/>
                <w:sz w:val="20"/>
                <w:szCs w:val="20"/>
              </w:rPr>
            </w:pPr>
            <w:r w:rsidRPr="0053354E">
              <w:rPr>
                <w:rFonts w:ascii="Calibri" w:hAnsi="Calibri"/>
                <w:sz w:val="20"/>
                <w:szCs w:val="20"/>
              </w:rPr>
              <w:t>Study selection</w:t>
            </w:r>
          </w:p>
        </w:tc>
        <w:tc>
          <w:tcPr>
            <w:tcW w:w="1403" w:type="pct"/>
            <w:hideMark/>
          </w:tcPr>
          <w:p w14:paraId="52583681"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State the process for selecting studies (i.e., screening, eligibility, included in systematic map).</w:t>
            </w:r>
          </w:p>
        </w:tc>
        <w:tc>
          <w:tcPr>
            <w:tcW w:w="486" w:type="pct"/>
          </w:tcPr>
          <w:p w14:paraId="1D2FC849" w14:textId="602F27FE" w:rsidR="00387983" w:rsidRPr="0053354E" w:rsidRDefault="00A209E8">
            <w:pPr>
              <w:spacing w:line="240" w:lineRule="auto"/>
              <w:rPr>
                <w:rFonts w:ascii="Calibri" w:hAnsi="Calibri"/>
                <w:sz w:val="20"/>
                <w:szCs w:val="20"/>
              </w:rPr>
            </w:pPr>
            <w:r>
              <w:rPr>
                <w:rFonts w:ascii="Calibri" w:hAnsi="Calibri"/>
                <w:sz w:val="20"/>
                <w:szCs w:val="20"/>
              </w:rPr>
              <w:t>2 (Methods)</w:t>
            </w:r>
          </w:p>
        </w:tc>
        <w:tc>
          <w:tcPr>
            <w:tcW w:w="2430" w:type="pct"/>
          </w:tcPr>
          <w:p w14:paraId="4D234EB1" w14:textId="2E318F3D" w:rsidR="00387983" w:rsidRPr="0053354E" w:rsidRDefault="00C25578">
            <w:pPr>
              <w:spacing w:line="240" w:lineRule="auto"/>
              <w:rPr>
                <w:rFonts w:ascii="Calibri" w:hAnsi="Calibri"/>
                <w:sz w:val="20"/>
                <w:szCs w:val="20"/>
              </w:rPr>
            </w:pPr>
            <w:r w:rsidRPr="0053354E">
              <w:rPr>
                <w:rFonts w:ascii="Calibri" w:hAnsi="Calibri"/>
                <w:sz w:val="20"/>
                <w:szCs w:val="20"/>
              </w:rPr>
              <w:t>PECO criteria are included in Table 1.</w:t>
            </w:r>
            <w:r w:rsidR="00CD0B32" w:rsidRPr="0053354E">
              <w:rPr>
                <w:rFonts w:ascii="Calibri" w:hAnsi="Calibri"/>
                <w:sz w:val="20"/>
                <w:szCs w:val="20"/>
              </w:rPr>
              <w:t xml:space="preserve"> Screening (title / abstract and full text)</w:t>
            </w:r>
            <w:r w:rsidR="00503595" w:rsidRPr="0053354E">
              <w:rPr>
                <w:rFonts w:ascii="Calibri" w:hAnsi="Calibri"/>
                <w:sz w:val="20"/>
                <w:szCs w:val="20"/>
              </w:rPr>
              <w:t xml:space="preserve"> are</w:t>
            </w:r>
            <w:r w:rsidR="00CD0B32" w:rsidRPr="0053354E">
              <w:rPr>
                <w:rFonts w:ascii="Calibri" w:hAnsi="Calibri"/>
                <w:sz w:val="20"/>
                <w:szCs w:val="20"/>
              </w:rPr>
              <w:t xml:space="preserve"> described in </w:t>
            </w:r>
            <w:r w:rsidR="008246C3" w:rsidRPr="0053354E">
              <w:rPr>
                <w:rFonts w:ascii="Calibri" w:hAnsi="Calibri"/>
                <w:sz w:val="20"/>
                <w:szCs w:val="20"/>
              </w:rPr>
              <w:t xml:space="preserve">the methods </w:t>
            </w:r>
            <w:r w:rsidR="00CD0B32" w:rsidRPr="0053354E">
              <w:rPr>
                <w:rFonts w:ascii="Calibri" w:hAnsi="Calibri"/>
                <w:sz w:val="20"/>
                <w:szCs w:val="20"/>
              </w:rPr>
              <w:t xml:space="preserve">sections </w:t>
            </w:r>
            <w:r w:rsidR="00A209E8">
              <w:rPr>
                <w:rFonts w:ascii="Calibri" w:hAnsi="Calibri"/>
                <w:sz w:val="20"/>
                <w:szCs w:val="20"/>
              </w:rPr>
              <w:t>2.1 through 2.3</w:t>
            </w:r>
            <w:r w:rsidR="005C7156" w:rsidRPr="0053354E">
              <w:rPr>
                <w:rFonts w:ascii="Calibri" w:hAnsi="Calibri"/>
                <w:sz w:val="20"/>
                <w:szCs w:val="20"/>
              </w:rPr>
              <w:t>.</w:t>
            </w:r>
            <w:r w:rsidR="00290E07" w:rsidRPr="0053354E">
              <w:rPr>
                <w:rFonts w:ascii="Calibri" w:hAnsi="Calibri"/>
                <w:sz w:val="20"/>
                <w:szCs w:val="20"/>
              </w:rPr>
              <w:t xml:space="preserve"> </w:t>
            </w:r>
            <w:r w:rsidR="007967F6" w:rsidRPr="0053354E">
              <w:rPr>
                <w:rFonts w:ascii="Calibri" w:hAnsi="Calibri"/>
                <w:sz w:val="20"/>
                <w:szCs w:val="20"/>
              </w:rPr>
              <w:t>All studies that were identified as PECO relevant were included in the systematic map.</w:t>
            </w:r>
          </w:p>
        </w:tc>
      </w:tr>
      <w:tr w:rsidR="001D3DF8" w:rsidRPr="0053354E" w14:paraId="6543D572" w14:textId="77777777" w:rsidTr="00D77BF9">
        <w:tc>
          <w:tcPr>
            <w:tcW w:w="164" w:type="pct"/>
            <w:hideMark/>
          </w:tcPr>
          <w:p w14:paraId="25CE5F28" w14:textId="77777777" w:rsidR="00387983" w:rsidRPr="0053354E" w:rsidRDefault="00387983">
            <w:pPr>
              <w:spacing w:line="240" w:lineRule="auto"/>
              <w:rPr>
                <w:rFonts w:ascii="Calibri" w:hAnsi="Calibri"/>
                <w:sz w:val="20"/>
                <w:szCs w:val="20"/>
              </w:rPr>
            </w:pPr>
            <w:r w:rsidRPr="0053354E">
              <w:rPr>
                <w:rFonts w:ascii="Calibri" w:hAnsi="Calibri"/>
                <w:sz w:val="20"/>
                <w:szCs w:val="20"/>
              </w:rPr>
              <w:t>10</w:t>
            </w:r>
          </w:p>
        </w:tc>
        <w:tc>
          <w:tcPr>
            <w:tcW w:w="517" w:type="pct"/>
            <w:hideMark/>
          </w:tcPr>
          <w:p w14:paraId="792536E1" w14:textId="77777777" w:rsidR="00387983" w:rsidRPr="0053354E" w:rsidRDefault="00387983">
            <w:pPr>
              <w:spacing w:line="240" w:lineRule="auto"/>
              <w:rPr>
                <w:rFonts w:ascii="Calibri" w:hAnsi="Calibri"/>
                <w:sz w:val="20"/>
                <w:szCs w:val="20"/>
              </w:rPr>
            </w:pPr>
            <w:r w:rsidRPr="0053354E">
              <w:rPr>
                <w:rFonts w:ascii="Calibri" w:hAnsi="Calibri"/>
                <w:sz w:val="20"/>
                <w:szCs w:val="20"/>
              </w:rPr>
              <w:t>Data collection process</w:t>
            </w:r>
          </w:p>
        </w:tc>
        <w:tc>
          <w:tcPr>
            <w:tcW w:w="1403" w:type="pct"/>
            <w:hideMark/>
          </w:tcPr>
          <w:p w14:paraId="23B73C2B"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Describe method of data extraction from reports (e.g., piloted forms, independently, in duplicate) and any processes for obtaining and confirming data from investigators.</w:t>
            </w:r>
          </w:p>
        </w:tc>
        <w:tc>
          <w:tcPr>
            <w:tcW w:w="486" w:type="pct"/>
          </w:tcPr>
          <w:p w14:paraId="478BFCC9" w14:textId="02572ED0" w:rsidR="00387983" w:rsidRPr="0053354E" w:rsidRDefault="00A209E8">
            <w:pPr>
              <w:spacing w:line="240" w:lineRule="auto"/>
              <w:rPr>
                <w:rFonts w:ascii="Calibri" w:hAnsi="Calibri"/>
                <w:sz w:val="20"/>
                <w:szCs w:val="20"/>
              </w:rPr>
            </w:pPr>
            <w:r>
              <w:rPr>
                <w:rFonts w:ascii="Calibri" w:hAnsi="Calibri"/>
                <w:sz w:val="20"/>
                <w:szCs w:val="20"/>
              </w:rPr>
              <w:t>2 (Methods)</w:t>
            </w:r>
          </w:p>
        </w:tc>
        <w:tc>
          <w:tcPr>
            <w:tcW w:w="2430" w:type="pct"/>
          </w:tcPr>
          <w:p w14:paraId="606D8994" w14:textId="1D678D5F" w:rsidR="00387983" w:rsidRPr="0053354E" w:rsidRDefault="005F36BD" w:rsidP="00500008">
            <w:pPr>
              <w:pStyle w:val="IRBodyText"/>
              <w:spacing w:line="240" w:lineRule="auto"/>
              <w:ind w:firstLine="0"/>
              <w:rPr>
                <w:rFonts w:ascii="Arial" w:hAnsi="Arial" w:cs="Arial"/>
              </w:rPr>
            </w:pPr>
            <w:r w:rsidRPr="0053354E">
              <w:rPr>
                <w:rFonts w:asciiTheme="minorHAnsi" w:hAnsiTheme="minorHAnsi" w:cstheme="minorHAnsi"/>
                <w:sz w:val="20"/>
              </w:rPr>
              <w:t>References retrieved through August 2016 were screened and tagged using DRAGON. Screening decisions and study metadata recorded in DRAGON (v. 03-25-2016) were recently moved to a second generation, web-based platform rebranded as litstream</w:t>
            </w:r>
            <w:r w:rsidRPr="0053354E">
              <w:rPr>
                <w:rFonts w:asciiTheme="minorHAnsi" w:hAnsiTheme="minorHAnsi" w:cstheme="minorHAnsi"/>
                <w:sz w:val="20"/>
                <w:vertAlign w:val="superscript"/>
              </w:rPr>
              <w:t xml:space="preserve">TM </w:t>
            </w:r>
            <w:r w:rsidRPr="0053354E">
              <w:rPr>
                <w:rFonts w:asciiTheme="minorHAnsi" w:hAnsiTheme="minorHAnsi" w:cstheme="minorHAnsi"/>
                <w:sz w:val="20"/>
              </w:rPr>
              <w:fldChar w:fldCharType="begin"/>
            </w:r>
            <w:r w:rsidRPr="0053354E">
              <w:rPr>
                <w:rFonts w:asciiTheme="minorHAnsi" w:hAnsiTheme="minorHAnsi" w:cstheme="minorHAnsi"/>
                <w:sz w:val="20"/>
              </w:rPr>
              <w:instrText xml:space="preserve"> ADDIN EN.CITE &lt;EndNote&gt;&lt;Cite&gt;&lt;Author&gt;ICF&lt;/Author&gt;&lt;Year&gt;2019&lt;/Year&gt;&lt;RecNum&gt;1759&lt;/RecNum&gt;&lt;IDText&gt;7681662&lt;/IDText&gt;&lt;DisplayText&gt;(ICF, 2019)&lt;/DisplayText&gt;&lt;record&gt;&lt;rec-number&gt;1759&lt;/rec-number&gt;&lt;foreign-keys&gt;&lt;key app="EN" db-id="59szfadauef20mea9agvsp0rxxv2seeaxvsf" timestamp="1652390336"&gt;1759&lt;/key&gt;&lt;/foreign-keys&gt;&lt;ref-type name="Journal Article"&gt;17&lt;/ref-type&gt;&lt;contributors&gt;&lt;authors&gt;&lt;author&gt;ICF,&lt;/author&gt;&lt;/authors&gt;&lt;/contributors&gt;&lt;titles&gt;&lt;title&gt;Litstream&lt;/title&gt;&lt;/titles&gt;&lt;dates&gt;&lt;year&gt;2019&lt;/year&gt;&lt;/dates&gt;&lt;label&gt;7681662&lt;/label&gt;&lt;work-type&gt;Website&lt;/work-type&gt;&lt;urls&gt;&lt;related-urls&gt;&lt;url&gt;https://www.icf.com/technology/litstream&lt;/url&gt;&lt;/related-urls&gt;&lt;/urls&gt;&lt;language&gt;English&lt;/language&gt;&lt;/record&gt;&lt;/Cite&gt;&lt;/EndNote&gt;</w:instrText>
            </w:r>
            <w:r w:rsidRPr="0053354E">
              <w:rPr>
                <w:rFonts w:asciiTheme="minorHAnsi" w:hAnsiTheme="minorHAnsi" w:cstheme="minorHAnsi"/>
                <w:sz w:val="20"/>
              </w:rPr>
              <w:fldChar w:fldCharType="separate"/>
            </w:r>
            <w:r w:rsidRPr="0053354E">
              <w:rPr>
                <w:rFonts w:asciiTheme="minorHAnsi" w:hAnsiTheme="minorHAnsi" w:cstheme="minorHAnsi"/>
                <w:noProof/>
                <w:sz w:val="20"/>
              </w:rPr>
              <w:t>(ICF, 2019)</w:t>
            </w:r>
            <w:r w:rsidRPr="0053354E">
              <w:rPr>
                <w:rFonts w:asciiTheme="minorHAnsi" w:hAnsiTheme="minorHAnsi" w:cstheme="minorHAnsi"/>
                <w:sz w:val="20"/>
              </w:rPr>
              <w:fldChar w:fldCharType="end"/>
            </w:r>
            <w:r w:rsidRPr="0053354E">
              <w:rPr>
                <w:rFonts w:asciiTheme="minorHAnsi" w:hAnsiTheme="minorHAnsi" w:cstheme="minorHAnsi"/>
                <w:sz w:val="20"/>
              </w:rPr>
              <w:t xml:space="preserve">. References identified in search updates after August 2016 were screened in SWIFT-Active Screener until the software indicated a likelihood of 95% that all relevant studies had been captured. This threshold is comparable to human error rates </w:t>
            </w:r>
            <w:r w:rsidRPr="0053354E">
              <w:rPr>
                <w:rFonts w:asciiTheme="minorHAnsi" w:hAnsiTheme="minorHAnsi" w:cstheme="minorHAnsi"/>
                <w:sz w:val="20"/>
              </w:rPr>
              <w:fldChar w:fldCharType="begin">
                <w:fldData xml:space="preserve">PEVuZE5vdGU+PENpdGU+PEF1dGhvcj5CYW5uYWNoLUJyb3duPC9BdXRob3I+PFllYXI+MjAxODwv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</w:fldData>
              </w:fldChar>
            </w:r>
            <w:r w:rsidRPr="0053354E">
              <w:rPr>
                <w:rFonts w:asciiTheme="minorHAnsi" w:hAnsiTheme="minorHAnsi" w:cstheme="minorHAnsi"/>
                <w:sz w:val="20"/>
              </w:rPr>
              <w:instrText xml:space="preserve"> ADDIN EN.CITE </w:instrText>
            </w:r>
            <w:r w:rsidRPr="0053354E">
              <w:rPr>
                <w:rFonts w:asciiTheme="minorHAnsi" w:hAnsiTheme="minorHAnsi" w:cstheme="minorHAnsi"/>
                <w:sz w:val="20"/>
              </w:rPr>
              <w:fldChar w:fldCharType="begin">
                <w:fldData xml:space="preserve">PEVuZE5vdGU+PENpdGU+PEF1dGhvcj5CYW5uYWNoLUJyb3duPC9BdXRob3I+PFllYXI+MjAxODwv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</w:fldData>
              </w:fldChar>
            </w:r>
            <w:r w:rsidRPr="0053354E">
              <w:rPr>
                <w:rFonts w:asciiTheme="minorHAnsi" w:hAnsiTheme="minorHAnsi" w:cstheme="minorHAnsi"/>
                <w:sz w:val="20"/>
              </w:rPr>
              <w:instrText xml:space="preserve"> ADDIN EN.CITE.DATA </w:instrText>
            </w:r>
            <w:r w:rsidRPr="0053354E">
              <w:rPr>
                <w:rFonts w:asciiTheme="minorHAnsi" w:hAnsiTheme="minorHAnsi" w:cstheme="minorHAnsi"/>
                <w:sz w:val="20"/>
              </w:rPr>
            </w:r>
            <w:r w:rsidRPr="0053354E">
              <w:rPr>
                <w:rFonts w:asciiTheme="minorHAnsi" w:hAnsiTheme="minorHAnsi" w:cstheme="minorHAnsi"/>
                <w:sz w:val="20"/>
              </w:rPr>
              <w:fldChar w:fldCharType="end"/>
            </w:r>
            <w:r w:rsidRPr="0053354E">
              <w:rPr>
                <w:rFonts w:asciiTheme="minorHAnsi" w:hAnsiTheme="minorHAnsi" w:cstheme="minorHAnsi"/>
                <w:sz w:val="20"/>
              </w:rPr>
            </w:r>
            <w:r w:rsidRPr="0053354E">
              <w:rPr>
                <w:rFonts w:asciiTheme="minorHAnsi" w:hAnsiTheme="minorHAnsi" w:cstheme="minorHAnsi"/>
                <w:sz w:val="20"/>
              </w:rPr>
              <w:fldChar w:fldCharType="separate"/>
            </w:r>
            <w:r w:rsidRPr="0053354E">
              <w:rPr>
                <w:rFonts w:asciiTheme="minorHAnsi" w:hAnsiTheme="minorHAnsi" w:cstheme="minorHAnsi"/>
                <w:noProof/>
                <w:sz w:val="20"/>
              </w:rPr>
              <w:t>(Bannach-Brown et al., 2018; Howard et al., 2016; Cohen et al., 2006)</w:t>
            </w:r>
            <w:r w:rsidRPr="0053354E">
              <w:rPr>
                <w:rFonts w:asciiTheme="minorHAnsi" w:hAnsiTheme="minorHAnsi" w:cstheme="minorHAnsi"/>
                <w:sz w:val="20"/>
              </w:rPr>
              <w:fldChar w:fldCharType="end"/>
            </w:r>
            <w:r w:rsidRPr="0053354E">
              <w:rPr>
                <w:rFonts w:asciiTheme="minorHAnsi" w:hAnsiTheme="minorHAnsi" w:cstheme="minorHAnsi"/>
                <w:sz w:val="20"/>
              </w:rPr>
              <w:t xml:space="preserve"> and is used as a metric to evaluate ML performance. </w:t>
            </w:r>
            <w:r w:rsidRPr="0053354E">
              <w:rPr>
                <w:rStyle w:val="IRBodyTextChar"/>
                <w:rFonts w:asciiTheme="minorHAnsi" w:hAnsiTheme="minorHAnsi" w:cstheme="minorHAnsi"/>
                <w:sz w:val="20"/>
              </w:rPr>
              <w:t xml:space="preserve">A summary of literature prioritized using SWIFT-Active Screener is provided in Table S1F. These </w:t>
            </w:r>
            <w:r w:rsidRPr="0053354E">
              <w:rPr>
                <w:rStyle w:val="IRBodyTextChar"/>
                <w:rFonts w:ascii="Arial" w:hAnsi="Arial"/>
              </w:rPr>
              <w:t>s</w:t>
            </w:r>
            <w:r w:rsidR="006D12D7" w:rsidRPr="0053354E">
              <w:rPr>
                <w:rFonts w:ascii="Calibri" w:hAnsi="Calibri"/>
                <w:sz w:val="20"/>
              </w:rPr>
              <w:t xml:space="preserve">tructured forms </w:t>
            </w:r>
            <w:r w:rsidR="00E91618" w:rsidRPr="0053354E">
              <w:rPr>
                <w:rFonts w:ascii="Calibri" w:hAnsi="Calibri"/>
                <w:sz w:val="20"/>
              </w:rPr>
              <w:t xml:space="preserve">were used </w:t>
            </w:r>
            <w:r w:rsidR="006D12D7" w:rsidRPr="0053354E">
              <w:rPr>
                <w:rFonts w:ascii="Calibri" w:hAnsi="Calibri"/>
                <w:sz w:val="20"/>
              </w:rPr>
              <w:t xml:space="preserve">for screening and </w:t>
            </w:r>
            <w:r w:rsidR="005842A6" w:rsidRPr="0053354E">
              <w:rPr>
                <w:rFonts w:ascii="Calibri" w:hAnsi="Calibri"/>
                <w:sz w:val="20"/>
              </w:rPr>
              <w:t>Excel forms</w:t>
            </w:r>
            <w:r w:rsidR="00E91618" w:rsidRPr="0053354E">
              <w:rPr>
                <w:rFonts w:ascii="Calibri" w:hAnsi="Calibri"/>
                <w:sz w:val="20"/>
              </w:rPr>
              <w:t xml:space="preserve"> were </w:t>
            </w:r>
            <w:r w:rsidR="0092724D" w:rsidRPr="0053354E">
              <w:rPr>
                <w:rFonts w:ascii="Calibri" w:hAnsi="Calibri"/>
                <w:sz w:val="20"/>
              </w:rPr>
              <w:t>used for</w:t>
            </w:r>
            <w:r w:rsidR="005842A6" w:rsidRPr="0053354E">
              <w:rPr>
                <w:rFonts w:ascii="Calibri" w:hAnsi="Calibri"/>
                <w:sz w:val="20"/>
              </w:rPr>
              <w:t xml:space="preserve"> </w:t>
            </w:r>
            <w:r w:rsidR="00D70932" w:rsidRPr="0053354E">
              <w:rPr>
                <w:rFonts w:ascii="Calibri" w:hAnsi="Calibri"/>
                <w:sz w:val="20"/>
              </w:rPr>
              <w:t>inventory development</w:t>
            </w:r>
            <w:r w:rsidR="005842A6" w:rsidRPr="0053354E">
              <w:rPr>
                <w:rFonts w:ascii="Calibri" w:hAnsi="Calibri"/>
                <w:sz w:val="20"/>
              </w:rPr>
              <w:t xml:space="preserve"> mentioned in </w:t>
            </w:r>
            <w:r w:rsidR="003960EA" w:rsidRPr="0053354E">
              <w:rPr>
                <w:rFonts w:ascii="Calibri" w:hAnsi="Calibri"/>
                <w:sz w:val="20"/>
              </w:rPr>
              <w:t xml:space="preserve">methods </w:t>
            </w:r>
            <w:r w:rsidR="005C7156" w:rsidRPr="0053354E">
              <w:rPr>
                <w:rFonts w:ascii="Calibri" w:hAnsi="Calibri"/>
                <w:sz w:val="20"/>
              </w:rPr>
              <w:t>.“</w:t>
            </w:r>
            <w:r w:rsidR="0092724D" w:rsidRPr="0053354E">
              <w:rPr>
                <w:rFonts w:asciiTheme="minorHAnsi" w:hAnsiTheme="minorHAnsi" w:cstheme="minorHAnsi"/>
                <w:sz w:val="20"/>
              </w:rPr>
              <w:t>On the basis of the results for the full-text review, summary-level, sortable lists of relevant literature were created for human and animal (nonhuman mammalian) studies for each health system. Fundamental study design information (e.g., study population, exposure assessment/design, health endpoints evaluated) was extracted for each study in Microsoft Excel by one individual and independently reviewed by at least one additional individual.”</w:t>
            </w:r>
            <w:r w:rsidR="003917E5" w:rsidRPr="0053354E">
              <w:rPr>
                <w:rFonts w:asciiTheme="minorHAnsi" w:hAnsiTheme="minorHAnsi" w:cstheme="minorHAnsi"/>
                <w:sz w:val="20"/>
              </w:rPr>
              <w:t xml:space="preserve"> </w:t>
            </w:r>
          </w:p>
        </w:tc>
      </w:tr>
      <w:tr w:rsidR="001D3DF8" w:rsidRPr="0053354E" w14:paraId="3513D5D0" w14:textId="77777777" w:rsidTr="00D77BF9">
        <w:tc>
          <w:tcPr>
            <w:tcW w:w="164" w:type="pct"/>
            <w:hideMark/>
          </w:tcPr>
          <w:p w14:paraId="766058B8" w14:textId="77777777" w:rsidR="00387983" w:rsidRPr="0053354E" w:rsidRDefault="00387983">
            <w:pPr>
              <w:spacing w:line="240" w:lineRule="auto"/>
              <w:rPr>
                <w:rFonts w:ascii="Calibri" w:hAnsi="Calibri"/>
                <w:sz w:val="20"/>
                <w:szCs w:val="20"/>
              </w:rPr>
            </w:pPr>
            <w:r w:rsidRPr="0053354E">
              <w:rPr>
                <w:rFonts w:ascii="Calibri" w:hAnsi="Calibri"/>
                <w:sz w:val="20"/>
                <w:szCs w:val="20"/>
              </w:rPr>
              <w:t>11</w:t>
            </w:r>
          </w:p>
        </w:tc>
        <w:tc>
          <w:tcPr>
            <w:tcW w:w="517" w:type="pct"/>
            <w:hideMark/>
          </w:tcPr>
          <w:p w14:paraId="693870AB" w14:textId="77777777" w:rsidR="00387983" w:rsidRPr="0053354E" w:rsidRDefault="00387983">
            <w:pPr>
              <w:spacing w:line="240" w:lineRule="auto"/>
              <w:rPr>
                <w:rFonts w:ascii="Calibri" w:hAnsi="Calibri"/>
                <w:sz w:val="20"/>
                <w:szCs w:val="20"/>
              </w:rPr>
            </w:pPr>
            <w:r w:rsidRPr="0053354E">
              <w:rPr>
                <w:rFonts w:ascii="Calibri" w:hAnsi="Calibri"/>
                <w:sz w:val="20"/>
                <w:szCs w:val="20"/>
              </w:rPr>
              <w:t>Data coding strategy</w:t>
            </w:r>
          </w:p>
        </w:tc>
        <w:tc>
          <w:tcPr>
            <w:tcW w:w="1403" w:type="pct"/>
            <w:hideMark/>
          </w:tcPr>
          <w:p w14:paraId="35474AA1"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List and define all variables for which data were sought and any assumptions and simplifications made.</w:t>
            </w:r>
          </w:p>
        </w:tc>
        <w:tc>
          <w:tcPr>
            <w:tcW w:w="486" w:type="pct"/>
          </w:tcPr>
          <w:p w14:paraId="0B06DBA8" w14:textId="6D3BC43F" w:rsidR="00387983" w:rsidRPr="0053354E" w:rsidRDefault="00A209E8">
            <w:pPr>
              <w:spacing w:line="240" w:lineRule="auto"/>
              <w:rPr>
                <w:rFonts w:ascii="Calibri" w:hAnsi="Calibri"/>
                <w:sz w:val="20"/>
                <w:szCs w:val="20"/>
              </w:rPr>
            </w:pPr>
            <w:r>
              <w:rPr>
                <w:rFonts w:ascii="Calibri" w:hAnsi="Calibri"/>
                <w:sz w:val="20"/>
                <w:szCs w:val="20"/>
              </w:rPr>
              <w:t>2 (Methods)</w:t>
            </w:r>
          </w:p>
        </w:tc>
        <w:tc>
          <w:tcPr>
            <w:tcW w:w="2430" w:type="pct"/>
          </w:tcPr>
          <w:p w14:paraId="2125755B" w14:textId="28A72C49" w:rsidR="00387983" w:rsidRPr="0053354E" w:rsidRDefault="00DA686B">
            <w:pPr>
              <w:spacing w:line="240" w:lineRule="auto"/>
              <w:rPr>
                <w:rFonts w:ascii="Calibri" w:hAnsi="Calibri"/>
                <w:sz w:val="20"/>
                <w:szCs w:val="20"/>
              </w:rPr>
            </w:pPr>
            <w:r w:rsidRPr="0053354E">
              <w:rPr>
                <w:rFonts w:cstheme="minorHAnsi"/>
                <w:sz w:val="20"/>
                <w:szCs w:val="20"/>
              </w:rPr>
              <w:t xml:space="preserve">In </w:t>
            </w:r>
            <w:r w:rsidR="003917E5" w:rsidRPr="0053354E">
              <w:rPr>
                <w:rFonts w:cstheme="minorHAnsi"/>
                <w:sz w:val="20"/>
                <w:szCs w:val="20"/>
              </w:rPr>
              <w:t>the methods</w:t>
            </w:r>
            <w:r w:rsidR="000E37B6" w:rsidRPr="0053354E">
              <w:rPr>
                <w:rFonts w:cstheme="minorHAnsi"/>
                <w:sz w:val="20"/>
                <w:szCs w:val="20"/>
              </w:rPr>
              <w:t>, we describe that studies were tagged to specific health effects, including “</w:t>
            </w:r>
            <w:r w:rsidR="00FD48FB" w:rsidRPr="0053354E">
              <w:rPr>
                <w:rFonts w:cstheme="minorHAnsi"/>
                <w:sz w:val="20"/>
                <w:szCs w:val="20"/>
              </w:rPr>
              <w:t>Cardiovascular, Dermal, Ocular, Developmental, Endocrine, Gastrointestinal,</w:t>
            </w:r>
            <w:r w:rsidR="00FA3E3F" w:rsidRPr="0053354E">
              <w:rPr>
                <w:rFonts w:cstheme="minorHAnsi"/>
                <w:sz w:val="20"/>
                <w:szCs w:val="20"/>
              </w:rPr>
              <w:t xml:space="preserve"> </w:t>
            </w:r>
            <w:r w:rsidR="00FD48FB" w:rsidRPr="0053354E">
              <w:rPr>
                <w:rFonts w:cstheme="minorHAnsi"/>
                <w:sz w:val="20"/>
                <w:szCs w:val="20"/>
              </w:rPr>
              <w:t>Hematopoietic, Hepatobiliary, Immune System, Metabolic Disease, Musculoskeletal, Nervous System, Ocular, Reproductive, Respiratory, and Urinary System.</w:t>
            </w:r>
            <w:r w:rsidR="00FA3E3F" w:rsidRPr="0053354E">
              <w:rPr>
                <w:rFonts w:cstheme="minorHAnsi"/>
                <w:sz w:val="20"/>
                <w:szCs w:val="20"/>
              </w:rPr>
              <w:t>”</w:t>
            </w:r>
            <w:r w:rsidR="00FD48FB" w:rsidRPr="0053354E">
              <w:rPr>
                <w:rFonts w:cstheme="minorHAnsi"/>
                <w:sz w:val="20"/>
                <w:szCs w:val="20"/>
              </w:rPr>
              <w:t xml:space="preserve"> These health effect categories were chosen because of their potential to include specific noncancer health outcomes responsive to PCB exposure at the lowest levels, which would be of the most interest for public health. Studies focused entirely on health effect data outside of these categories, including effects on mortality of unknown cause, wasting, and cancer were considered potentially relevant supporting supplemental </w:t>
            </w:r>
            <w:r w:rsidR="0092724D" w:rsidRPr="0053354E">
              <w:rPr>
                <w:rFonts w:cstheme="minorHAnsi"/>
                <w:sz w:val="20"/>
                <w:szCs w:val="20"/>
              </w:rPr>
              <w:t xml:space="preserve">studies. </w:t>
            </w:r>
            <w:r w:rsidR="0092724D" w:rsidRPr="0053354E">
              <w:rPr>
                <w:rFonts w:cstheme="minorHAnsi"/>
                <w:sz w:val="20"/>
                <w:szCs w:val="20"/>
              </w:rPr>
              <w:lastRenderedPageBreak/>
              <w:t>We</w:t>
            </w:r>
            <w:r w:rsidR="00FD48FB" w:rsidRPr="0053354E">
              <w:rPr>
                <w:rFonts w:cstheme="minorHAnsi"/>
                <w:sz w:val="20"/>
                <w:szCs w:val="20"/>
              </w:rPr>
              <w:t xml:space="preserve"> also note that further study information was captured in excel based inventories,   </w:t>
            </w:r>
            <w:r w:rsidRPr="0053354E">
              <w:rPr>
                <w:rFonts w:cstheme="minorHAnsi"/>
                <w:sz w:val="20"/>
                <w:szCs w:val="20"/>
              </w:rPr>
              <w:t>“Based on the results of the full-text review, separate human and mammalian literature inventories were created for each health effect category to develop summary-level, sortable lists of relevant literature.  Fundamental study design information (e.g., study population, exposure assessment/design, health endpoints evaluated) was extracted for each study in Microsoft Excel”</w:t>
            </w:r>
          </w:p>
        </w:tc>
      </w:tr>
      <w:tr w:rsidR="001D3DF8" w:rsidRPr="0053354E" w14:paraId="11322113" w14:textId="77777777" w:rsidTr="00D77BF9">
        <w:tc>
          <w:tcPr>
            <w:tcW w:w="164" w:type="pct"/>
            <w:hideMark/>
          </w:tcPr>
          <w:p w14:paraId="54FE576A" w14:textId="77777777" w:rsidR="00387983" w:rsidRPr="0053354E" w:rsidRDefault="00387983">
            <w:pPr>
              <w:spacing w:line="240" w:lineRule="auto"/>
              <w:rPr>
                <w:rFonts w:ascii="Calibri" w:hAnsi="Calibri"/>
                <w:sz w:val="20"/>
                <w:szCs w:val="20"/>
              </w:rPr>
            </w:pPr>
            <w:r w:rsidRPr="0053354E">
              <w:rPr>
                <w:rFonts w:ascii="Calibri" w:hAnsi="Calibri"/>
                <w:sz w:val="20"/>
                <w:szCs w:val="20"/>
              </w:rPr>
              <w:lastRenderedPageBreak/>
              <w:t>12</w:t>
            </w:r>
          </w:p>
        </w:tc>
        <w:tc>
          <w:tcPr>
            <w:tcW w:w="517" w:type="pct"/>
            <w:hideMark/>
          </w:tcPr>
          <w:p w14:paraId="3C6C68F5" w14:textId="77777777" w:rsidR="00387983" w:rsidRPr="0053354E" w:rsidRDefault="00387983">
            <w:pPr>
              <w:spacing w:line="240" w:lineRule="auto"/>
              <w:rPr>
                <w:rFonts w:ascii="Calibri" w:hAnsi="Calibri"/>
                <w:sz w:val="20"/>
                <w:szCs w:val="20"/>
              </w:rPr>
            </w:pPr>
            <w:r w:rsidRPr="0053354E">
              <w:rPr>
                <w:rFonts w:ascii="Calibri" w:hAnsi="Calibri"/>
                <w:sz w:val="20"/>
                <w:szCs w:val="20"/>
              </w:rPr>
              <w:t>Study quality assessment</w:t>
            </w:r>
          </w:p>
        </w:tc>
        <w:tc>
          <w:tcPr>
            <w:tcW w:w="1403" w:type="pct"/>
            <w:hideMark/>
          </w:tcPr>
          <w:p w14:paraId="2603449D"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If conducted, describe methods for assessing quality of individual studies.</w:t>
            </w:r>
          </w:p>
        </w:tc>
        <w:tc>
          <w:tcPr>
            <w:tcW w:w="486" w:type="pct"/>
          </w:tcPr>
          <w:p w14:paraId="666C0B0E" w14:textId="77777777" w:rsidR="00387983" w:rsidRPr="0053354E" w:rsidRDefault="00387983">
            <w:pPr>
              <w:spacing w:line="240" w:lineRule="auto"/>
              <w:rPr>
                <w:rFonts w:ascii="Calibri" w:hAnsi="Calibri"/>
                <w:sz w:val="20"/>
                <w:szCs w:val="20"/>
              </w:rPr>
            </w:pPr>
          </w:p>
        </w:tc>
        <w:tc>
          <w:tcPr>
            <w:tcW w:w="2430" w:type="pct"/>
          </w:tcPr>
          <w:p w14:paraId="59F117FD" w14:textId="283C6F62" w:rsidR="00387983" w:rsidRPr="0053354E" w:rsidRDefault="00840909">
            <w:pPr>
              <w:spacing w:line="240" w:lineRule="auto"/>
              <w:rPr>
                <w:rFonts w:ascii="Calibri" w:hAnsi="Calibri"/>
                <w:sz w:val="20"/>
                <w:szCs w:val="20"/>
              </w:rPr>
            </w:pPr>
            <w:r w:rsidRPr="0053354E">
              <w:rPr>
                <w:rFonts w:ascii="Calibri" w:hAnsi="Calibri"/>
                <w:sz w:val="20"/>
                <w:szCs w:val="20"/>
              </w:rPr>
              <w:t>N/A</w:t>
            </w:r>
            <w:r w:rsidR="00FD48FB" w:rsidRPr="0053354E">
              <w:rPr>
                <w:rFonts w:ascii="Calibri" w:hAnsi="Calibri"/>
                <w:sz w:val="20"/>
                <w:szCs w:val="20"/>
              </w:rPr>
              <w:t xml:space="preserve"> (Study quality assessment not conducted in this evidence map)</w:t>
            </w:r>
          </w:p>
        </w:tc>
      </w:tr>
      <w:tr w:rsidR="00387983" w:rsidRPr="0053354E" w14:paraId="62A9443C" w14:textId="77777777" w:rsidTr="00D77BF9">
        <w:trPr>
          <w:trHeight w:val="75"/>
        </w:trPr>
        <w:tc>
          <w:tcPr>
            <w:tcW w:w="5000" w:type="pct"/>
            <w:gridSpan w:val="5"/>
            <w:hideMark/>
          </w:tcPr>
          <w:p w14:paraId="4B2B996A" w14:textId="77777777" w:rsidR="00387983" w:rsidRPr="0053354E" w:rsidRDefault="00387983">
            <w:pPr>
              <w:spacing w:line="240" w:lineRule="auto"/>
              <w:rPr>
                <w:rFonts w:ascii="Calibri" w:hAnsi="Calibri"/>
                <w:b/>
                <w:sz w:val="20"/>
                <w:szCs w:val="20"/>
              </w:rPr>
            </w:pPr>
            <w:r w:rsidRPr="0053354E">
              <w:rPr>
                <w:rFonts w:ascii="Calibri" w:hAnsi="Calibri"/>
                <w:b/>
                <w:sz w:val="20"/>
                <w:szCs w:val="20"/>
              </w:rPr>
              <w:t>Results</w:t>
            </w:r>
          </w:p>
        </w:tc>
      </w:tr>
      <w:tr w:rsidR="001D3DF8" w:rsidRPr="0053354E" w14:paraId="6C8205E8" w14:textId="77777777" w:rsidTr="00D77BF9">
        <w:tc>
          <w:tcPr>
            <w:tcW w:w="164" w:type="pct"/>
            <w:hideMark/>
          </w:tcPr>
          <w:p w14:paraId="12AB8BA4" w14:textId="77777777" w:rsidR="00387983" w:rsidRPr="0053354E" w:rsidRDefault="00387983">
            <w:pPr>
              <w:spacing w:line="240" w:lineRule="auto"/>
              <w:rPr>
                <w:rFonts w:ascii="Calibri" w:hAnsi="Calibri"/>
                <w:sz w:val="20"/>
                <w:szCs w:val="20"/>
              </w:rPr>
            </w:pPr>
            <w:r w:rsidRPr="0053354E">
              <w:rPr>
                <w:rFonts w:ascii="Calibri" w:hAnsi="Calibri"/>
                <w:sz w:val="20"/>
                <w:szCs w:val="20"/>
              </w:rPr>
              <w:t>13</w:t>
            </w:r>
          </w:p>
        </w:tc>
        <w:tc>
          <w:tcPr>
            <w:tcW w:w="517" w:type="pct"/>
            <w:hideMark/>
          </w:tcPr>
          <w:p w14:paraId="5A18BDE3" w14:textId="77777777" w:rsidR="00387983" w:rsidRPr="0053354E" w:rsidRDefault="00387983">
            <w:pPr>
              <w:spacing w:line="240" w:lineRule="auto"/>
              <w:rPr>
                <w:rFonts w:ascii="Calibri" w:hAnsi="Calibri"/>
                <w:sz w:val="20"/>
                <w:szCs w:val="20"/>
              </w:rPr>
            </w:pPr>
            <w:r w:rsidRPr="0053354E">
              <w:rPr>
                <w:rFonts w:ascii="Calibri" w:hAnsi="Calibri"/>
                <w:sz w:val="20"/>
                <w:szCs w:val="20"/>
              </w:rPr>
              <w:t>Study selection</w:t>
            </w:r>
          </w:p>
        </w:tc>
        <w:tc>
          <w:tcPr>
            <w:tcW w:w="1403" w:type="pct"/>
            <w:hideMark/>
          </w:tcPr>
          <w:p w14:paraId="023986DC"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Give numbers of studies screened, assessed for eligibility, and included in the review, with reasons for exclusions at each stage, illustrated with a PRISMA flow diagram.</w:t>
            </w:r>
          </w:p>
        </w:tc>
        <w:tc>
          <w:tcPr>
            <w:tcW w:w="486" w:type="pct"/>
          </w:tcPr>
          <w:p w14:paraId="73F74DC8" w14:textId="4B2E9C72" w:rsidR="00387983" w:rsidRPr="0053354E" w:rsidRDefault="00A209E8">
            <w:pPr>
              <w:spacing w:line="240" w:lineRule="auto"/>
              <w:rPr>
                <w:rFonts w:ascii="Calibri" w:hAnsi="Calibri"/>
                <w:sz w:val="20"/>
                <w:szCs w:val="20"/>
              </w:rPr>
            </w:pPr>
            <w:r>
              <w:rPr>
                <w:rFonts w:ascii="Calibri" w:hAnsi="Calibri"/>
                <w:sz w:val="20"/>
                <w:szCs w:val="20"/>
              </w:rPr>
              <w:t>3 (Results and Discussion)</w:t>
            </w:r>
            <w:r w:rsidR="0084349E" w:rsidRPr="0053354E">
              <w:rPr>
                <w:rFonts w:ascii="Calibri" w:hAnsi="Calibri"/>
                <w:sz w:val="20"/>
                <w:szCs w:val="20"/>
              </w:rPr>
              <w:t>; Figure 3</w:t>
            </w:r>
          </w:p>
        </w:tc>
        <w:tc>
          <w:tcPr>
            <w:tcW w:w="2430" w:type="pct"/>
          </w:tcPr>
          <w:p w14:paraId="716FE3C6" w14:textId="331C89BC" w:rsidR="00387983" w:rsidRPr="0053354E" w:rsidRDefault="00A740A7">
            <w:pPr>
              <w:spacing w:line="240" w:lineRule="auto"/>
              <w:rPr>
                <w:rFonts w:ascii="Calibri" w:hAnsi="Calibri"/>
                <w:sz w:val="20"/>
                <w:szCs w:val="20"/>
              </w:rPr>
            </w:pPr>
            <w:r w:rsidRPr="0053354E">
              <w:rPr>
                <w:rFonts w:ascii="Calibri" w:hAnsi="Calibri"/>
                <w:sz w:val="20"/>
                <w:szCs w:val="20"/>
              </w:rPr>
              <w:t xml:space="preserve">The results of the study selection are described in </w:t>
            </w:r>
            <w:r w:rsidR="0084349E" w:rsidRPr="0053354E">
              <w:rPr>
                <w:rFonts w:ascii="Calibri" w:hAnsi="Calibri"/>
                <w:sz w:val="20"/>
                <w:szCs w:val="20"/>
              </w:rPr>
              <w:t>results</w:t>
            </w:r>
            <w:r w:rsidR="007C7A3F" w:rsidRPr="0053354E">
              <w:rPr>
                <w:rFonts w:ascii="Calibri" w:hAnsi="Calibri"/>
                <w:sz w:val="20"/>
                <w:szCs w:val="20"/>
              </w:rPr>
              <w:t xml:space="preserve"> (</w:t>
            </w:r>
            <w:r w:rsidR="005101FD">
              <w:rPr>
                <w:rFonts w:ascii="Calibri" w:hAnsi="Calibri"/>
                <w:sz w:val="20"/>
                <w:szCs w:val="20"/>
              </w:rPr>
              <w:t>Section 3.1)</w:t>
            </w:r>
            <w:r w:rsidR="00E412B8" w:rsidRPr="0053354E">
              <w:rPr>
                <w:rFonts w:ascii="Calibri" w:hAnsi="Calibri"/>
                <w:sz w:val="20"/>
                <w:szCs w:val="20"/>
              </w:rPr>
              <w:t xml:space="preserve">, and in </w:t>
            </w:r>
            <w:r w:rsidR="007C7A3F" w:rsidRPr="0053354E">
              <w:rPr>
                <w:rFonts w:ascii="Calibri" w:hAnsi="Calibri"/>
                <w:sz w:val="20"/>
                <w:szCs w:val="20"/>
              </w:rPr>
              <w:t xml:space="preserve">the </w:t>
            </w:r>
            <w:r w:rsidR="00E412B8" w:rsidRPr="0053354E">
              <w:rPr>
                <w:rFonts w:ascii="Calibri" w:hAnsi="Calibri"/>
                <w:sz w:val="20"/>
                <w:szCs w:val="20"/>
              </w:rPr>
              <w:t>health effect summar</w:t>
            </w:r>
            <w:r w:rsidR="007C7A3F" w:rsidRPr="0053354E">
              <w:rPr>
                <w:rFonts w:ascii="Calibri" w:hAnsi="Calibri"/>
                <w:sz w:val="20"/>
                <w:szCs w:val="20"/>
              </w:rPr>
              <w:t>ies</w:t>
            </w:r>
            <w:r w:rsidR="005101FD">
              <w:rPr>
                <w:rFonts w:ascii="Calibri" w:hAnsi="Calibri"/>
                <w:sz w:val="20"/>
                <w:szCs w:val="20"/>
              </w:rPr>
              <w:t xml:space="preserve"> (Section 3.2)</w:t>
            </w:r>
            <w:r w:rsidR="007C7A3F" w:rsidRPr="0053354E">
              <w:rPr>
                <w:rFonts w:ascii="Calibri" w:hAnsi="Calibri"/>
                <w:sz w:val="20"/>
                <w:szCs w:val="20"/>
              </w:rPr>
              <w:t xml:space="preserve">. </w:t>
            </w:r>
            <w:r w:rsidR="00E412B8" w:rsidRPr="0053354E">
              <w:rPr>
                <w:rFonts w:ascii="Calibri" w:hAnsi="Calibri"/>
                <w:sz w:val="20"/>
                <w:szCs w:val="20"/>
              </w:rPr>
              <w:t xml:space="preserve"> The literature flow diagram</w:t>
            </w:r>
            <w:r w:rsidR="008263EB" w:rsidRPr="0053354E">
              <w:rPr>
                <w:rFonts w:ascii="Calibri" w:hAnsi="Calibri"/>
                <w:sz w:val="20"/>
                <w:szCs w:val="20"/>
              </w:rPr>
              <w:t xml:space="preserve"> (PRISMA flow diagram)</w:t>
            </w:r>
            <w:r w:rsidR="00E412B8" w:rsidRPr="0053354E">
              <w:rPr>
                <w:rFonts w:ascii="Calibri" w:hAnsi="Calibri"/>
                <w:sz w:val="20"/>
                <w:szCs w:val="20"/>
              </w:rPr>
              <w:t xml:space="preserve"> is included as Figure </w:t>
            </w:r>
            <w:r w:rsidR="00705DB1" w:rsidRPr="0053354E">
              <w:rPr>
                <w:rFonts w:ascii="Calibri" w:hAnsi="Calibri"/>
                <w:sz w:val="20"/>
                <w:szCs w:val="20"/>
              </w:rPr>
              <w:t>3 which displays the</w:t>
            </w:r>
            <w:r w:rsidR="002059BA" w:rsidRPr="0053354E">
              <w:rPr>
                <w:rFonts w:ascii="Calibri" w:hAnsi="Calibri"/>
                <w:sz w:val="20"/>
                <w:szCs w:val="20"/>
              </w:rPr>
              <w:t xml:space="preserve"> information on number of studies screened, included, and excluded at each step in the review</w:t>
            </w:r>
            <w:r w:rsidR="00E412B8" w:rsidRPr="0053354E">
              <w:rPr>
                <w:rFonts w:ascii="Calibri" w:hAnsi="Calibri"/>
                <w:sz w:val="20"/>
                <w:szCs w:val="20"/>
              </w:rPr>
              <w:t>.</w:t>
            </w:r>
            <w:r w:rsidR="001132C8" w:rsidRPr="0053354E">
              <w:rPr>
                <w:rFonts w:ascii="Calibri" w:hAnsi="Calibri"/>
                <w:sz w:val="20"/>
                <w:szCs w:val="20"/>
              </w:rPr>
              <w:t xml:space="preserve"> </w:t>
            </w:r>
            <w:r w:rsidR="007C7A3F" w:rsidRPr="0053354E">
              <w:rPr>
                <w:rFonts w:ascii="Calibri" w:hAnsi="Calibri"/>
                <w:sz w:val="20"/>
                <w:szCs w:val="20"/>
              </w:rPr>
              <w:t>The raw counts are available as Ris Endnote files in supplement, and the supplemental file</w:t>
            </w:r>
            <w:r w:rsidR="005268A9" w:rsidRPr="0053354E">
              <w:rPr>
                <w:rFonts w:ascii="Calibri" w:hAnsi="Calibri"/>
                <w:sz w:val="20"/>
                <w:szCs w:val="20"/>
              </w:rPr>
              <w:t xml:space="preserve"> 1J includes the exact study information used to generate the interactive figures.</w:t>
            </w:r>
          </w:p>
        </w:tc>
      </w:tr>
      <w:tr w:rsidR="001D3DF8" w:rsidRPr="0053354E" w14:paraId="2728749B" w14:textId="77777777" w:rsidTr="00D77BF9">
        <w:tc>
          <w:tcPr>
            <w:tcW w:w="164" w:type="pct"/>
            <w:hideMark/>
          </w:tcPr>
          <w:p w14:paraId="53299389" w14:textId="77777777" w:rsidR="00387983" w:rsidRPr="0053354E" w:rsidRDefault="00387983">
            <w:pPr>
              <w:spacing w:line="240" w:lineRule="auto"/>
              <w:rPr>
                <w:rFonts w:ascii="Calibri" w:hAnsi="Calibri"/>
                <w:sz w:val="20"/>
                <w:szCs w:val="20"/>
              </w:rPr>
            </w:pPr>
            <w:r w:rsidRPr="0053354E">
              <w:rPr>
                <w:rFonts w:ascii="Calibri" w:hAnsi="Calibri"/>
                <w:sz w:val="20"/>
                <w:szCs w:val="20"/>
              </w:rPr>
              <w:t>14</w:t>
            </w:r>
          </w:p>
        </w:tc>
        <w:tc>
          <w:tcPr>
            <w:tcW w:w="517" w:type="pct"/>
            <w:hideMark/>
          </w:tcPr>
          <w:p w14:paraId="7D0DCB27" w14:textId="77777777" w:rsidR="00387983" w:rsidRPr="0053354E" w:rsidRDefault="00387983">
            <w:pPr>
              <w:spacing w:line="240" w:lineRule="auto"/>
              <w:rPr>
                <w:rFonts w:ascii="Calibri" w:hAnsi="Calibri"/>
                <w:sz w:val="20"/>
                <w:szCs w:val="20"/>
              </w:rPr>
            </w:pPr>
            <w:r w:rsidRPr="0053354E">
              <w:rPr>
                <w:rFonts w:ascii="Calibri" w:hAnsi="Calibri"/>
                <w:sz w:val="20"/>
                <w:szCs w:val="20"/>
              </w:rPr>
              <w:t>Study database</w:t>
            </w:r>
          </w:p>
        </w:tc>
        <w:tc>
          <w:tcPr>
            <w:tcW w:w="1403" w:type="pct"/>
            <w:hideMark/>
          </w:tcPr>
          <w:p w14:paraId="153795F3" w14:textId="77777777" w:rsidR="00387983" w:rsidRPr="0053354E" w:rsidRDefault="00387983">
            <w:pPr>
              <w:spacing w:line="240" w:lineRule="auto"/>
              <w:rPr>
                <w:rFonts w:ascii="Calibri" w:hAnsi="Calibri"/>
                <w:sz w:val="20"/>
                <w:szCs w:val="20"/>
              </w:rPr>
            </w:pPr>
            <w:r w:rsidRPr="0053354E">
              <w:rPr>
                <w:rFonts w:ascii="Calibri" w:hAnsi="Calibri" w:cs="Arial"/>
                <w:sz w:val="20"/>
                <w:szCs w:val="20"/>
              </w:rPr>
              <w:t xml:space="preserve">Show how the relevant literature is organised (categories, coding etc.) according to transparent, replicable criteria. This map should be readily updateable. </w:t>
            </w:r>
          </w:p>
        </w:tc>
        <w:tc>
          <w:tcPr>
            <w:tcW w:w="486" w:type="pct"/>
          </w:tcPr>
          <w:p w14:paraId="10804BA5" w14:textId="6B52B2D5" w:rsidR="00387983" w:rsidRPr="0053354E" w:rsidRDefault="005A4D7C">
            <w:pPr>
              <w:spacing w:line="240" w:lineRule="auto"/>
              <w:rPr>
                <w:rFonts w:ascii="Calibri" w:hAnsi="Calibri"/>
                <w:sz w:val="20"/>
                <w:szCs w:val="20"/>
              </w:rPr>
            </w:pPr>
            <w:r w:rsidRPr="0053354E">
              <w:rPr>
                <w:rFonts w:ascii="Calibri" w:hAnsi="Calibri"/>
                <w:sz w:val="20"/>
                <w:szCs w:val="20"/>
              </w:rPr>
              <w:t xml:space="preserve">HAWC </w:t>
            </w:r>
            <w:r w:rsidR="003A7A6D" w:rsidRPr="0053354E">
              <w:rPr>
                <w:rFonts w:ascii="Calibri" w:hAnsi="Calibri"/>
                <w:sz w:val="20"/>
                <w:szCs w:val="20"/>
              </w:rPr>
              <w:t>Tableau visualizations; Figures</w:t>
            </w:r>
            <w:r w:rsidR="00F46C0B" w:rsidRPr="0053354E">
              <w:rPr>
                <w:rFonts w:ascii="Calibri" w:hAnsi="Calibri"/>
                <w:sz w:val="20"/>
                <w:szCs w:val="20"/>
              </w:rPr>
              <w:t xml:space="preserve"> 4-</w:t>
            </w:r>
            <w:r w:rsidR="005268A9" w:rsidRPr="0053354E">
              <w:rPr>
                <w:rFonts w:ascii="Calibri" w:hAnsi="Calibri"/>
                <w:sz w:val="20"/>
                <w:szCs w:val="20"/>
              </w:rPr>
              <w:t>10</w:t>
            </w:r>
          </w:p>
        </w:tc>
        <w:tc>
          <w:tcPr>
            <w:tcW w:w="2430" w:type="pct"/>
          </w:tcPr>
          <w:p w14:paraId="24E2AD8B" w14:textId="2E03BD01" w:rsidR="00387983" w:rsidRPr="0053354E" w:rsidRDefault="003A7A6D" w:rsidP="00A331AA">
            <w:pPr>
              <w:spacing w:line="240" w:lineRule="auto"/>
              <w:rPr>
                <w:rFonts w:ascii="Calibri" w:hAnsi="Calibri"/>
                <w:sz w:val="20"/>
                <w:szCs w:val="20"/>
              </w:rPr>
            </w:pPr>
            <w:r w:rsidRPr="0053354E">
              <w:rPr>
                <w:rFonts w:ascii="Calibri" w:hAnsi="Calibri"/>
                <w:sz w:val="20"/>
                <w:szCs w:val="20"/>
              </w:rPr>
              <w:t xml:space="preserve">Interactive heat map visualizations are provided </w:t>
            </w:r>
            <w:r w:rsidR="00AD259F" w:rsidRPr="0053354E">
              <w:rPr>
                <w:rFonts w:ascii="Calibri" w:hAnsi="Calibri"/>
                <w:sz w:val="20"/>
                <w:szCs w:val="20"/>
              </w:rPr>
              <w:t>as</w:t>
            </w:r>
            <w:r w:rsidRPr="0053354E">
              <w:rPr>
                <w:rFonts w:ascii="Calibri" w:hAnsi="Calibri"/>
                <w:sz w:val="20"/>
                <w:szCs w:val="20"/>
              </w:rPr>
              <w:t xml:space="preserve"> Tableau</w:t>
            </w:r>
            <w:r w:rsidR="001D3DF8" w:rsidRPr="0053354E">
              <w:rPr>
                <w:rFonts w:ascii="Calibri" w:hAnsi="Calibri"/>
                <w:sz w:val="20"/>
                <w:szCs w:val="20"/>
              </w:rPr>
              <w:t xml:space="preserve"> </w:t>
            </w:r>
            <w:r w:rsidR="00AD259F" w:rsidRPr="0053354E">
              <w:rPr>
                <w:rFonts w:ascii="Calibri" w:hAnsi="Calibri"/>
                <w:sz w:val="20"/>
                <w:szCs w:val="20"/>
              </w:rPr>
              <w:t xml:space="preserve">figures in HAWC </w:t>
            </w:r>
            <w:hyperlink r:id="rId15" w:history="1">
              <w:r w:rsidR="00A331AA" w:rsidRPr="0053354E">
                <w:rPr>
                  <w:rStyle w:val="Hyperlink"/>
                  <w:rFonts w:ascii="Calibri" w:hAnsi="Calibri"/>
                  <w:sz w:val="20"/>
                  <w:szCs w:val="20"/>
                </w:rPr>
                <w:t>https://hawc.epa.gov/summary/assessment/100500282/visuals/</w:t>
              </w:r>
            </w:hyperlink>
            <w:r w:rsidR="00A331AA" w:rsidRPr="0053354E">
              <w:rPr>
                <w:rFonts w:ascii="Calibri" w:hAnsi="Calibri"/>
                <w:sz w:val="20"/>
                <w:szCs w:val="20"/>
              </w:rPr>
              <w:t xml:space="preserve">. </w:t>
            </w:r>
            <w:r w:rsidR="009F1A53" w:rsidRPr="0053354E">
              <w:rPr>
                <w:rFonts w:ascii="Calibri" w:hAnsi="Calibri"/>
                <w:sz w:val="20"/>
                <w:szCs w:val="20"/>
              </w:rPr>
              <w:t xml:space="preserve">Static versions of each </w:t>
            </w:r>
            <w:r w:rsidR="00A331AA" w:rsidRPr="0053354E">
              <w:rPr>
                <w:rFonts w:ascii="Calibri" w:hAnsi="Calibri"/>
                <w:sz w:val="20"/>
                <w:szCs w:val="20"/>
              </w:rPr>
              <w:t>interactive</w:t>
            </w:r>
            <w:r w:rsidR="009F1A53" w:rsidRPr="0053354E">
              <w:rPr>
                <w:rFonts w:ascii="Calibri" w:hAnsi="Calibri"/>
                <w:sz w:val="20"/>
                <w:szCs w:val="20"/>
              </w:rPr>
              <w:t xml:space="preserve"> dashboard are provided as Figures </w:t>
            </w:r>
            <w:r w:rsidR="005A4D7C" w:rsidRPr="0053354E">
              <w:rPr>
                <w:rFonts w:ascii="Calibri" w:hAnsi="Calibri"/>
                <w:sz w:val="20"/>
                <w:szCs w:val="20"/>
              </w:rPr>
              <w:t>4</w:t>
            </w:r>
            <w:r w:rsidR="009F1A53" w:rsidRPr="0053354E">
              <w:rPr>
                <w:rFonts w:ascii="Calibri" w:hAnsi="Calibri"/>
                <w:sz w:val="20"/>
                <w:szCs w:val="20"/>
              </w:rPr>
              <w:t xml:space="preserve"> to </w:t>
            </w:r>
            <w:r w:rsidR="00AD259F" w:rsidRPr="0053354E">
              <w:rPr>
                <w:rFonts w:ascii="Calibri" w:hAnsi="Calibri"/>
                <w:sz w:val="20"/>
                <w:szCs w:val="20"/>
              </w:rPr>
              <w:t xml:space="preserve">Figure </w:t>
            </w:r>
            <w:r w:rsidR="005268A9" w:rsidRPr="0053354E">
              <w:rPr>
                <w:rFonts w:ascii="Calibri" w:hAnsi="Calibri"/>
                <w:sz w:val="20"/>
                <w:szCs w:val="20"/>
              </w:rPr>
              <w:t>10</w:t>
            </w:r>
            <w:r w:rsidR="00AD259F" w:rsidRPr="0053354E">
              <w:rPr>
                <w:rFonts w:ascii="Calibri" w:hAnsi="Calibri"/>
                <w:sz w:val="20"/>
                <w:szCs w:val="20"/>
              </w:rPr>
              <w:t>.</w:t>
            </w:r>
            <w:r w:rsidR="002059BA" w:rsidRPr="0053354E">
              <w:rPr>
                <w:rFonts w:ascii="Calibri" w:hAnsi="Calibri"/>
                <w:sz w:val="20"/>
                <w:szCs w:val="20"/>
              </w:rPr>
              <w:t xml:space="preserve"> All data is downloadable and interactive through the visualizations</w:t>
            </w:r>
            <w:r w:rsidR="005268A9" w:rsidRPr="0053354E">
              <w:rPr>
                <w:rFonts w:ascii="Calibri" w:hAnsi="Calibri"/>
                <w:sz w:val="20"/>
                <w:szCs w:val="20"/>
              </w:rPr>
              <w:t>.</w:t>
            </w:r>
          </w:p>
        </w:tc>
      </w:tr>
      <w:tr w:rsidR="001D3DF8" w:rsidRPr="0053354E" w14:paraId="6EB54CCF" w14:textId="77777777" w:rsidTr="00D77BF9">
        <w:tc>
          <w:tcPr>
            <w:tcW w:w="164" w:type="pct"/>
            <w:hideMark/>
          </w:tcPr>
          <w:p w14:paraId="560E203F"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15</w:t>
            </w:r>
          </w:p>
        </w:tc>
        <w:tc>
          <w:tcPr>
            <w:tcW w:w="517" w:type="pct"/>
            <w:hideMark/>
          </w:tcPr>
          <w:p w14:paraId="76F7E4BA"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Study quality assessment</w:t>
            </w:r>
          </w:p>
        </w:tc>
        <w:tc>
          <w:tcPr>
            <w:tcW w:w="1403" w:type="pct"/>
            <w:hideMark/>
          </w:tcPr>
          <w:p w14:paraId="1F0EBD97" w14:textId="77777777" w:rsidR="001D3DF8" w:rsidRPr="0053354E" w:rsidRDefault="001D3DF8" w:rsidP="001D3DF8">
            <w:pPr>
              <w:spacing w:line="240" w:lineRule="auto"/>
              <w:rPr>
                <w:rFonts w:ascii="Calibri" w:hAnsi="Calibri"/>
                <w:sz w:val="20"/>
                <w:szCs w:val="20"/>
              </w:rPr>
            </w:pPr>
            <w:r w:rsidRPr="0053354E">
              <w:rPr>
                <w:rFonts w:ascii="Calibri" w:hAnsi="Calibri" w:cs="Arial"/>
                <w:sz w:val="20"/>
                <w:szCs w:val="20"/>
              </w:rPr>
              <w:t>Present map of study quality and preliminary estimate of the quality of the evidence base.</w:t>
            </w:r>
          </w:p>
        </w:tc>
        <w:tc>
          <w:tcPr>
            <w:tcW w:w="486" w:type="pct"/>
          </w:tcPr>
          <w:p w14:paraId="138C13D0" w14:textId="77777777" w:rsidR="001D3DF8" w:rsidRPr="0053354E" w:rsidRDefault="001D3DF8" w:rsidP="001D3DF8">
            <w:pPr>
              <w:spacing w:line="240" w:lineRule="auto"/>
              <w:rPr>
                <w:rFonts w:ascii="Calibri" w:hAnsi="Calibri"/>
                <w:sz w:val="20"/>
                <w:szCs w:val="20"/>
              </w:rPr>
            </w:pPr>
          </w:p>
        </w:tc>
        <w:tc>
          <w:tcPr>
            <w:tcW w:w="2430" w:type="pct"/>
          </w:tcPr>
          <w:p w14:paraId="7FE0D0C0" w14:textId="04F6F7B6" w:rsidR="001D3DF8" w:rsidRPr="0053354E" w:rsidRDefault="001D3DF8" w:rsidP="001D3DF8">
            <w:pPr>
              <w:spacing w:line="240" w:lineRule="auto"/>
              <w:rPr>
                <w:rFonts w:ascii="Calibri" w:hAnsi="Calibri"/>
                <w:sz w:val="20"/>
                <w:szCs w:val="20"/>
              </w:rPr>
            </w:pPr>
            <w:r w:rsidRPr="0053354E">
              <w:rPr>
                <w:rFonts w:ascii="Calibri" w:hAnsi="Calibri"/>
                <w:sz w:val="20"/>
                <w:szCs w:val="20"/>
              </w:rPr>
              <w:t>N/A (Study quality assessment not conducted in this evidence map)</w:t>
            </w:r>
          </w:p>
        </w:tc>
      </w:tr>
      <w:tr w:rsidR="001D3DF8" w:rsidRPr="0053354E" w14:paraId="7A2A96BC" w14:textId="77777777" w:rsidTr="00D77BF9">
        <w:trPr>
          <w:trHeight w:val="74"/>
        </w:trPr>
        <w:tc>
          <w:tcPr>
            <w:tcW w:w="5000" w:type="pct"/>
            <w:gridSpan w:val="5"/>
            <w:hideMark/>
          </w:tcPr>
          <w:p w14:paraId="3C50932A" w14:textId="77777777" w:rsidR="001D3DF8" w:rsidRPr="0053354E" w:rsidRDefault="001D3DF8" w:rsidP="001D3DF8">
            <w:pPr>
              <w:spacing w:line="240" w:lineRule="auto"/>
              <w:rPr>
                <w:rFonts w:ascii="Calibri" w:hAnsi="Calibri"/>
                <w:b/>
                <w:sz w:val="20"/>
                <w:szCs w:val="20"/>
              </w:rPr>
            </w:pPr>
            <w:r w:rsidRPr="0053354E">
              <w:rPr>
                <w:rFonts w:ascii="Calibri" w:hAnsi="Calibri"/>
                <w:b/>
                <w:sz w:val="20"/>
                <w:szCs w:val="20"/>
              </w:rPr>
              <w:t>Discussion</w:t>
            </w:r>
          </w:p>
        </w:tc>
      </w:tr>
      <w:tr w:rsidR="001D3DF8" w:rsidRPr="0053354E" w14:paraId="26517C7E" w14:textId="77777777" w:rsidTr="00D77BF9">
        <w:trPr>
          <w:trHeight w:val="386"/>
        </w:trPr>
        <w:tc>
          <w:tcPr>
            <w:tcW w:w="164" w:type="pct"/>
            <w:hideMark/>
          </w:tcPr>
          <w:p w14:paraId="4EE59A64"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16</w:t>
            </w:r>
          </w:p>
        </w:tc>
        <w:tc>
          <w:tcPr>
            <w:tcW w:w="517" w:type="pct"/>
            <w:hideMark/>
          </w:tcPr>
          <w:p w14:paraId="5960BDFA"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Summary of evidence</w:t>
            </w:r>
          </w:p>
        </w:tc>
        <w:tc>
          <w:tcPr>
            <w:tcW w:w="1403" w:type="pct"/>
            <w:hideMark/>
          </w:tcPr>
          <w:p w14:paraId="6F64FCE1" w14:textId="77777777" w:rsidR="001D3DF8" w:rsidRPr="0053354E" w:rsidRDefault="001D3DF8" w:rsidP="001D3DF8">
            <w:pPr>
              <w:spacing w:line="240" w:lineRule="auto"/>
              <w:rPr>
                <w:rFonts w:ascii="Calibri" w:hAnsi="Calibri"/>
                <w:sz w:val="20"/>
                <w:szCs w:val="20"/>
              </w:rPr>
            </w:pPr>
            <w:r w:rsidRPr="0053354E">
              <w:rPr>
                <w:rFonts w:ascii="Calibri" w:hAnsi="Calibri" w:cs="Arial"/>
                <w:sz w:val="20"/>
                <w:szCs w:val="20"/>
              </w:rPr>
              <w:t>Observe distribution of articles, relative quantity, quality etc. as relevant to map objectives.</w:t>
            </w:r>
          </w:p>
        </w:tc>
        <w:tc>
          <w:tcPr>
            <w:tcW w:w="486" w:type="pct"/>
          </w:tcPr>
          <w:p w14:paraId="10463482" w14:textId="2B131E95" w:rsidR="001D3DF8" w:rsidRPr="0053354E" w:rsidRDefault="005101FD" w:rsidP="001D3DF8">
            <w:pPr>
              <w:spacing w:line="240" w:lineRule="auto"/>
              <w:rPr>
                <w:rFonts w:ascii="Calibri" w:hAnsi="Calibri"/>
                <w:sz w:val="20"/>
                <w:szCs w:val="20"/>
              </w:rPr>
            </w:pPr>
            <w:r>
              <w:rPr>
                <w:rFonts w:ascii="Calibri" w:hAnsi="Calibri"/>
                <w:sz w:val="20"/>
                <w:szCs w:val="20"/>
              </w:rPr>
              <w:t>3 (Results and Discussion)</w:t>
            </w:r>
          </w:p>
        </w:tc>
        <w:tc>
          <w:tcPr>
            <w:tcW w:w="2430" w:type="pct"/>
          </w:tcPr>
          <w:p w14:paraId="2D361AEB" w14:textId="005465F5" w:rsidR="001D3DF8" w:rsidRPr="0053354E" w:rsidRDefault="005101FD" w:rsidP="001D3DF8">
            <w:pPr>
              <w:spacing w:line="240" w:lineRule="auto"/>
              <w:rPr>
                <w:rFonts w:ascii="Calibri" w:hAnsi="Calibri"/>
                <w:sz w:val="20"/>
                <w:szCs w:val="20"/>
              </w:rPr>
            </w:pPr>
            <w:r>
              <w:rPr>
                <w:rFonts w:ascii="Calibri" w:hAnsi="Calibri"/>
                <w:sz w:val="20"/>
                <w:szCs w:val="20"/>
              </w:rPr>
              <w:t>In Section 3.2</w:t>
            </w:r>
            <w:r w:rsidR="005268A9" w:rsidRPr="0053354E">
              <w:rPr>
                <w:rFonts w:ascii="Calibri" w:hAnsi="Calibri"/>
                <w:sz w:val="20"/>
                <w:szCs w:val="20"/>
              </w:rPr>
              <w:t>,</w:t>
            </w:r>
            <w:r w:rsidR="00FA3E3F" w:rsidRPr="0053354E">
              <w:rPr>
                <w:rFonts w:ascii="Calibri" w:hAnsi="Calibri"/>
                <w:sz w:val="20"/>
                <w:szCs w:val="20"/>
              </w:rPr>
              <w:t xml:space="preserve"> </w:t>
            </w:r>
            <w:r w:rsidR="005268A9" w:rsidRPr="0053354E">
              <w:rPr>
                <w:rFonts w:ascii="Calibri" w:hAnsi="Calibri"/>
                <w:sz w:val="20"/>
                <w:szCs w:val="20"/>
              </w:rPr>
              <w:t>overview</w:t>
            </w:r>
            <w:r w:rsidR="00FA3E3F" w:rsidRPr="0053354E">
              <w:rPr>
                <w:rFonts w:ascii="Calibri" w:hAnsi="Calibri"/>
                <w:sz w:val="20"/>
                <w:szCs w:val="20"/>
              </w:rPr>
              <w:t xml:space="preserve"> health effect summaries are provided for human and animal evidence</w:t>
            </w:r>
            <w:r w:rsidR="005268A9" w:rsidRPr="0053354E">
              <w:rPr>
                <w:rFonts w:ascii="Calibri" w:hAnsi="Calibri"/>
                <w:sz w:val="20"/>
                <w:szCs w:val="20"/>
              </w:rPr>
              <w:t xml:space="preserve"> and brief summaries are provided</w:t>
            </w:r>
            <w:r w:rsidR="00FA3E3F" w:rsidRPr="0053354E">
              <w:rPr>
                <w:rFonts w:ascii="Calibri" w:hAnsi="Calibri"/>
                <w:sz w:val="20"/>
                <w:szCs w:val="20"/>
              </w:rPr>
              <w:t xml:space="preserve"> for each of the health effect categories (</w:t>
            </w:r>
            <w:r w:rsidR="00FA3E3F" w:rsidRPr="0053354E">
              <w:rPr>
                <w:rFonts w:cstheme="minorHAnsi"/>
                <w:sz w:val="20"/>
                <w:szCs w:val="20"/>
              </w:rPr>
              <w:t>Cardiovascular, Dermal, Ocular, Developmental, Endocrine, Gastrointestinal, Hematopoietic, Hepatobiliary, Immune System, Metabolic Disease, Musculoskeletal, Nervous System, Ocular, Reproductive, Respiratory, and Urinary System)</w:t>
            </w:r>
          </w:p>
          <w:p w14:paraId="705920F0" w14:textId="60A5BB7A" w:rsidR="001D3DF8" w:rsidRPr="0053354E" w:rsidRDefault="001D3DF8" w:rsidP="001D3DF8">
            <w:pPr>
              <w:spacing w:line="240" w:lineRule="auto"/>
              <w:rPr>
                <w:rFonts w:ascii="Calibri" w:hAnsi="Calibri"/>
                <w:sz w:val="20"/>
                <w:szCs w:val="20"/>
              </w:rPr>
            </w:pPr>
            <w:r w:rsidRPr="0053354E">
              <w:rPr>
                <w:rFonts w:ascii="Calibri" w:hAnsi="Calibri"/>
                <w:sz w:val="20"/>
                <w:szCs w:val="20"/>
              </w:rPr>
              <w:t xml:space="preserve">Interactive heat map visualizations are provided in </w:t>
            </w:r>
            <w:r w:rsidR="005101FD" w:rsidRPr="0053354E">
              <w:rPr>
                <w:rFonts w:ascii="Calibri" w:hAnsi="Calibri"/>
                <w:sz w:val="20"/>
                <w:szCs w:val="20"/>
              </w:rPr>
              <w:t>HAWC that</w:t>
            </w:r>
            <w:r w:rsidRPr="0053354E">
              <w:rPr>
                <w:rFonts w:ascii="Calibri" w:hAnsi="Calibri"/>
                <w:sz w:val="20"/>
                <w:szCs w:val="20"/>
              </w:rPr>
              <w:t xml:space="preserve"> provide specific study number information </w:t>
            </w:r>
            <w:r w:rsidR="00A05239" w:rsidRPr="0053354E">
              <w:rPr>
                <w:rFonts w:ascii="Calibri" w:hAnsi="Calibri"/>
                <w:sz w:val="20"/>
                <w:szCs w:val="20"/>
              </w:rPr>
              <w:t xml:space="preserve">and allow users to generate custom reference lists based on specified sorting </w:t>
            </w:r>
            <w:r w:rsidR="00FB520B" w:rsidRPr="0053354E">
              <w:rPr>
                <w:rFonts w:ascii="Calibri" w:hAnsi="Calibri"/>
                <w:sz w:val="20"/>
                <w:szCs w:val="20"/>
              </w:rPr>
              <w:t>https://hawc.epa.gov/summary/assessment/100500282/visuals/.</w:t>
            </w:r>
          </w:p>
        </w:tc>
      </w:tr>
      <w:tr w:rsidR="001D3DF8" w:rsidRPr="0053354E" w14:paraId="5FED0373" w14:textId="77777777" w:rsidTr="00D77BF9">
        <w:trPr>
          <w:trHeight w:val="17"/>
        </w:trPr>
        <w:tc>
          <w:tcPr>
            <w:tcW w:w="164" w:type="pct"/>
            <w:hideMark/>
          </w:tcPr>
          <w:p w14:paraId="1F21B76E"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lastRenderedPageBreak/>
              <w:t>17</w:t>
            </w:r>
          </w:p>
        </w:tc>
        <w:tc>
          <w:tcPr>
            <w:tcW w:w="517" w:type="pct"/>
            <w:hideMark/>
          </w:tcPr>
          <w:p w14:paraId="6B86BFA4"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Limitations</w:t>
            </w:r>
          </w:p>
        </w:tc>
        <w:tc>
          <w:tcPr>
            <w:tcW w:w="1403" w:type="pct"/>
            <w:hideMark/>
          </w:tcPr>
          <w:p w14:paraId="2B72D7C3" w14:textId="77777777" w:rsidR="001D3DF8" w:rsidRPr="0053354E" w:rsidRDefault="001D3DF8" w:rsidP="001D3DF8">
            <w:pPr>
              <w:spacing w:line="240" w:lineRule="auto"/>
              <w:rPr>
                <w:rFonts w:ascii="Calibri" w:hAnsi="Calibri"/>
                <w:sz w:val="20"/>
                <w:szCs w:val="20"/>
              </w:rPr>
            </w:pPr>
            <w:r w:rsidRPr="0053354E">
              <w:rPr>
                <w:rFonts w:ascii="Calibri" w:hAnsi="Calibri" w:cs="Arial"/>
                <w:sz w:val="20"/>
                <w:szCs w:val="20"/>
              </w:rPr>
              <w:t>Describe limitations of the map, such as limitations in search strategy, potential bias in pool of retrieved articles, etc.</w:t>
            </w:r>
          </w:p>
        </w:tc>
        <w:tc>
          <w:tcPr>
            <w:tcW w:w="486" w:type="pct"/>
          </w:tcPr>
          <w:p w14:paraId="6FCC1DF1" w14:textId="148555D2" w:rsidR="001D3DF8" w:rsidRPr="0053354E" w:rsidRDefault="005101FD" w:rsidP="001D3DF8">
            <w:pPr>
              <w:spacing w:line="240" w:lineRule="auto"/>
              <w:rPr>
                <w:rFonts w:ascii="Calibri" w:hAnsi="Calibri"/>
                <w:sz w:val="20"/>
                <w:szCs w:val="20"/>
              </w:rPr>
            </w:pPr>
            <w:r>
              <w:rPr>
                <w:rFonts w:ascii="Calibri" w:hAnsi="Calibri"/>
                <w:sz w:val="20"/>
                <w:szCs w:val="20"/>
              </w:rPr>
              <w:t>4 (Conclusions)</w:t>
            </w:r>
          </w:p>
        </w:tc>
        <w:tc>
          <w:tcPr>
            <w:tcW w:w="2430" w:type="pct"/>
          </w:tcPr>
          <w:p w14:paraId="04A5990C" w14:textId="329B899D" w:rsidR="001D3DF8" w:rsidRPr="005D1C73" w:rsidRDefault="003354A5" w:rsidP="005D1C73">
            <w:pPr>
              <w:pStyle w:val="IRBodyText"/>
              <w:spacing w:line="240" w:lineRule="auto"/>
              <w:ind w:firstLine="0"/>
              <w:rPr>
                <w:rFonts w:asciiTheme="minorHAnsi" w:hAnsiTheme="minorHAnsi" w:cstheme="minorHAnsi"/>
                <w:sz w:val="20"/>
              </w:rPr>
            </w:pPr>
            <w:r w:rsidRPr="0053354E">
              <w:rPr>
                <w:rFonts w:asciiTheme="minorHAnsi" w:hAnsiTheme="minorHAnsi" w:cstheme="minorHAnsi"/>
                <w:sz w:val="20"/>
              </w:rPr>
              <w:t xml:space="preserve">Limitations of the search strategy are outlined in </w:t>
            </w:r>
            <w:r w:rsidR="00A05239" w:rsidRPr="0053354E">
              <w:rPr>
                <w:rFonts w:asciiTheme="minorHAnsi" w:hAnsiTheme="minorHAnsi" w:cstheme="minorHAnsi"/>
                <w:sz w:val="20"/>
              </w:rPr>
              <w:t>the methods</w:t>
            </w:r>
            <w:r w:rsidR="005101FD">
              <w:rPr>
                <w:rFonts w:asciiTheme="minorHAnsi" w:hAnsiTheme="minorHAnsi" w:cstheme="minorHAnsi"/>
                <w:sz w:val="20"/>
              </w:rPr>
              <w:t xml:space="preserve"> (Section 2.1)</w:t>
            </w:r>
            <w:r w:rsidR="00A05239" w:rsidRPr="0053354E">
              <w:rPr>
                <w:rFonts w:asciiTheme="minorHAnsi" w:hAnsiTheme="minorHAnsi" w:cstheme="minorHAnsi"/>
                <w:sz w:val="20"/>
              </w:rPr>
              <w:t xml:space="preserve"> and conclusions</w:t>
            </w:r>
            <w:r w:rsidR="005101FD">
              <w:rPr>
                <w:rFonts w:asciiTheme="minorHAnsi" w:hAnsiTheme="minorHAnsi" w:cstheme="minorHAnsi"/>
                <w:sz w:val="20"/>
              </w:rPr>
              <w:t xml:space="preserve"> (Section 4)</w:t>
            </w:r>
            <w:r w:rsidRPr="0053354E">
              <w:rPr>
                <w:rFonts w:asciiTheme="minorHAnsi" w:hAnsiTheme="minorHAnsi" w:cstheme="minorHAnsi"/>
                <w:sz w:val="20"/>
              </w:rPr>
              <w:t xml:space="preserve">, </w:t>
            </w:r>
            <w:r w:rsidR="00AA7825" w:rsidRPr="0053354E">
              <w:rPr>
                <w:rFonts w:asciiTheme="minorHAnsi" w:hAnsiTheme="minorHAnsi" w:cstheme="minorHAnsi"/>
                <w:sz w:val="20"/>
              </w:rPr>
              <w:t>noting that our</w:t>
            </w:r>
            <w:r w:rsidRPr="0053354E">
              <w:rPr>
                <w:rFonts w:asciiTheme="minorHAnsi" w:hAnsiTheme="minorHAnsi" w:cstheme="minorHAnsi"/>
                <w:sz w:val="20"/>
              </w:rPr>
              <w:t xml:space="preserve"> literature search strategy did not </w:t>
            </w:r>
            <w:r w:rsidR="00153D3A" w:rsidRPr="0053354E">
              <w:rPr>
                <w:rFonts w:asciiTheme="minorHAnsi" w:hAnsiTheme="minorHAnsi" w:cstheme="minorHAnsi"/>
                <w:sz w:val="20"/>
              </w:rPr>
              <w:t xml:space="preserve">include </w:t>
            </w:r>
            <w:r w:rsidRPr="0053354E">
              <w:rPr>
                <w:rFonts w:asciiTheme="minorHAnsi" w:hAnsiTheme="minorHAnsi" w:cstheme="minorHAnsi"/>
                <w:sz w:val="20"/>
              </w:rPr>
              <w:t>supplemental search strategies (searching reference lists of reviews, citation mapping, grey literature searches, etc).  In the conclusions, we note</w:t>
            </w:r>
            <w:r w:rsidR="004B446A" w:rsidRPr="0053354E">
              <w:rPr>
                <w:rFonts w:asciiTheme="minorHAnsi" w:hAnsiTheme="minorHAnsi" w:cstheme="minorHAnsi"/>
                <w:sz w:val="20"/>
              </w:rPr>
              <w:t xml:space="preserve"> </w:t>
            </w:r>
            <w:r w:rsidR="00946C95" w:rsidRPr="0053354E">
              <w:rPr>
                <w:rFonts w:asciiTheme="minorHAnsi" w:hAnsiTheme="minorHAnsi" w:cstheme="minorHAnsi"/>
                <w:sz w:val="20"/>
              </w:rPr>
              <w:t xml:space="preserve">that </w:t>
            </w:r>
            <w:r w:rsidR="00AF391A" w:rsidRPr="0053354E">
              <w:rPr>
                <w:rFonts w:asciiTheme="minorHAnsi" w:hAnsiTheme="minorHAnsi" w:cstheme="minorHAnsi"/>
                <w:sz w:val="20"/>
              </w:rPr>
              <w:t>“</w:t>
            </w:r>
            <w:r w:rsidR="00946C95" w:rsidRPr="0053354E">
              <w:rPr>
                <w:rFonts w:asciiTheme="minorHAnsi" w:hAnsiTheme="minorHAnsi" w:cstheme="minorHAnsi"/>
                <w:sz w:val="20"/>
              </w:rPr>
              <w:t xml:space="preserve">a </w:t>
            </w:r>
            <w:r w:rsidR="004B446A" w:rsidRPr="0053354E">
              <w:rPr>
                <w:rFonts w:asciiTheme="minorHAnsi" w:hAnsiTheme="minorHAnsi" w:cstheme="minorHAnsi"/>
                <w:sz w:val="20"/>
              </w:rPr>
              <w:t>limitation of this work is that it relies on publicly accessible published data. Historically, scientific journals have often enforced publication length restrictions, sometimes resulting in incomplete reporting of study results. Potential selective reporting, where authors fail to mention they conducted an evaluation or fail to report the results of an evaluation, is a factor to consider at the study evaluation step of a full systematic review. Furthermore, there has also been some reluctance by journals to publish reports with primarily null results {Horvatt 2017, 29180912} and possibly some work that has not been published based on decisions made by study sponsors or other factors {Bero, 2016, 7607845}. Publication bias exists when the reasons behind a failure to publish are associated with the direction or magnitude of the effects observed {Dwan, 2008, 18769481; Dwan, 2013, 23861749}. Our analysis of the PCB database included only published reports and did not address the potential for publication bias. Future systematic reviews stemming from this work could consider using statistical approaches to assess publication bias for studies of health outcomes and exposure to PCB mixtures {Dalton, 2016, 7607849}.“</w:t>
            </w:r>
          </w:p>
        </w:tc>
      </w:tr>
      <w:tr w:rsidR="001D3DF8" w:rsidRPr="0053354E" w14:paraId="7B47CD4F" w14:textId="77777777" w:rsidTr="00D77BF9">
        <w:trPr>
          <w:trHeight w:val="27"/>
        </w:trPr>
        <w:tc>
          <w:tcPr>
            <w:tcW w:w="164" w:type="pct"/>
            <w:hideMark/>
          </w:tcPr>
          <w:p w14:paraId="22AA456B"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18</w:t>
            </w:r>
          </w:p>
        </w:tc>
        <w:tc>
          <w:tcPr>
            <w:tcW w:w="517" w:type="pct"/>
            <w:hideMark/>
          </w:tcPr>
          <w:p w14:paraId="7935F043"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Conclusions</w:t>
            </w:r>
          </w:p>
        </w:tc>
        <w:tc>
          <w:tcPr>
            <w:tcW w:w="1403" w:type="pct"/>
            <w:hideMark/>
          </w:tcPr>
          <w:p w14:paraId="254F24BD" w14:textId="77777777" w:rsidR="001D3DF8" w:rsidRPr="0053354E" w:rsidRDefault="001D3DF8" w:rsidP="001D3DF8">
            <w:pPr>
              <w:spacing w:line="240" w:lineRule="auto"/>
              <w:rPr>
                <w:rFonts w:ascii="Calibri" w:hAnsi="Calibri"/>
                <w:sz w:val="20"/>
                <w:szCs w:val="20"/>
              </w:rPr>
            </w:pPr>
            <w:r w:rsidRPr="0053354E">
              <w:rPr>
                <w:rFonts w:ascii="Calibri" w:hAnsi="Calibri" w:cs="Arial"/>
                <w:sz w:val="20"/>
                <w:szCs w:val="20"/>
              </w:rPr>
              <w:t>Describe both policy and management implications, and implications for research.</w:t>
            </w:r>
          </w:p>
        </w:tc>
        <w:tc>
          <w:tcPr>
            <w:tcW w:w="486" w:type="pct"/>
          </w:tcPr>
          <w:p w14:paraId="68413DCD" w14:textId="5B02D9A7" w:rsidR="001D3DF8" w:rsidRPr="0053354E" w:rsidRDefault="005101FD" w:rsidP="001D3DF8">
            <w:pPr>
              <w:spacing w:line="240" w:lineRule="auto"/>
              <w:rPr>
                <w:rFonts w:ascii="Calibri" w:hAnsi="Calibri"/>
                <w:sz w:val="20"/>
                <w:szCs w:val="20"/>
              </w:rPr>
            </w:pPr>
            <w:r>
              <w:rPr>
                <w:rFonts w:ascii="Calibri" w:hAnsi="Calibri"/>
                <w:sz w:val="20"/>
                <w:szCs w:val="20"/>
              </w:rPr>
              <w:t>3 (Results and Discussion), 4 (Conclusions)</w:t>
            </w:r>
          </w:p>
        </w:tc>
        <w:tc>
          <w:tcPr>
            <w:tcW w:w="2430" w:type="pct"/>
          </w:tcPr>
          <w:p w14:paraId="29ECC4D4" w14:textId="45C4028F" w:rsidR="001D3DF8" w:rsidRPr="0053354E" w:rsidRDefault="001D3DF8" w:rsidP="001D3DF8">
            <w:pPr>
              <w:spacing w:line="240" w:lineRule="auto"/>
              <w:rPr>
                <w:rFonts w:ascii="Calibri" w:hAnsi="Calibri"/>
                <w:sz w:val="20"/>
                <w:szCs w:val="20"/>
              </w:rPr>
            </w:pPr>
            <w:r w:rsidRPr="0053354E">
              <w:rPr>
                <w:rFonts w:ascii="Calibri" w:hAnsi="Calibri"/>
                <w:sz w:val="20"/>
                <w:szCs w:val="20"/>
              </w:rPr>
              <w:t>Th</w:t>
            </w:r>
            <w:r w:rsidR="00AA4732" w:rsidRPr="0053354E">
              <w:rPr>
                <w:rFonts w:ascii="Calibri" w:hAnsi="Calibri"/>
                <w:sz w:val="20"/>
                <w:szCs w:val="20"/>
              </w:rPr>
              <w:t>e research implications are discussed in</w:t>
            </w:r>
            <w:r w:rsidR="005A3C00" w:rsidRPr="0053354E">
              <w:rPr>
                <w:rFonts w:ascii="Calibri" w:hAnsi="Calibri"/>
                <w:sz w:val="20"/>
                <w:szCs w:val="20"/>
              </w:rPr>
              <w:t xml:space="preserve"> </w:t>
            </w:r>
            <w:r w:rsidR="00AA4732" w:rsidRPr="0053354E">
              <w:rPr>
                <w:rFonts w:ascii="Calibri" w:hAnsi="Calibri"/>
                <w:sz w:val="20"/>
                <w:szCs w:val="20"/>
              </w:rPr>
              <w:t>each health effect summary for every category</w:t>
            </w:r>
            <w:r w:rsidR="00C26085" w:rsidRPr="0053354E">
              <w:rPr>
                <w:rFonts w:ascii="Calibri" w:hAnsi="Calibri"/>
                <w:sz w:val="20"/>
                <w:szCs w:val="20"/>
              </w:rPr>
              <w:t xml:space="preserve"> in </w:t>
            </w:r>
            <w:r w:rsidR="005101FD">
              <w:rPr>
                <w:rFonts w:ascii="Calibri" w:hAnsi="Calibri"/>
                <w:sz w:val="20"/>
                <w:szCs w:val="20"/>
              </w:rPr>
              <w:t>Section 3.2</w:t>
            </w:r>
            <w:r w:rsidR="00AA4732" w:rsidRPr="0053354E">
              <w:rPr>
                <w:rFonts w:ascii="Calibri" w:hAnsi="Calibri"/>
                <w:sz w:val="20"/>
                <w:szCs w:val="20"/>
              </w:rPr>
              <w:t>, but in the conclusions (</w:t>
            </w:r>
            <w:r w:rsidR="005101FD">
              <w:rPr>
                <w:rFonts w:ascii="Calibri" w:hAnsi="Calibri"/>
                <w:sz w:val="20"/>
                <w:szCs w:val="20"/>
              </w:rPr>
              <w:t>Section 4)</w:t>
            </w:r>
            <w:r w:rsidR="00AA4732" w:rsidRPr="0053354E">
              <w:rPr>
                <w:rFonts w:ascii="Calibri" w:hAnsi="Calibri"/>
                <w:sz w:val="20"/>
                <w:szCs w:val="20"/>
              </w:rPr>
              <w:t xml:space="preserve"> we also note “The primary goal of this evidence map was to use systematic review methods to identify, summarize, organize, and disseminate evidence relevant for characterizing potential human health concerns from exposure to PCB mixtures. As an important part of this effort, we developed interactive figures to help readers explore the available literature, including the ability to create lists of references with customized combinations of study design features based on the specific interests of the individual user. By sharing information from this systematic evidence map in this way, we hope to provide a valuable tool that will both support future risk assessment work and highlight data gaps that can be prioritized in future research to advance our understanding of PCB mixtures and their potential effects on health.”</w:t>
            </w:r>
          </w:p>
        </w:tc>
      </w:tr>
      <w:tr w:rsidR="001D3DF8" w:rsidRPr="0053354E" w14:paraId="5FEF2DEA" w14:textId="77777777" w:rsidTr="00D77BF9">
        <w:tc>
          <w:tcPr>
            <w:tcW w:w="5000" w:type="pct"/>
            <w:gridSpan w:val="5"/>
            <w:hideMark/>
          </w:tcPr>
          <w:p w14:paraId="0C9C36CE" w14:textId="77777777" w:rsidR="001D3DF8" w:rsidRPr="0053354E" w:rsidRDefault="001D3DF8" w:rsidP="001D3DF8">
            <w:pPr>
              <w:spacing w:line="240" w:lineRule="auto"/>
              <w:rPr>
                <w:rFonts w:ascii="Calibri" w:hAnsi="Calibri"/>
                <w:b/>
                <w:sz w:val="20"/>
                <w:szCs w:val="20"/>
              </w:rPr>
            </w:pPr>
            <w:r w:rsidRPr="0053354E">
              <w:rPr>
                <w:rFonts w:ascii="Calibri" w:hAnsi="Calibri"/>
                <w:b/>
                <w:sz w:val="20"/>
                <w:szCs w:val="20"/>
              </w:rPr>
              <w:t>Funding</w:t>
            </w:r>
          </w:p>
        </w:tc>
      </w:tr>
      <w:tr w:rsidR="001D3DF8" w14:paraId="5BB40B51" w14:textId="77777777" w:rsidTr="00D77BF9">
        <w:trPr>
          <w:trHeight w:val="17"/>
        </w:trPr>
        <w:tc>
          <w:tcPr>
            <w:tcW w:w="164" w:type="pct"/>
            <w:hideMark/>
          </w:tcPr>
          <w:p w14:paraId="75C142DF"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lastRenderedPageBreak/>
              <w:t>19</w:t>
            </w:r>
          </w:p>
        </w:tc>
        <w:tc>
          <w:tcPr>
            <w:tcW w:w="517" w:type="pct"/>
            <w:hideMark/>
          </w:tcPr>
          <w:p w14:paraId="122F4F30" w14:textId="77777777" w:rsidR="001D3DF8" w:rsidRPr="0053354E" w:rsidRDefault="001D3DF8" w:rsidP="001D3DF8">
            <w:pPr>
              <w:spacing w:line="240" w:lineRule="auto"/>
              <w:rPr>
                <w:rFonts w:ascii="Calibri" w:hAnsi="Calibri"/>
                <w:sz w:val="20"/>
                <w:szCs w:val="20"/>
              </w:rPr>
            </w:pPr>
            <w:r w:rsidRPr="0053354E">
              <w:rPr>
                <w:rFonts w:ascii="Calibri" w:hAnsi="Calibri"/>
                <w:sz w:val="20"/>
                <w:szCs w:val="20"/>
              </w:rPr>
              <w:t>Funding</w:t>
            </w:r>
          </w:p>
        </w:tc>
        <w:tc>
          <w:tcPr>
            <w:tcW w:w="1403" w:type="pct"/>
            <w:hideMark/>
          </w:tcPr>
          <w:p w14:paraId="3BFDA6C0" w14:textId="77777777" w:rsidR="001D3DF8" w:rsidRPr="0053354E" w:rsidRDefault="001D3DF8" w:rsidP="001D3DF8">
            <w:pPr>
              <w:spacing w:line="240" w:lineRule="auto"/>
              <w:rPr>
                <w:rFonts w:ascii="Calibri" w:hAnsi="Calibri"/>
                <w:sz w:val="20"/>
                <w:szCs w:val="20"/>
              </w:rPr>
            </w:pPr>
            <w:r w:rsidRPr="0053354E">
              <w:rPr>
                <w:rFonts w:ascii="Calibri" w:hAnsi="Calibri" w:cs="Arial"/>
                <w:sz w:val="20"/>
                <w:szCs w:val="20"/>
              </w:rPr>
              <w:t>Describe sources of funding for the map, other support, and role of funders.</w:t>
            </w:r>
          </w:p>
        </w:tc>
        <w:tc>
          <w:tcPr>
            <w:tcW w:w="486" w:type="pct"/>
          </w:tcPr>
          <w:p w14:paraId="0CF2E414" w14:textId="7D20979E" w:rsidR="001D3DF8" w:rsidRPr="0053354E" w:rsidRDefault="005101FD" w:rsidP="001D3DF8">
            <w:pPr>
              <w:spacing w:line="240" w:lineRule="auto"/>
              <w:rPr>
                <w:rFonts w:ascii="Calibri" w:hAnsi="Calibri"/>
                <w:sz w:val="20"/>
                <w:szCs w:val="20"/>
              </w:rPr>
            </w:pPr>
            <w:r>
              <w:rPr>
                <w:rFonts w:ascii="Calibri" w:hAnsi="Calibri"/>
                <w:sz w:val="20"/>
                <w:szCs w:val="20"/>
              </w:rPr>
              <w:t>NA</w:t>
            </w:r>
          </w:p>
        </w:tc>
        <w:tc>
          <w:tcPr>
            <w:tcW w:w="2430" w:type="pct"/>
          </w:tcPr>
          <w:p w14:paraId="5D247BF3" w14:textId="1374565A" w:rsidR="001D3DF8" w:rsidRDefault="00426A57" w:rsidP="001D3DF8">
            <w:pPr>
              <w:spacing w:line="240" w:lineRule="auto"/>
              <w:rPr>
                <w:rFonts w:ascii="Calibri" w:hAnsi="Calibri"/>
                <w:sz w:val="20"/>
                <w:szCs w:val="20"/>
              </w:rPr>
            </w:pPr>
            <w:r w:rsidRPr="0053354E">
              <w:rPr>
                <w:rFonts w:ascii="Calibri" w:hAnsi="Calibri"/>
                <w:sz w:val="20"/>
                <w:szCs w:val="20"/>
              </w:rPr>
              <w:t>PJL declares she is a paid consultant for Friedman Rubin Associates (Seattle, WA) representing parents of children who attend Sky Valley School in Monroe, WA in the case of Sky Valley v. Monsanto. CRK discloses that she is currently employed by and receives a salary from Bausch Health Companies, Incorporated. CRK also owns shares in Bausch Health Companies Stock and retirement investments. Remaining authors declare no financial conflict of interest. This material has been funded in part by the US Environmental Protection Agency under Contract 68HERC19D0003 to ICF. Contributions from the following co-authors were supported by the US Environmental Protection Agency under Contract 68HERC19D0003 to ICF: SKS, PR, CRK, PJL, PFL, AS, MT, MSB, JT, TAJ, LR, JM, AFK, RB, RS, SS, CL, KS, and BI. The views expressed are those of the authors and do not necessarily represent the views or policies of the US Environmental Protection Agency. Any mention of trade names, products, or services does not imply an endorsement by the US Government or the US Environmental Protection Agency. EPA does not endorse any commercial products, services, or enterprises.</w:t>
            </w:r>
          </w:p>
        </w:tc>
      </w:tr>
    </w:tbl>
    <w:p w14:paraId="25230DCD" w14:textId="77777777" w:rsidR="00387983" w:rsidRDefault="00387983" w:rsidP="00387983">
      <w:pPr>
        <w:spacing w:after="0" w:line="240" w:lineRule="auto"/>
      </w:pPr>
    </w:p>
    <w:p w14:paraId="7574E39B" w14:textId="77777777" w:rsidR="005D1C73" w:rsidRDefault="005D1C73"/>
    <w:sectPr w:rsidR="005D1C73" w:rsidSect="00387983">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351A" w14:textId="77777777" w:rsidR="00CF6C41" w:rsidRDefault="00CF6C41" w:rsidP="00727938">
      <w:pPr>
        <w:spacing w:after="0" w:line="240" w:lineRule="auto"/>
      </w:pPr>
      <w:r>
        <w:separator/>
      </w:r>
    </w:p>
  </w:endnote>
  <w:endnote w:type="continuationSeparator" w:id="0">
    <w:p w14:paraId="5E16110C" w14:textId="77777777" w:rsidR="00CF6C41" w:rsidRDefault="00CF6C41" w:rsidP="00727938">
      <w:pPr>
        <w:spacing w:after="0" w:line="240" w:lineRule="auto"/>
      </w:pPr>
      <w:r>
        <w:continuationSeparator/>
      </w:r>
    </w:p>
  </w:endnote>
  <w:endnote w:type="continuationNotice" w:id="1">
    <w:p w14:paraId="475D24B0" w14:textId="77777777" w:rsidR="00943CAB" w:rsidRDefault="00943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D9D0" w14:textId="77777777" w:rsidR="00CF6C41" w:rsidRDefault="00CF6C41" w:rsidP="00727938">
      <w:pPr>
        <w:spacing w:after="0" w:line="240" w:lineRule="auto"/>
      </w:pPr>
      <w:r>
        <w:separator/>
      </w:r>
    </w:p>
  </w:footnote>
  <w:footnote w:type="continuationSeparator" w:id="0">
    <w:p w14:paraId="1CA89D83" w14:textId="77777777" w:rsidR="00CF6C41" w:rsidRDefault="00CF6C41" w:rsidP="00727938">
      <w:pPr>
        <w:spacing w:after="0" w:line="240" w:lineRule="auto"/>
      </w:pPr>
      <w:r>
        <w:continuationSeparator/>
      </w:r>
    </w:p>
  </w:footnote>
  <w:footnote w:type="continuationNotice" w:id="1">
    <w:p w14:paraId="2B94E4D1" w14:textId="77777777" w:rsidR="00943CAB" w:rsidRDefault="00943C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F0B1" w14:textId="0994CDDE" w:rsidR="00B93350" w:rsidRDefault="00727938">
    <w:pPr>
      <w:pStyle w:val="Header"/>
    </w:pPr>
    <w:r>
      <w:t xml:space="preserve">Last updated </w:t>
    </w:r>
    <w:r w:rsidR="00A209E8">
      <w:t>01/04/23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79B"/>
    <w:multiLevelType w:val="hybridMultilevel"/>
    <w:tmpl w:val="C9DA2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AB2177"/>
    <w:multiLevelType w:val="hybridMultilevel"/>
    <w:tmpl w:val="2158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83"/>
    <w:rsid w:val="0001033D"/>
    <w:rsid w:val="000411EC"/>
    <w:rsid w:val="00053328"/>
    <w:rsid w:val="00091444"/>
    <w:rsid w:val="000A3E6E"/>
    <w:rsid w:val="000A7662"/>
    <w:rsid w:val="000D4EFF"/>
    <w:rsid w:val="000E37B6"/>
    <w:rsid w:val="000F2A48"/>
    <w:rsid w:val="001132C8"/>
    <w:rsid w:val="00120887"/>
    <w:rsid w:val="001402DC"/>
    <w:rsid w:val="00153D3A"/>
    <w:rsid w:val="00174D1F"/>
    <w:rsid w:val="00192A39"/>
    <w:rsid w:val="00194FA3"/>
    <w:rsid w:val="001957BD"/>
    <w:rsid w:val="001B3791"/>
    <w:rsid w:val="001D3DF8"/>
    <w:rsid w:val="0020298D"/>
    <w:rsid w:val="002046B5"/>
    <w:rsid w:val="002059BA"/>
    <w:rsid w:val="002073AF"/>
    <w:rsid w:val="00213474"/>
    <w:rsid w:val="00217404"/>
    <w:rsid w:val="00260E4B"/>
    <w:rsid w:val="00280822"/>
    <w:rsid w:val="00290E07"/>
    <w:rsid w:val="002A6621"/>
    <w:rsid w:val="002E3C5F"/>
    <w:rsid w:val="0030423F"/>
    <w:rsid w:val="003354A5"/>
    <w:rsid w:val="003656B8"/>
    <w:rsid w:val="0038014B"/>
    <w:rsid w:val="00387983"/>
    <w:rsid w:val="003917E5"/>
    <w:rsid w:val="00393C2E"/>
    <w:rsid w:val="00394F82"/>
    <w:rsid w:val="003960EA"/>
    <w:rsid w:val="003A7A6D"/>
    <w:rsid w:val="00426A57"/>
    <w:rsid w:val="00440935"/>
    <w:rsid w:val="00451D79"/>
    <w:rsid w:val="00454BEB"/>
    <w:rsid w:val="004730B5"/>
    <w:rsid w:val="00474131"/>
    <w:rsid w:val="004A3A19"/>
    <w:rsid w:val="004B446A"/>
    <w:rsid w:val="00500008"/>
    <w:rsid w:val="00503595"/>
    <w:rsid w:val="005101FD"/>
    <w:rsid w:val="00512C38"/>
    <w:rsid w:val="00522171"/>
    <w:rsid w:val="005268A9"/>
    <w:rsid w:val="0053354E"/>
    <w:rsid w:val="00543926"/>
    <w:rsid w:val="005842A6"/>
    <w:rsid w:val="005A3C00"/>
    <w:rsid w:val="005A4D7C"/>
    <w:rsid w:val="005B473E"/>
    <w:rsid w:val="005C12EF"/>
    <w:rsid w:val="005C7156"/>
    <w:rsid w:val="005D1C73"/>
    <w:rsid w:val="005D3D2C"/>
    <w:rsid w:val="005F36BD"/>
    <w:rsid w:val="006070AD"/>
    <w:rsid w:val="00620F74"/>
    <w:rsid w:val="0066318D"/>
    <w:rsid w:val="00681482"/>
    <w:rsid w:val="006D12D7"/>
    <w:rsid w:val="006E2185"/>
    <w:rsid w:val="00702F75"/>
    <w:rsid w:val="00705DB1"/>
    <w:rsid w:val="00727938"/>
    <w:rsid w:val="00757C9F"/>
    <w:rsid w:val="0076590D"/>
    <w:rsid w:val="007967F6"/>
    <w:rsid w:val="007B7210"/>
    <w:rsid w:val="007C7A3F"/>
    <w:rsid w:val="007D0B1A"/>
    <w:rsid w:val="007E082D"/>
    <w:rsid w:val="007E1178"/>
    <w:rsid w:val="00806B8E"/>
    <w:rsid w:val="008246C3"/>
    <w:rsid w:val="008263EB"/>
    <w:rsid w:val="00840909"/>
    <w:rsid w:val="00840948"/>
    <w:rsid w:val="0084349E"/>
    <w:rsid w:val="008528E9"/>
    <w:rsid w:val="00875ED6"/>
    <w:rsid w:val="008F336B"/>
    <w:rsid w:val="00910548"/>
    <w:rsid w:val="0092724D"/>
    <w:rsid w:val="009368AA"/>
    <w:rsid w:val="00941A96"/>
    <w:rsid w:val="00943CAB"/>
    <w:rsid w:val="00946C95"/>
    <w:rsid w:val="00972A79"/>
    <w:rsid w:val="009A60C5"/>
    <w:rsid w:val="009C421D"/>
    <w:rsid w:val="009F1625"/>
    <w:rsid w:val="009F1A53"/>
    <w:rsid w:val="00A05239"/>
    <w:rsid w:val="00A209E8"/>
    <w:rsid w:val="00A331AA"/>
    <w:rsid w:val="00A43D79"/>
    <w:rsid w:val="00A4493C"/>
    <w:rsid w:val="00A568A2"/>
    <w:rsid w:val="00A740A7"/>
    <w:rsid w:val="00A95083"/>
    <w:rsid w:val="00AA4732"/>
    <w:rsid w:val="00AA7825"/>
    <w:rsid w:val="00AB3790"/>
    <w:rsid w:val="00AC51F4"/>
    <w:rsid w:val="00AD259F"/>
    <w:rsid w:val="00AE49CD"/>
    <w:rsid w:val="00AE6454"/>
    <w:rsid w:val="00AF391A"/>
    <w:rsid w:val="00AF430D"/>
    <w:rsid w:val="00B16115"/>
    <w:rsid w:val="00B56A71"/>
    <w:rsid w:val="00B93350"/>
    <w:rsid w:val="00BC4DDB"/>
    <w:rsid w:val="00BD0F47"/>
    <w:rsid w:val="00C25578"/>
    <w:rsid w:val="00C26085"/>
    <w:rsid w:val="00C9764A"/>
    <w:rsid w:val="00CA0EC3"/>
    <w:rsid w:val="00CA71CA"/>
    <w:rsid w:val="00CD0B32"/>
    <w:rsid w:val="00CF6C41"/>
    <w:rsid w:val="00D0400C"/>
    <w:rsid w:val="00D34B68"/>
    <w:rsid w:val="00D501F2"/>
    <w:rsid w:val="00D70932"/>
    <w:rsid w:val="00D77BF9"/>
    <w:rsid w:val="00D879F9"/>
    <w:rsid w:val="00DA686B"/>
    <w:rsid w:val="00DF3964"/>
    <w:rsid w:val="00E24DD2"/>
    <w:rsid w:val="00E412B8"/>
    <w:rsid w:val="00E87332"/>
    <w:rsid w:val="00E91618"/>
    <w:rsid w:val="00E91BDC"/>
    <w:rsid w:val="00E95046"/>
    <w:rsid w:val="00EA746F"/>
    <w:rsid w:val="00F44641"/>
    <w:rsid w:val="00F46C0B"/>
    <w:rsid w:val="00F6335B"/>
    <w:rsid w:val="00F6595E"/>
    <w:rsid w:val="00FA3E3F"/>
    <w:rsid w:val="00FB520B"/>
    <w:rsid w:val="00FD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C89D"/>
  <w15:chartTrackingRefBased/>
  <w15:docId w15:val="{CACF384B-8161-46B5-B439-C0482AA8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83"/>
    <w:pPr>
      <w:spacing w:line="256" w:lineRule="auto"/>
    </w:pPr>
  </w:style>
  <w:style w:type="paragraph" w:styleId="Heading1">
    <w:name w:val="heading 1"/>
    <w:basedOn w:val="Normal"/>
    <w:next w:val="Normal"/>
    <w:link w:val="Heading1Char"/>
    <w:uiPriority w:val="9"/>
    <w:qFormat/>
    <w:rsid w:val="00387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06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983"/>
    <w:rPr>
      <w:rFonts w:asciiTheme="majorHAnsi" w:eastAsiaTheme="majorEastAsia" w:hAnsiTheme="majorHAnsi" w:cstheme="majorBidi"/>
      <w:color w:val="2F5496" w:themeColor="accent1" w:themeShade="BF"/>
      <w:sz w:val="32"/>
      <w:szCs w:val="32"/>
    </w:rPr>
  </w:style>
  <w:style w:type="character" w:styleId="Hyperlink">
    <w:name w:val="Hyperlink"/>
    <w:unhideWhenUsed/>
    <w:rsid w:val="00387983"/>
    <w:rPr>
      <w:color w:val="0000FF"/>
      <w:u w:val="single"/>
    </w:rPr>
  </w:style>
  <w:style w:type="paragraph" w:styleId="ListParagraph">
    <w:name w:val="List Paragraph"/>
    <w:basedOn w:val="Normal"/>
    <w:uiPriority w:val="34"/>
    <w:qFormat/>
    <w:rsid w:val="0038798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3879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87983"/>
    <w:rPr>
      <w:sz w:val="16"/>
      <w:szCs w:val="16"/>
    </w:rPr>
  </w:style>
  <w:style w:type="paragraph" w:styleId="CommentText">
    <w:name w:val="annotation text"/>
    <w:basedOn w:val="Normal"/>
    <w:link w:val="CommentTextChar"/>
    <w:uiPriority w:val="99"/>
    <w:unhideWhenUsed/>
    <w:rsid w:val="00387983"/>
    <w:pPr>
      <w:spacing w:line="240" w:lineRule="auto"/>
    </w:pPr>
    <w:rPr>
      <w:sz w:val="20"/>
      <w:szCs w:val="20"/>
    </w:rPr>
  </w:style>
  <w:style w:type="character" w:customStyle="1" w:styleId="CommentTextChar">
    <w:name w:val="Comment Text Char"/>
    <w:basedOn w:val="DefaultParagraphFont"/>
    <w:link w:val="CommentText"/>
    <w:uiPriority w:val="99"/>
    <w:rsid w:val="00387983"/>
    <w:rPr>
      <w:sz w:val="20"/>
      <w:szCs w:val="20"/>
    </w:rPr>
  </w:style>
  <w:style w:type="paragraph" w:styleId="CommentSubject">
    <w:name w:val="annotation subject"/>
    <w:basedOn w:val="CommentText"/>
    <w:next w:val="CommentText"/>
    <w:link w:val="CommentSubjectChar"/>
    <w:uiPriority w:val="99"/>
    <w:semiHidden/>
    <w:unhideWhenUsed/>
    <w:rsid w:val="00387983"/>
    <w:rPr>
      <w:b/>
      <w:bCs/>
    </w:rPr>
  </w:style>
  <w:style w:type="character" w:customStyle="1" w:styleId="CommentSubjectChar">
    <w:name w:val="Comment Subject Char"/>
    <w:basedOn w:val="CommentTextChar"/>
    <w:link w:val="CommentSubject"/>
    <w:uiPriority w:val="99"/>
    <w:semiHidden/>
    <w:rsid w:val="00387983"/>
    <w:rPr>
      <w:b/>
      <w:bCs/>
      <w:sz w:val="20"/>
      <w:szCs w:val="20"/>
    </w:rPr>
  </w:style>
  <w:style w:type="paragraph" w:styleId="BalloonText">
    <w:name w:val="Balloon Text"/>
    <w:basedOn w:val="Normal"/>
    <w:link w:val="BalloonTextChar"/>
    <w:uiPriority w:val="99"/>
    <w:semiHidden/>
    <w:unhideWhenUsed/>
    <w:rsid w:val="00387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983"/>
    <w:rPr>
      <w:rFonts w:ascii="Segoe UI" w:hAnsi="Segoe UI" w:cs="Segoe UI"/>
      <w:sz w:val="18"/>
      <w:szCs w:val="18"/>
    </w:rPr>
  </w:style>
  <w:style w:type="character" w:customStyle="1" w:styleId="Heading3Char">
    <w:name w:val="Heading 3 Char"/>
    <w:basedOn w:val="DefaultParagraphFont"/>
    <w:link w:val="Heading3"/>
    <w:uiPriority w:val="9"/>
    <w:semiHidden/>
    <w:rsid w:val="00806B8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20F74"/>
    <w:rPr>
      <w:color w:val="605E5C"/>
      <w:shd w:val="clear" w:color="auto" w:fill="E1DFDD"/>
    </w:rPr>
  </w:style>
  <w:style w:type="paragraph" w:customStyle="1" w:styleId="IRBodyText">
    <w:name w:val="_IR Body Text"/>
    <w:link w:val="IRBodyTextChar"/>
    <w:qFormat/>
    <w:rsid w:val="005C7156"/>
    <w:pPr>
      <w:tabs>
        <w:tab w:val="left" w:pos="720"/>
      </w:tabs>
      <w:spacing w:after="0" w:line="312" w:lineRule="auto"/>
      <w:ind w:firstLine="720"/>
    </w:pPr>
    <w:rPr>
      <w:rFonts w:ascii="Cambria" w:eastAsia="Times New Roman" w:hAnsi="Cambria" w:cs="Times New Roman"/>
      <w:szCs w:val="20"/>
    </w:rPr>
  </w:style>
  <w:style w:type="character" w:customStyle="1" w:styleId="IRBodyTextChar">
    <w:name w:val="_IR Body Text Char"/>
    <w:basedOn w:val="DefaultParagraphFont"/>
    <w:link w:val="IRBodyText"/>
    <w:rsid w:val="005C7156"/>
    <w:rPr>
      <w:rFonts w:ascii="Cambria" w:eastAsia="Times New Roman" w:hAnsi="Cambria" w:cs="Times New Roman"/>
      <w:szCs w:val="20"/>
    </w:rPr>
  </w:style>
  <w:style w:type="character" w:styleId="Mention">
    <w:name w:val="Mention"/>
    <w:basedOn w:val="DefaultParagraphFont"/>
    <w:uiPriority w:val="99"/>
    <w:unhideWhenUsed/>
    <w:rsid w:val="004B446A"/>
    <w:rPr>
      <w:color w:val="2B579A"/>
      <w:shd w:val="clear" w:color="auto" w:fill="E1DFDD"/>
    </w:rPr>
  </w:style>
  <w:style w:type="paragraph" w:styleId="Header">
    <w:name w:val="header"/>
    <w:basedOn w:val="Normal"/>
    <w:link w:val="HeaderChar"/>
    <w:uiPriority w:val="99"/>
    <w:unhideWhenUsed/>
    <w:rsid w:val="0072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38"/>
  </w:style>
  <w:style w:type="paragraph" w:styleId="Footer">
    <w:name w:val="footer"/>
    <w:basedOn w:val="Normal"/>
    <w:link w:val="FooterChar"/>
    <w:uiPriority w:val="99"/>
    <w:unhideWhenUsed/>
    <w:rsid w:val="0072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38"/>
  </w:style>
  <w:style w:type="table" w:styleId="TableGridLight">
    <w:name w:val="Grid Table Light"/>
    <w:basedOn w:val="TableNormal"/>
    <w:uiPriority w:val="40"/>
    <w:rsid w:val="005335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5281/zenodo.358577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hmann.geniece@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awc.epa.gov/summary/assessment/100500282/visua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enodo.org/record/3585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2019-12-18T16:33:19+00:00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_dlc_DocId xmlns="2fe5acc1-9310-4462-a44a-3cad32217294">SSYEHYHTR5TA-461408786-132857</_dlc_DocId>
    <_dlc_DocIdUrl xmlns="2fe5acc1-9310-4462-a44a-3cad32217294">
      <Url>https://usepa.sharepoint.com/sites/ORD_Work/PCB-IRIS/_layouts/15/DocIdRedir.aspx?ID=SSYEHYHTR5TA-461408786-132857</Url>
      <Description>SSYEHYHTR5TA-461408786-132857</Description>
    </_dlc_DocIdUrl>
    <_ip_UnifiedCompliancePolicyUIAction xmlns="http://schemas.microsoft.com/sharepoint/v3" xsi:nil="true"/>
    <_ip_UnifiedCompliancePolicyProperties xmlns="http://schemas.microsoft.com/sharepoint/v3" xsi:nil="true"/>
    <SharedWithUsers xmlns="2fe5acc1-9310-4462-a44a-3cad32217294">
      <UserInfo>
        <DisplayName>Lehmann, Geniece</DisplayName>
        <AccountId>4538</AccountId>
        <AccountType/>
      </UserInfo>
      <UserInfo>
        <DisplayName>Christensen, Krista</DisplayName>
        <AccountId>16946</AccountId>
        <AccountType/>
      </UserInfo>
      <UserInfo>
        <DisplayName>Carlson, Laura</DisplayName>
        <AccountId>7602</AccountId>
        <AccountType/>
      </UserInfo>
    </SharedWithUsers>
    <lcf76f155ced4ddcb4097134ff3c332f xmlns="6f1d0926-f8f8-4791-a3ed-3a9cd7e69ad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A2DD772675444FBF18744CAB4F4E71" ma:contentTypeVersion="49" ma:contentTypeDescription="Create a new document." ma:contentTypeScope="" ma:versionID="fc3dd5c8643f0b5907881f4ac86d96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fe5acc1-9310-4462-a44a-3cad32217294" xmlns:ns6="2d1ff880-c228-4058-ac02-06bd062463d9" xmlns:ns7="6f1d0926-f8f8-4791-a3ed-3a9cd7e69ad9" targetNamespace="http://schemas.microsoft.com/office/2006/metadata/properties" ma:root="true" ma:fieldsID="d51efdb0815e3f0e9bf6e82f2a48559c" ns1:_="" ns2:_="" ns3:_="" ns4:_="" ns5:_="" ns6:_="" ns7:_="">
    <xsd:import namespace="http://schemas.microsoft.com/sharepoint/v3"/>
    <xsd:import namespace="4ffa91fb-a0ff-4ac5-b2db-65c790d184a4"/>
    <xsd:import namespace="http://schemas.microsoft.com/sharepoint.v3"/>
    <xsd:import namespace="http://schemas.microsoft.com/sharepoint/v3/fields"/>
    <xsd:import namespace="2fe5acc1-9310-4462-a44a-3cad32217294"/>
    <xsd:import namespace="2d1ff880-c228-4058-ac02-06bd062463d9"/>
    <xsd:import namespace="6f1d0926-f8f8-4791-a3ed-3a9cd7e69ad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_dlc_DocId" minOccurs="0"/>
                <xsd:element ref="ns5:_dlc_DocIdUrl" minOccurs="0"/>
                <xsd:element ref="ns5:_dlc_DocIdPersistId" minOccurs="0"/>
                <xsd:element ref="ns2: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MediaServiceAutoKeyPoints" minOccurs="0"/>
                <xsd:element ref="ns7:MediaServiceKeyPoints" minOccurs="0"/>
                <xsd:element ref="ns1:_ip_UnifiedCompliancePolicyProperties" minOccurs="0"/>
                <xsd:element ref="ns1:_ip_UnifiedCompliancePolicyUIAction"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45b6655-e6a6-40d9-8e2b-c93e42c0dbf8}" ma:internalName="TaxCatchAllLabel" ma:readOnly="true" ma:showField="CatchAllDataLabel"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45b6655-e6a6-40d9-8e2b-c93e42c0dbf8}" ma:internalName="TaxCatchAll" ma:showField="CatchAllData"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31"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acc1-9310-4462-a44a-3cad32217294"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f880-c228-4058-ac02-06bd062463d9" elementFormDefault="qualified">
    <xsd:import namespace="http://schemas.microsoft.com/office/2006/documentManagement/types"/>
    <xsd:import namespace="http://schemas.microsoft.com/office/infopath/2007/PartnerControls"/>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1d0926-f8f8-4791-a3ed-3a9cd7e69ad9" elementFormDefault="qualified">
    <xsd:import namespace="http://schemas.microsoft.com/office/2006/documentManagement/types"/>
    <xsd:import namespace="http://schemas.microsoft.com/office/infopath/2007/PartnerControls"/>
    <xsd:element name="MediaServiceMetadata" ma:index="36" nillable="true" ma:displayName="MediaServiceMetadata" ma:description="" ma:hidden="true" ma:internalName="MediaServiceMetadata" ma:readOnly="true">
      <xsd:simpleType>
        <xsd:restriction base="dms:Note"/>
      </xsd:simpleType>
    </xsd:element>
    <xsd:element name="MediaServiceFastMetadata" ma:index="37" nillable="true" ma:displayName="MediaServiceFastMetadata" ma:description=""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DC0C2-249A-4D06-9C0C-8748AC0C4555}">
  <ds:schemaRefs>
    <ds:schemaRef ds:uri="http://schemas.microsoft.com/sharepoint/events"/>
  </ds:schemaRefs>
</ds:datastoreItem>
</file>

<file path=customXml/itemProps2.xml><?xml version="1.0" encoding="utf-8"?>
<ds:datastoreItem xmlns:ds="http://schemas.openxmlformats.org/officeDocument/2006/customXml" ds:itemID="{BAAD431C-993E-48BD-9EFF-08B01A6A78B5}">
  <ds:schemaRefs>
    <ds:schemaRef ds:uri="Microsoft.SharePoint.Taxonomy.ContentTypeSync"/>
  </ds:schemaRefs>
</ds:datastoreItem>
</file>

<file path=customXml/itemProps3.xml><?xml version="1.0" encoding="utf-8"?>
<ds:datastoreItem xmlns:ds="http://schemas.openxmlformats.org/officeDocument/2006/customXml" ds:itemID="{F31B2863-B195-4723-B379-0C4A1DDB0BE0}">
  <ds:schemaRefs>
    <ds:schemaRef ds:uri="http://schemas.microsoft.com/office/infopath/2007/PartnerControls"/>
    <ds:schemaRef ds:uri="http://purl.org/dc/terms/"/>
    <ds:schemaRef ds:uri="http://schemas.microsoft.com/sharepoint.v3"/>
    <ds:schemaRef ds:uri="http://purl.org/dc/dcmitype/"/>
    <ds:schemaRef ds:uri="http://schemas.microsoft.com/sharepoint/v3"/>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6f1d0926-f8f8-4791-a3ed-3a9cd7e69ad9"/>
    <ds:schemaRef ds:uri="2d1ff880-c228-4058-ac02-06bd062463d9"/>
    <ds:schemaRef ds:uri="2fe5acc1-9310-4462-a44a-3cad32217294"/>
    <ds:schemaRef ds:uri="http://schemas.microsoft.com/sharepoint/v3/fields"/>
    <ds:schemaRef ds:uri="4ffa91fb-a0ff-4ac5-b2db-65c790d184a4"/>
    <ds:schemaRef ds:uri="http://purl.org/dc/elements/1.1/"/>
  </ds:schemaRefs>
</ds:datastoreItem>
</file>

<file path=customXml/itemProps4.xml><?xml version="1.0" encoding="utf-8"?>
<ds:datastoreItem xmlns:ds="http://schemas.openxmlformats.org/officeDocument/2006/customXml" ds:itemID="{DA7B75A0-6C97-4516-9272-3E7F27F8D6A1}">
  <ds:schemaRefs>
    <ds:schemaRef ds:uri="http://schemas.microsoft.com/sharepoint/v3/contenttype/forms"/>
  </ds:schemaRefs>
</ds:datastoreItem>
</file>

<file path=customXml/itemProps5.xml><?xml version="1.0" encoding="utf-8"?>
<ds:datastoreItem xmlns:ds="http://schemas.openxmlformats.org/officeDocument/2006/customXml" ds:itemID="{DD9EBAA8-EF24-4026-9E35-4B1455E55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fe5acc1-9310-4462-a44a-3cad32217294"/>
    <ds:schemaRef ds:uri="2d1ff880-c228-4058-ac02-06bd062463d9"/>
    <ds:schemaRef ds:uri="6f1d0926-f8f8-4791-a3ed-3a9cd7e6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Links>
    <vt:vector size="24" baseType="variant">
      <vt:variant>
        <vt:i4>3145848</vt:i4>
      </vt:variant>
      <vt:variant>
        <vt:i4>17</vt:i4>
      </vt:variant>
      <vt:variant>
        <vt:i4>0</vt:i4>
      </vt:variant>
      <vt:variant>
        <vt:i4>5</vt:i4>
      </vt:variant>
      <vt:variant>
        <vt:lpwstr>https://hawc.epa.gov/summary/assessment/100500282/visuals/</vt:lpwstr>
      </vt:variant>
      <vt:variant>
        <vt:lpwstr/>
      </vt:variant>
      <vt:variant>
        <vt:i4>1769575</vt:i4>
      </vt:variant>
      <vt:variant>
        <vt:i4>6</vt:i4>
      </vt:variant>
      <vt:variant>
        <vt:i4>0</vt:i4>
      </vt:variant>
      <vt:variant>
        <vt:i4>5</vt:i4>
      </vt:variant>
      <vt:variant>
        <vt:lpwstr>https://zenodo.org/record/3585772</vt:lpwstr>
      </vt:variant>
      <vt:variant>
        <vt:lpwstr>.Xfu_okdKhaR</vt:lpwstr>
      </vt:variant>
      <vt:variant>
        <vt:i4>7798832</vt:i4>
      </vt:variant>
      <vt:variant>
        <vt:i4>3</vt:i4>
      </vt:variant>
      <vt:variant>
        <vt:i4>0</vt:i4>
      </vt:variant>
      <vt:variant>
        <vt:i4>5</vt:i4>
      </vt:variant>
      <vt:variant>
        <vt:lpwstr>https://doi.org/10.5281/zenodo.3585771</vt:lpwstr>
      </vt:variant>
      <vt:variant>
        <vt:lpwstr/>
      </vt:variant>
      <vt:variant>
        <vt:i4>7667740</vt:i4>
      </vt:variant>
      <vt:variant>
        <vt:i4>0</vt:i4>
      </vt:variant>
      <vt:variant>
        <vt:i4>0</vt:i4>
      </vt:variant>
      <vt:variant>
        <vt:i4>5</vt:i4>
      </vt:variant>
      <vt:variant>
        <vt:lpwstr>mailto:Lehmann.geniece@epa.gov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Raquel</dc:creator>
  <cp:keywords/>
  <dc:description/>
  <cp:lastModifiedBy>Carlson, Laura</cp:lastModifiedBy>
  <cp:revision>3</cp:revision>
  <dcterms:created xsi:type="dcterms:W3CDTF">2023-01-04T20:24:00Z</dcterms:created>
  <dcterms:modified xsi:type="dcterms:W3CDTF">2023-01-04T20:37:00Z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0x01010080A2DD772675444FBF18744CAB4F4E71</vt:lpwstr>
  </property>
  <property fmtid="{D5CDD505-2E9C-101B-9397-08002B2CF9AE}" pid="3" name="TaxKeyword">
    <vt:lpwstr/>
  </property>
  <property fmtid="{D5CDD505-2E9C-101B-9397-08002B2CF9AE}" pid="4" name="Document Type">
    <vt:lpwstr/>
  </property>
  <property fmtid="{D5CDD505-2E9C-101B-9397-08002B2CF9AE}" pid="5" name="_dlc_DocIdItemGuid">
    <vt:lpwstr>47532caf-5288-4bc9-a2b1-49c88af3d9be</vt:lpwstr>
  </property>
  <property fmtid="{D5CDD505-2E9C-101B-9397-08002B2CF9AE}" pid="6" name="EPA Subject">
    <vt:lpwstr/>
  </property>
  <property fmtid="{D5CDD505-2E9C-101B-9397-08002B2CF9AE}" pid="7" name="MediaServiceImageTags">
    <vt:lpwstr/>
  </property>
</Properties>
</file>