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AF9A" w14:textId="02766C4D" w:rsidR="00E61108" w:rsidRDefault="00752E49">
      <w:r w:rsidRPr="00752E49">
        <w:rPr>
          <w:noProof/>
        </w:rPr>
        <w:drawing>
          <wp:inline distT="0" distB="0" distL="0" distR="0" wp14:anchorId="2143353D" wp14:editId="4CB94BD0">
            <wp:extent cx="4768850" cy="2908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6D76" w14:textId="0790D243" w:rsidR="00752E49" w:rsidRDefault="00752E49">
      <w:r>
        <w:t>Temporal profile of effluent pH</w:t>
      </w:r>
    </w:p>
    <w:sectPr w:rsidR="00752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49"/>
    <w:rsid w:val="00752E49"/>
    <w:rsid w:val="00E6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ED21"/>
  <w15:chartTrackingRefBased/>
  <w15:docId w15:val="{08D98637-7DD0-4E1C-AE74-B8A9FF88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Edwin</dc:creator>
  <cp:keywords/>
  <dc:description/>
  <cp:lastModifiedBy>Barth, Edwin</cp:lastModifiedBy>
  <cp:revision>1</cp:revision>
  <dcterms:created xsi:type="dcterms:W3CDTF">2022-05-20T17:50:00Z</dcterms:created>
  <dcterms:modified xsi:type="dcterms:W3CDTF">2022-05-20T17:51:00Z</dcterms:modified>
</cp:coreProperties>
</file>