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06D86" w14:textId="2FEF668E" w:rsidR="0019007A" w:rsidRDefault="008A3A49">
      <w:r w:rsidRPr="00DB62B1">
        <w:rPr>
          <w:rFonts w:ascii="Times New Roman" w:hAnsi="Times New Roman" w:cs="Times New Roman"/>
          <w:noProof/>
          <w:lang w:eastAsia="ja-JP"/>
        </w:rPr>
        <w:drawing>
          <wp:inline distT="0" distB="0" distL="0" distR="0" wp14:anchorId="08CF7785" wp14:editId="610C4CE9">
            <wp:extent cx="5943600" cy="63595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g SPLP figur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E1C3F" w14:textId="744259FB" w:rsidR="008A3A49" w:rsidRDefault="008A3A49">
      <w:r>
        <w:t>Leaching results pre vs. post treatment</w:t>
      </w:r>
    </w:p>
    <w:sectPr w:rsidR="008A3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49"/>
    <w:rsid w:val="0019007A"/>
    <w:rsid w:val="008A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A8DD5"/>
  <w15:chartTrackingRefBased/>
  <w15:docId w15:val="{E47157D6-99C7-42F0-BF98-F87B0C48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Barth, Edwin</dc:creator>
  <cp:keywords/>
  <dc:description/>
  <cp:lastModifiedBy>Barth, Edwin</cp:lastModifiedBy>
  <cp:revision>1</cp:revision>
  <dcterms:created xsi:type="dcterms:W3CDTF">2022-05-23T19:25:00Z</dcterms:created>
  <dcterms:modified xsi:type="dcterms:W3CDTF">2022-05-23T19:27:00Z</dcterms:modified>
</cp:coreProperties>
</file>