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E6A20" w14:textId="50A396C9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26944863"/>
      <w:bookmarkStart w:id="1" w:name="_GoBack"/>
      <w:bookmarkEnd w:id="1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C7D14" wp14:editId="57F3B08C">
            <wp:extent cx="5943600" cy="553910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F4F4" w14:textId="2A075C28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1. Elemental concentrations of (a) </w:t>
      </w:r>
      <w:proofErr w:type="spellStart"/>
      <w:r>
        <w:rPr>
          <w:rFonts w:ascii="Times New Roman" w:hAnsi="Times New Roman" w:cs="Times New Roman"/>
          <w:sz w:val="24"/>
          <w:szCs w:val="24"/>
        </w:rPr>
        <w:t>CuPRO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2005, (b) </w:t>
      </w:r>
      <w:proofErr w:type="spellStart"/>
      <w:r>
        <w:rPr>
          <w:rFonts w:ascii="Times New Roman" w:hAnsi="Times New Roman" w:cs="Times New Roman"/>
          <w:sz w:val="24"/>
          <w:szCs w:val="24"/>
        </w:rPr>
        <w:t>Kocide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3000 (c), UTW, (d) MCA-1</w:t>
      </w:r>
      <w:r w:rsidRPr="00387B3D"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87B3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MCA-2</w:t>
      </w:r>
      <w:r w:rsidRPr="00387B3D">
        <w:rPr>
          <w:rFonts w:ascii="Times New Roman" w:hAnsi="Times New Roman" w:cs="Times New Roman"/>
          <w:sz w:val="24"/>
          <w:szCs w:val="24"/>
        </w:rPr>
        <w:t xml:space="preserve">, </w:t>
      </w:r>
      <w:r w:rsidRPr="00FD7E3E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(f</w:t>
      </w:r>
      <w:r w:rsidRPr="00FD7E3E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>
        <w:rPr>
          <w:rFonts w:ascii="Times New Roman" w:hAnsi="Times New Roman" w:cs="Times New Roman"/>
          <w:sz w:val="24"/>
          <w:szCs w:val="24"/>
        </w:rPr>
        <w:t>ACQ after ICP-AES analysis in mg kg</w:t>
      </w:r>
      <w:r w:rsidRPr="00E3357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1697A0" w14:textId="3AC8E212" w:rsidR="000157EA" w:rsidRDefault="000157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3AEDF60B" w14:textId="45F58B32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E9DA72" wp14:editId="7D995E72">
            <wp:extent cx="5943600" cy="3610610"/>
            <wp:effectExtent l="0" t="0" r="0" b="889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BA94" w14:textId="7767336F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2. Total Cu leached from UTW, MCA-1, MCA-2, and ACQ lumbers (a), total and ionic Cu leached from MCA-1 lumber (b), SEM image of MCA-1 lumber (c), E</w:t>
      </w:r>
      <w:r w:rsidR="00133AA3">
        <w:rPr>
          <w:rFonts w:ascii="Times New Roman" w:hAnsi="Times New Roman" w:cs="Times New Roman"/>
          <w:sz w:val="24"/>
          <w:szCs w:val="24"/>
        </w:rPr>
        <w:t xml:space="preserve">nergy </w:t>
      </w:r>
      <w:proofErr w:type="gramStart"/>
      <w:r w:rsidR="00133AA3">
        <w:rPr>
          <w:rFonts w:ascii="Times New Roman" w:hAnsi="Times New Roman" w:cs="Times New Roman"/>
          <w:sz w:val="24"/>
          <w:szCs w:val="24"/>
        </w:rPr>
        <w:t xml:space="preserve">Dispersive </w:t>
      </w:r>
      <w:r>
        <w:rPr>
          <w:rFonts w:ascii="Times New Roman" w:hAnsi="Times New Roman" w:cs="Times New Roman"/>
          <w:sz w:val="24"/>
          <w:szCs w:val="24"/>
        </w:rPr>
        <w:t xml:space="preserve"> spectra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MCA-1 lumber (d). </w:t>
      </w:r>
    </w:p>
    <w:p w14:paraId="4795A601" w14:textId="7FC931F3" w:rsidR="000157EA" w:rsidRDefault="000157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BD38AFC" w14:textId="339BDB0C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2F3D23" wp14:editId="18BF6F73">
            <wp:extent cx="5943600" cy="6343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5661" w14:textId="1714BA4C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3. The dissolved oxygen consumption of (a) Cu ion, (b) MCA-1, (c) MCA-2, (d) ACQ, (e) UTW spike, (f) CuCO</w:t>
      </w:r>
      <w:r w:rsidRPr="00D848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solution, (g) </w:t>
      </w:r>
      <w:proofErr w:type="spellStart"/>
      <w:r>
        <w:rPr>
          <w:rFonts w:ascii="Times New Roman" w:hAnsi="Times New Roman" w:cs="Times New Roman"/>
          <w:sz w:val="24"/>
          <w:szCs w:val="24"/>
        </w:rPr>
        <w:t>CuPRO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2005, and (h) </w:t>
      </w:r>
      <w:proofErr w:type="spellStart"/>
      <w:r>
        <w:rPr>
          <w:rFonts w:ascii="Times New Roman" w:hAnsi="Times New Roman" w:cs="Times New Roman"/>
          <w:sz w:val="24"/>
          <w:szCs w:val="24"/>
        </w:rPr>
        <w:t>Kocide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3000. </w:t>
      </w:r>
    </w:p>
    <w:p w14:paraId="648E2A4A" w14:textId="03235D4E" w:rsidR="000157EA" w:rsidRDefault="000157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76850B1" w14:textId="4EC9F01C" w:rsidR="000157EA" w:rsidRDefault="000157EA" w:rsidP="000157EA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0D533D" wp14:editId="10C5D159">
            <wp:extent cx="5694051" cy="7270865"/>
            <wp:effectExtent l="0" t="0" r="1905" b="635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896" cy="72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3A98" w14:textId="0FFD001A" w:rsidR="003809EA" w:rsidRPr="000157EA" w:rsidRDefault="000157EA" w:rsidP="000157EA">
      <w:pPr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4. Carbon content of UTW, MCA-1, MCA-2, and ACQ woods leachates (a) and DO consumption of MCA-1 wood sawdust and pieces/blocks (b).   </w:t>
      </w:r>
    </w:p>
    <w:sectPr w:rsidR="003809EA" w:rsidRPr="00015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EA"/>
    <w:rsid w:val="000157EA"/>
    <w:rsid w:val="00133AA3"/>
    <w:rsid w:val="001C1534"/>
    <w:rsid w:val="003809EA"/>
    <w:rsid w:val="006D3D5E"/>
    <w:rsid w:val="00B23681"/>
    <w:rsid w:val="00B6061E"/>
    <w:rsid w:val="00BF01EB"/>
    <w:rsid w:val="00C17DE6"/>
    <w:rsid w:val="00E0629A"/>
    <w:rsid w:val="00FC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1998F"/>
  <w15:chartTrackingRefBased/>
  <w15:docId w15:val="{5524F1F8-FEAB-4EA0-82D6-B9129BF7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5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3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3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F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Sorial</dc:creator>
  <cp:keywords/>
  <dc:description/>
  <cp:lastModifiedBy>Sahle-Demessie, Endalkachew</cp:lastModifiedBy>
  <cp:revision>2</cp:revision>
  <dcterms:created xsi:type="dcterms:W3CDTF">2020-05-20T23:31:00Z</dcterms:created>
  <dcterms:modified xsi:type="dcterms:W3CDTF">2020-05-20T23:31:00Z</dcterms:modified>
</cp:coreProperties>
</file>