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13" w:rsidRPr="00610EF5" w:rsidRDefault="002629CF" w:rsidP="007D7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0EF5">
        <w:rPr>
          <w:rFonts w:ascii="Times New Roman" w:hAnsi="Times New Roman" w:cs="Times New Roman"/>
          <w:b/>
          <w:sz w:val="32"/>
          <w:szCs w:val="32"/>
          <w:u w:val="single"/>
        </w:rPr>
        <w:t xml:space="preserve">Supplementary </w:t>
      </w:r>
      <w:r w:rsidR="00722BD9" w:rsidRPr="00610EF5">
        <w:rPr>
          <w:rFonts w:ascii="Times New Roman" w:hAnsi="Times New Roman" w:cs="Times New Roman"/>
          <w:b/>
          <w:sz w:val="32"/>
          <w:szCs w:val="32"/>
          <w:u w:val="single"/>
        </w:rPr>
        <w:t>Data</w:t>
      </w:r>
    </w:p>
    <w:p w:rsidR="007D7013" w:rsidRDefault="007D7013" w:rsidP="007D7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1199" w:rsidRPr="00ED7B2D" w:rsidRDefault="00DE1199" w:rsidP="0061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Effect of colloid-size copper-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based pesticides and wood preservatives against microbial activities of Gram positive Bacillus species using five-day biochemical oxygen demand test </w:t>
      </w:r>
    </w:p>
    <w:p w:rsidR="00DE1199" w:rsidRDefault="00DE1199" w:rsidP="00DE11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1199" w:rsidRPr="00765CB6" w:rsidRDefault="00DE1199" w:rsidP="00610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bCs/>
          <w:sz w:val="24"/>
          <w:szCs w:val="24"/>
        </w:rPr>
        <w:t xml:space="preserve">Ayenachew </w:t>
      </w:r>
      <w:proofErr w:type="spellStart"/>
      <w:r w:rsidRPr="00765CB6">
        <w:rPr>
          <w:rFonts w:ascii="Times New Roman" w:hAnsi="Times New Roman" w:cs="Times New Roman"/>
          <w:bCs/>
          <w:sz w:val="24"/>
          <w:szCs w:val="24"/>
        </w:rPr>
        <w:t>Tegenaw</w:t>
      </w:r>
      <w:r w:rsidRPr="00031084">
        <w:rPr>
          <w:rFonts w:ascii="Times New Roman" w:hAnsi="Times New Roman" w:cs="Times New Roman"/>
          <w:bCs/>
          <w:sz w:val="36"/>
          <w:szCs w:val="36"/>
          <w:vertAlign w:val="superscript"/>
        </w:rPr>
        <w:t>a</w:t>
      </w:r>
      <w:proofErr w:type="spellEnd"/>
      <w:r w:rsidRPr="00765C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Thabet 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Tolaymat</w:t>
      </w:r>
      <w:r w:rsidRPr="00670D69">
        <w:rPr>
          <w:rFonts w:ascii="Times New Roman" w:hAnsi="Times New Roman" w:cs="Times New Roman"/>
          <w:bCs/>
          <w:sz w:val="36"/>
          <w:szCs w:val="36"/>
          <w:vertAlign w:val="superscript"/>
        </w:rPr>
        <w:t>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65CB6">
        <w:rPr>
          <w:rFonts w:ascii="Times New Roman" w:hAnsi="Times New Roman" w:cs="Times New Roman"/>
          <w:bCs/>
          <w:sz w:val="24"/>
          <w:szCs w:val="24"/>
        </w:rPr>
        <w:t>George</w:t>
      </w:r>
      <w:r>
        <w:rPr>
          <w:rFonts w:ascii="Times New Roman" w:hAnsi="Times New Roman" w:cs="Times New Roman"/>
          <w:bCs/>
          <w:sz w:val="24"/>
          <w:szCs w:val="24"/>
        </w:rPr>
        <w:t xml:space="preserve"> A.</w:t>
      </w:r>
      <w:r w:rsidRPr="00765C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5CB6">
        <w:rPr>
          <w:rFonts w:ascii="Times New Roman" w:hAnsi="Times New Roman" w:cs="Times New Roman"/>
          <w:bCs/>
          <w:sz w:val="24"/>
          <w:szCs w:val="24"/>
        </w:rPr>
        <w:t>Sorial</w:t>
      </w:r>
      <w:r w:rsidRPr="00031084">
        <w:rPr>
          <w:rFonts w:ascii="Times New Roman" w:hAnsi="Times New Roman" w:cs="Times New Roman"/>
          <w:bCs/>
          <w:sz w:val="36"/>
          <w:szCs w:val="36"/>
          <w:vertAlign w:val="superscript"/>
        </w:rPr>
        <w:t>a</w:t>
      </w:r>
      <w:proofErr w:type="spellEnd"/>
      <w:r w:rsidRPr="00031084">
        <w:rPr>
          <w:rFonts w:ascii="Times New Roman" w:hAnsi="Times New Roman" w:cs="Times New Roman"/>
          <w:bCs/>
          <w:sz w:val="36"/>
          <w:szCs w:val="36"/>
          <w:vertAlign w:val="superscript"/>
        </w:rPr>
        <w:t>,</w:t>
      </w:r>
      <w:r w:rsidRPr="0041059C">
        <w:rPr>
          <w:rFonts w:ascii="Times New Roman" w:hAnsi="Times New Roman" w:cs="Times New Roman"/>
          <w:bCs/>
          <w:sz w:val="28"/>
          <w:szCs w:val="28"/>
        </w:rPr>
        <w:t>*</w:t>
      </w:r>
      <w:proofErr w:type="gramEnd"/>
      <w:r w:rsidRPr="00765CB6">
        <w:rPr>
          <w:rFonts w:ascii="Times New Roman" w:hAnsi="Times New Roman" w:cs="Times New Roman"/>
          <w:bCs/>
          <w:sz w:val="24"/>
          <w:szCs w:val="24"/>
        </w:rPr>
        <w:t>, Endalkachew Sahle-</w:t>
      </w:r>
      <w:proofErr w:type="spellStart"/>
      <w:r w:rsidRPr="00765CB6">
        <w:rPr>
          <w:rFonts w:ascii="Times New Roman" w:hAnsi="Times New Roman" w:cs="Times New Roman"/>
          <w:bCs/>
          <w:sz w:val="24"/>
          <w:szCs w:val="24"/>
        </w:rPr>
        <w:t>Demessie</w:t>
      </w: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>c</w:t>
      </w:r>
      <w:proofErr w:type="spellEnd"/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031084">
        <w:rPr>
          <w:rFonts w:ascii="Times New Roman" w:hAnsi="Times New Roman"/>
          <w:sz w:val="36"/>
          <w:szCs w:val="36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8"/>
        </w:rPr>
        <w:t xml:space="preserve"> Environmental Engineering Program, </w:t>
      </w:r>
      <w:r w:rsidRPr="00AE1EB6">
        <w:rPr>
          <w:rFonts w:ascii="Times New Roman" w:hAnsi="Times New Roman"/>
          <w:sz w:val="24"/>
          <w:szCs w:val="28"/>
        </w:rPr>
        <w:t>Department of Chemical and Environmental Engineering, College of Engineering and Applied Science, University of Cincinnati</w:t>
      </w:r>
      <w:r>
        <w:rPr>
          <w:rFonts w:ascii="Times New Roman" w:hAnsi="Times New Roman"/>
          <w:sz w:val="24"/>
          <w:szCs w:val="28"/>
        </w:rPr>
        <w:t xml:space="preserve">, </w:t>
      </w:r>
      <w:r w:rsidRPr="00CE13AB">
        <w:rPr>
          <w:rFonts w:ascii="Times New Roman" w:hAnsi="Times New Roman"/>
          <w:sz w:val="24"/>
          <w:szCs w:val="28"/>
        </w:rPr>
        <w:t xml:space="preserve">701 Engineering Research Center, </w:t>
      </w:r>
      <w:r>
        <w:rPr>
          <w:rFonts w:ascii="Times New Roman" w:hAnsi="Times New Roman"/>
          <w:sz w:val="24"/>
          <w:szCs w:val="28"/>
        </w:rPr>
        <w:t>2901</w:t>
      </w:r>
      <w:r w:rsidRPr="00CE13AB">
        <w:rPr>
          <w:rFonts w:ascii="Times New Roman" w:hAnsi="Times New Roman"/>
          <w:sz w:val="24"/>
          <w:szCs w:val="28"/>
        </w:rPr>
        <w:t xml:space="preserve"> Woodside Drive</w:t>
      </w:r>
      <w:r>
        <w:rPr>
          <w:rFonts w:ascii="Times New Roman" w:hAnsi="Times New Roman"/>
          <w:sz w:val="24"/>
          <w:szCs w:val="28"/>
        </w:rPr>
        <w:t xml:space="preserve"> P.O. Box 210012, Cincinnati, OH 45221-0012, United States</w:t>
      </w:r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36"/>
          <w:szCs w:val="36"/>
          <w:vertAlign w:val="superscript"/>
        </w:rPr>
        <w:t>b</w:t>
      </w:r>
      <w:r>
        <w:rPr>
          <w:rFonts w:ascii="Times New Roman" w:hAnsi="Times New Roman"/>
          <w:sz w:val="24"/>
          <w:szCs w:val="28"/>
        </w:rPr>
        <w:t xml:space="preserve"> </w:t>
      </w:r>
      <w:r w:rsidRPr="00CE13AB">
        <w:rPr>
          <w:rFonts w:ascii="Times New Roman" w:hAnsi="Times New Roman"/>
          <w:sz w:val="24"/>
          <w:szCs w:val="28"/>
        </w:rPr>
        <w:t>U</w:t>
      </w:r>
      <w:r>
        <w:rPr>
          <w:rFonts w:ascii="Times New Roman" w:hAnsi="Times New Roman"/>
          <w:sz w:val="24"/>
          <w:szCs w:val="28"/>
        </w:rPr>
        <w:t>.</w:t>
      </w:r>
      <w:r w:rsidRPr="00CE13AB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.</w:t>
      </w:r>
      <w:r w:rsidRPr="00CE13AB">
        <w:rPr>
          <w:rFonts w:ascii="Times New Roman" w:hAnsi="Times New Roman"/>
          <w:sz w:val="24"/>
          <w:szCs w:val="28"/>
        </w:rPr>
        <w:t xml:space="preserve"> Environmental Protection Agency, </w:t>
      </w:r>
      <w:r>
        <w:rPr>
          <w:rFonts w:ascii="Times New Roman" w:hAnsi="Times New Roman"/>
          <w:sz w:val="24"/>
          <w:szCs w:val="28"/>
        </w:rPr>
        <w:t>National Risk Management Research Laboratory</w:t>
      </w:r>
      <w:r w:rsidRPr="00CE13AB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5995 Center Hill Ave, Cincinnati, OH, 45224, USA</w:t>
      </w:r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36"/>
          <w:szCs w:val="36"/>
          <w:vertAlign w:val="superscript"/>
        </w:rPr>
        <w:t>c</w:t>
      </w:r>
      <w:r>
        <w:rPr>
          <w:rFonts w:ascii="Times New Roman" w:hAnsi="Times New Roman"/>
          <w:sz w:val="24"/>
          <w:szCs w:val="28"/>
        </w:rPr>
        <w:t xml:space="preserve"> </w:t>
      </w:r>
      <w:r w:rsidRPr="00CE13AB">
        <w:rPr>
          <w:rFonts w:ascii="Times New Roman" w:hAnsi="Times New Roman"/>
          <w:sz w:val="24"/>
          <w:szCs w:val="28"/>
        </w:rPr>
        <w:t>U</w:t>
      </w:r>
      <w:r>
        <w:rPr>
          <w:rFonts w:ascii="Times New Roman" w:hAnsi="Times New Roman"/>
          <w:sz w:val="24"/>
          <w:szCs w:val="28"/>
        </w:rPr>
        <w:t>.</w:t>
      </w:r>
      <w:r w:rsidRPr="00CE13AB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.</w:t>
      </w:r>
      <w:r w:rsidRPr="00CE13AB">
        <w:rPr>
          <w:rFonts w:ascii="Times New Roman" w:hAnsi="Times New Roman"/>
          <w:sz w:val="24"/>
          <w:szCs w:val="28"/>
        </w:rPr>
        <w:t xml:space="preserve"> Environmental Protection Agency, Office of Research and Development, </w:t>
      </w:r>
      <w:r>
        <w:rPr>
          <w:rFonts w:ascii="Times New Roman" w:hAnsi="Times New Roman"/>
          <w:sz w:val="24"/>
          <w:szCs w:val="28"/>
        </w:rPr>
        <w:t>Center for Environmental Solution and Emergency Response</w:t>
      </w:r>
      <w:r w:rsidRPr="00CE13AB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26 W. Martin Luther Drive, </w:t>
      </w:r>
      <w:r w:rsidRPr="00CE13AB">
        <w:rPr>
          <w:rFonts w:ascii="Times New Roman" w:hAnsi="Times New Roman"/>
          <w:sz w:val="24"/>
          <w:szCs w:val="28"/>
        </w:rPr>
        <w:t>Cincinnati, OH 45268, U</w:t>
      </w:r>
      <w:r>
        <w:rPr>
          <w:rFonts w:ascii="Times New Roman" w:hAnsi="Times New Roman"/>
          <w:sz w:val="24"/>
          <w:szCs w:val="28"/>
        </w:rPr>
        <w:t>nited States</w:t>
      </w:r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DE1199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1059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8"/>
        </w:rPr>
        <w:t xml:space="preserve"> Corresponding author. </w:t>
      </w:r>
    </w:p>
    <w:p w:rsidR="00DE1199" w:rsidRPr="00A33F7C" w:rsidRDefault="00DE1199" w:rsidP="00DE1199">
      <w:pPr>
        <w:spacing w:after="0" w:line="360" w:lineRule="auto"/>
        <w:contextualSpacing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E-mail address: </w:t>
      </w:r>
      <w:hyperlink r:id="rId5" w:history="1">
        <w:r w:rsidRPr="00974875">
          <w:rPr>
            <w:rStyle w:val="Hyperlink"/>
            <w:rFonts w:ascii="Times New Roman" w:hAnsi="Times New Roman"/>
            <w:sz w:val="24"/>
            <w:szCs w:val="28"/>
          </w:rPr>
          <w:t>george.sorial@uc.edu</w:t>
        </w:r>
      </w:hyperlink>
      <w:r>
        <w:rPr>
          <w:rStyle w:val="Hyperlink"/>
          <w:rFonts w:ascii="Times New Roman" w:hAnsi="Times New Roman"/>
          <w:sz w:val="24"/>
          <w:szCs w:val="28"/>
        </w:rPr>
        <w:t xml:space="preserve">, </w:t>
      </w:r>
      <w:r w:rsidRPr="0072318C">
        <w:rPr>
          <w:rFonts w:ascii="Times New Roman" w:hAnsi="Times New Roman"/>
          <w:sz w:val="24"/>
          <w:szCs w:val="28"/>
        </w:rPr>
        <w:t xml:space="preserve">Tel: </w:t>
      </w:r>
      <w:r>
        <w:rPr>
          <w:rFonts w:ascii="Times New Roman" w:hAnsi="Times New Roman"/>
          <w:sz w:val="24"/>
          <w:szCs w:val="28"/>
        </w:rPr>
        <w:t xml:space="preserve">+1 </w:t>
      </w:r>
      <w:r w:rsidRPr="0072318C">
        <w:rPr>
          <w:rFonts w:ascii="Times New Roman" w:hAnsi="Times New Roman"/>
          <w:sz w:val="24"/>
          <w:szCs w:val="28"/>
        </w:rPr>
        <w:t>(513) 556-2987</w:t>
      </w:r>
    </w:p>
    <w:p w:rsidR="00B35147" w:rsidRDefault="00B35147"/>
    <w:p w:rsidR="00CC693A" w:rsidRDefault="00CC693A"/>
    <w:p w:rsidR="001E4CAB" w:rsidRDefault="001E4CAB"/>
    <w:p w:rsidR="00CC693A" w:rsidRDefault="00CC693A"/>
    <w:p w:rsidR="002629CF" w:rsidRDefault="00DE1199" w:rsidP="008652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6C722D7" wp14:editId="409047E7">
            <wp:extent cx="5866130" cy="7522845"/>
            <wp:effectExtent l="0" t="0" r="1270" b="1905"/>
            <wp:docPr id="1" name="Picture 1" descr="\\clusterfsnew.ceas1.uc.edu\students\tegenaag\My Documents\TOTAL_WORK\BOD EXPERIMENT\BOD5_MANUSCRIPT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terfsnew.ceas1.uc.edu\students\tegenaag\My Documents\TOTAL_WORK\BOD EXPERIMENT\BOD5_MANUSCRIPT\Captu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CF" w:rsidRDefault="00DE1199" w:rsidP="008652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551A42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5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1a. </w:t>
      </w:r>
      <w:r w:rsidRPr="00DE1199">
        <w:rPr>
          <w:rFonts w:ascii="Times New Roman" w:hAnsi="Times New Roman" w:cs="Times New Roman"/>
          <w:sz w:val="24"/>
          <w:szCs w:val="24"/>
        </w:rPr>
        <w:t>Bicinchoninate method for ionic Cu determination using AQ4000 colorimeter</w:t>
      </w:r>
    </w:p>
    <w:p w:rsidR="00AB3D2F" w:rsidRDefault="00DE1199" w:rsidP="00AE476B">
      <w:r>
        <w:rPr>
          <w:noProof/>
        </w:rPr>
        <w:lastRenderedPageBreak/>
        <w:drawing>
          <wp:inline distT="0" distB="0" distL="0" distR="0" wp14:anchorId="7AADE60B" wp14:editId="7C5F2895">
            <wp:extent cx="5925820" cy="7522845"/>
            <wp:effectExtent l="0" t="0" r="0" b="1905"/>
            <wp:docPr id="2" name="Picture 2" descr="\\clusterfsnew.ceas1.uc.edu\students\tegenaag\My Documents\TOTAL_WORK\BOD EXPERIMENT\BOD5_MANUSCRIPT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usterfsnew.ceas1.uc.edu\students\tegenaag\My Documents\TOTAL_WORK\BOD EXPERIMENT\BOD5_MANUSCRIPT\Captur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99" w:rsidRDefault="00DE1199" w:rsidP="00DE1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551A42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5A">
        <w:rPr>
          <w:rFonts w:ascii="Times New Roman" w:hAnsi="Times New Roman" w:cs="Times New Roman"/>
          <w:b/>
          <w:sz w:val="24"/>
          <w:szCs w:val="24"/>
        </w:rPr>
        <w:t>S1b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1199">
        <w:rPr>
          <w:rFonts w:ascii="Times New Roman" w:hAnsi="Times New Roman" w:cs="Times New Roman"/>
          <w:sz w:val="24"/>
          <w:szCs w:val="24"/>
        </w:rPr>
        <w:t>Bicinchoninate method for ionic Cu determination using AQ4000 colorimeter</w:t>
      </w:r>
    </w:p>
    <w:p w:rsidR="0028125A" w:rsidRDefault="0028125A" w:rsidP="00DE1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S1. Hydrodynamic diameter and ζ-potential values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 pesticides and CuCO</w:t>
      </w:r>
      <w:r w:rsidRPr="0028125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</w:t>
      </w:r>
      <w:r w:rsidR="00481FDB">
        <w:rPr>
          <w:rFonts w:ascii="Times New Roman" w:hAnsi="Times New Roman" w:cs="Times New Roman"/>
          <w:sz w:val="24"/>
          <w:szCs w:val="24"/>
        </w:rPr>
        <w:t xml:space="preserve"> after particle size and ζ-potential analyzer</w:t>
      </w:r>
      <w:r w:rsidR="00B54095">
        <w:rPr>
          <w:rFonts w:ascii="Times New Roman" w:hAnsi="Times New Roman" w:cs="Times New Roman"/>
          <w:sz w:val="24"/>
          <w:szCs w:val="24"/>
        </w:rPr>
        <w:t xml:space="preserve">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2109"/>
        <w:gridCol w:w="2018"/>
        <w:gridCol w:w="1951"/>
      </w:tblGrid>
      <w:tr w:rsidR="00C45F7B" w:rsidTr="00C45F7B">
        <w:trPr>
          <w:trHeight w:val="71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45F7B" w:rsidRDefault="00C45F7B" w:rsidP="00DE11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5F7B" w:rsidRPr="00570DF2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>Samples suspended in Milli-Q water</w:t>
            </w:r>
          </w:p>
        </w:tc>
      </w:tr>
      <w:tr w:rsidR="00C45F7B" w:rsidTr="00C45F7B">
        <w:trPr>
          <w:trHeight w:val="3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45F7B" w:rsidRPr="00570DF2" w:rsidRDefault="00C45F7B" w:rsidP="00DE11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>Suspension characterization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45F7B" w:rsidRPr="00570DF2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>CuPRO</w:t>
            </w:r>
            <w:proofErr w:type="spellEnd"/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45F7B" w:rsidRPr="00570DF2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>Kocide</w:t>
            </w:r>
            <w:proofErr w:type="spellEnd"/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45F7B" w:rsidRPr="00570DF2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F2">
              <w:rPr>
                <w:rFonts w:ascii="Times New Roman" w:hAnsi="Times New Roman" w:cs="Times New Roman"/>
                <w:b/>
                <w:sz w:val="24"/>
                <w:szCs w:val="24"/>
              </w:rPr>
              <w:t>CuCO</w:t>
            </w:r>
            <w:r w:rsidRPr="00570D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C45F7B" w:rsidTr="00C45F7B">
        <w:trPr>
          <w:trHeight w:val="712"/>
        </w:trPr>
        <w:tc>
          <w:tcPr>
            <w:tcW w:w="3348" w:type="dxa"/>
            <w:tcBorders>
              <w:top w:val="single" w:sz="4" w:space="0" w:color="auto"/>
            </w:tcBorders>
          </w:tcPr>
          <w:p w:rsidR="00C45F7B" w:rsidRDefault="00C45F7B" w:rsidP="00DE11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Hydrodynamic diameter (nm)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45F7B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± 30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45F7B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± 30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C45F7B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± 6</w:t>
            </w:r>
          </w:p>
        </w:tc>
      </w:tr>
      <w:tr w:rsidR="00C45F7B" w:rsidTr="00C45F7B">
        <w:trPr>
          <w:trHeight w:val="712"/>
        </w:trPr>
        <w:tc>
          <w:tcPr>
            <w:tcW w:w="3348" w:type="dxa"/>
            <w:tcBorders>
              <w:bottom w:val="single" w:sz="4" w:space="0" w:color="auto"/>
            </w:tcBorders>
          </w:tcPr>
          <w:p w:rsidR="00C45F7B" w:rsidRDefault="00481FDB" w:rsidP="00DE11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</w:t>
            </w:r>
            <w:r w:rsidR="00C45F7B">
              <w:rPr>
                <w:rFonts w:ascii="Times New Roman" w:hAnsi="Times New Roman" w:cs="Times New Roman"/>
                <w:sz w:val="24"/>
                <w:szCs w:val="24"/>
              </w:rPr>
              <w:t>-potential (mV)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5F7B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 ± 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45F7B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 ± 2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45F7B" w:rsidRDefault="00C45F7B" w:rsidP="00C45F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± 2</w:t>
            </w:r>
          </w:p>
        </w:tc>
      </w:tr>
    </w:tbl>
    <w:p w:rsidR="0028125A" w:rsidRDefault="0028125A" w:rsidP="00DE11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49C" w:rsidRPr="00AE476B" w:rsidRDefault="0095049C" w:rsidP="00AE476B"/>
    <w:sectPr w:rsidR="0095049C" w:rsidRPr="00AE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B30"/>
    <w:multiLevelType w:val="hybridMultilevel"/>
    <w:tmpl w:val="8646BFB2"/>
    <w:lvl w:ilvl="0" w:tplc="3B58E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193"/>
    <w:multiLevelType w:val="multilevel"/>
    <w:tmpl w:val="0E74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5780813"/>
    <w:multiLevelType w:val="hybridMultilevel"/>
    <w:tmpl w:val="8646BFB2"/>
    <w:lvl w:ilvl="0" w:tplc="3B58E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2FEB"/>
    <w:multiLevelType w:val="hybridMultilevel"/>
    <w:tmpl w:val="7460F6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3AA6"/>
    <w:multiLevelType w:val="hybridMultilevel"/>
    <w:tmpl w:val="9FE8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et 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rtetzxhwvp5gefsdpxtvfcvfe5p0ada2ez&quot;&gt;Ayu_Nordox&lt;record-ids&gt;&lt;item&gt;103&lt;/item&gt;&lt;item&gt;105&lt;/item&gt;&lt;item&gt;210&lt;/item&gt;&lt;item&gt;211&lt;/item&gt;&lt;item&gt;229&lt;/item&gt;&lt;item&gt;230&lt;/item&gt;&lt;item&gt;231&lt;/item&gt;&lt;item&gt;232&lt;/item&gt;&lt;item&gt;233&lt;/item&gt;&lt;item&gt;234&lt;/item&gt;&lt;item&gt;235&lt;/item&gt;&lt;item&gt;236&lt;/item&gt;&lt;item&gt;238&lt;/item&gt;&lt;item&gt;239&lt;/item&gt;&lt;item&gt;240&lt;/item&gt;&lt;item&gt;241&lt;/item&gt;&lt;/record-ids&gt;&lt;/item&gt;&lt;/Libraries&gt;"/>
  </w:docVars>
  <w:rsids>
    <w:rsidRoot w:val="00F61A94"/>
    <w:rsid w:val="00021CEC"/>
    <w:rsid w:val="0002691B"/>
    <w:rsid w:val="00043A10"/>
    <w:rsid w:val="000516A8"/>
    <w:rsid w:val="00062B2F"/>
    <w:rsid w:val="00067553"/>
    <w:rsid w:val="00085514"/>
    <w:rsid w:val="000B266B"/>
    <w:rsid w:val="000B57B6"/>
    <w:rsid w:val="000C67DB"/>
    <w:rsid w:val="000D3D43"/>
    <w:rsid w:val="000E6874"/>
    <w:rsid w:val="00105C09"/>
    <w:rsid w:val="00126F7C"/>
    <w:rsid w:val="00185B87"/>
    <w:rsid w:val="0019217A"/>
    <w:rsid w:val="001936D3"/>
    <w:rsid w:val="001A6B97"/>
    <w:rsid w:val="001B75F9"/>
    <w:rsid w:val="001C2B43"/>
    <w:rsid w:val="001D2A2E"/>
    <w:rsid w:val="001E4CAB"/>
    <w:rsid w:val="001E618A"/>
    <w:rsid w:val="001E792E"/>
    <w:rsid w:val="001F55DF"/>
    <w:rsid w:val="00225630"/>
    <w:rsid w:val="00250BC9"/>
    <w:rsid w:val="002629CF"/>
    <w:rsid w:val="00270E83"/>
    <w:rsid w:val="0028125A"/>
    <w:rsid w:val="00287267"/>
    <w:rsid w:val="002E54AF"/>
    <w:rsid w:val="002F3C8C"/>
    <w:rsid w:val="00310A76"/>
    <w:rsid w:val="003211D5"/>
    <w:rsid w:val="003309B8"/>
    <w:rsid w:val="00332BA5"/>
    <w:rsid w:val="0034024F"/>
    <w:rsid w:val="00351416"/>
    <w:rsid w:val="00354A87"/>
    <w:rsid w:val="003638EC"/>
    <w:rsid w:val="00367327"/>
    <w:rsid w:val="00367CB8"/>
    <w:rsid w:val="003734CA"/>
    <w:rsid w:val="00395FCE"/>
    <w:rsid w:val="003B065C"/>
    <w:rsid w:val="003C48B1"/>
    <w:rsid w:val="003D6766"/>
    <w:rsid w:val="003E0C42"/>
    <w:rsid w:val="0041284F"/>
    <w:rsid w:val="00421EC6"/>
    <w:rsid w:val="00445D24"/>
    <w:rsid w:val="0045145E"/>
    <w:rsid w:val="00455B8A"/>
    <w:rsid w:val="0046230D"/>
    <w:rsid w:val="00463EA9"/>
    <w:rsid w:val="00466FF9"/>
    <w:rsid w:val="004712CE"/>
    <w:rsid w:val="0048117D"/>
    <w:rsid w:val="00481FDB"/>
    <w:rsid w:val="004A1F25"/>
    <w:rsid w:val="004C342B"/>
    <w:rsid w:val="004D1B08"/>
    <w:rsid w:val="004D5734"/>
    <w:rsid w:val="004F53DF"/>
    <w:rsid w:val="00510DD0"/>
    <w:rsid w:val="0052323C"/>
    <w:rsid w:val="0054131E"/>
    <w:rsid w:val="00551A42"/>
    <w:rsid w:val="00563E45"/>
    <w:rsid w:val="005641A4"/>
    <w:rsid w:val="00570008"/>
    <w:rsid w:val="00570DF2"/>
    <w:rsid w:val="00594FDC"/>
    <w:rsid w:val="005B100C"/>
    <w:rsid w:val="005C0CB4"/>
    <w:rsid w:val="005D263C"/>
    <w:rsid w:val="005E57DC"/>
    <w:rsid w:val="005F5DB4"/>
    <w:rsid w:val="00600281"/>
    <w:rsid w:val="0060664A"/>
    <w:rsid w:val="00610EF5"/>
    <w:rsid w:val="006367A8"/>
    <w:rsid w:val="00636867"/>
    <w:rsid w:val="0063756C"/>
    <w:rsid w:val="0066038D"/>
    <w:rsid w:val="00667B71"/>
    <w:rsid w:val="00676512"/>
    <w:rsid w:val="006809D0"/>
    <w:rsid w:val="006933B2"/>
    <w:rsid w:val="006970B2"/>
    <w:rsid w:val="006A196C"/>
    <w:rsid w:val="006A54D0"/>
    <w:rsid w:val="006A5A08"/>
    <w:rsid w:val="006B0104"/>
    <w:rsid w:val="006B463C"/>
    <w:rsid w:val="006E419D"/>
    <w:rsid w:val="006F1AD7"/>
    <w:rsid w:val="0072116B"/>
    <w:rsid w:val="0072206F"/>
    <w:rsid w:val="00722BD9"/>
    <w:rsid w:val="00723338"/>
    <w:rsid w:val="007443A9"/>
    <w:rsid w:val="00766B05"/>
    <w:rsid w:val="00775AD6"/>
    <w:rsid w:val="00777F61"/>
    <w:rsid w:val="00785067"/>
    <w:rsid w:val="007D664D"/>
    <w:rsid w:val="007D7013"/>
    <w:rsid w:val="007F5A4D"/>
    <w:rsid w:val="008057AB"/>
    <w:rsid w:val="0083087D"/>
    <w:rsid w:val="008420B1"/>
    <w:rsid w:val="0084617B"/>
    <w:rsid w:val="00847D13"/>
    <w:rsid w:val="008539B0"/>
    <w:rsid w:val="008652CA"/>
    <w:rsid w:val="00866783"/>
    <w:rsid w:val="0088647A"/>
    <w:rsid w:val="00895AFF"/>
    <w:rsid w:val="00896DF7"/>
    <w:rsid w:val="008A22F8"/>
    <w:rsid w:val="00912674"/>
    <w:rsid w:val="00923DB0"/>
    <w:rsid w:val="00925A74"/>
    <w:rsid w:val="00944E4A"/>
    <w:rsid w:val="0095049C"/>
    <w:rsid w:val="00973398"/>
    <w:rsid w:val="00995B31"/>
    <w:rsid w:val="009A3052"/>
    <w:rsid w:val="009B255B"/>
    <w:rsid w:val="009B770F"/>
    <w:rsid w:val="009B7B73"/>
    <w:rsid w:val="009C3652"/>
    <w:rsid w:val="009D35B3"/>
    <w:rsid w:val="009F0545"/>
    <w:rsid w:val="009F47B3"/>
    <w:rsid w:val="00A072F6"/>
    <w:rsid w:val="00A3089D"/>
    <w:rsid w:val="00A40746"/>
    <w:rsid w:val="00A42886"/>
    <w:rsid w:val="00A4498E"/>
    <w:rsid w:val="00A464C2"/>
    <w:rsid w:val="00A61DD4"/>
    <w:rsid w:val="00A75F44"/>
    <w:rsid w:val="00A82629"/>
    <w:rsid w:val="00A86CB5"/>
    <w:rsid w:val="00AA33E9"/>
    <w:rsid w:val="00AB0C9C"/>
    <w:rsid w:val="00AB2BE1"/>
    <w:rsid w:val="00AB3D2F"/>
    <w:rsid w:val="00AD7C4E"/>
    <w:rsid w:val="00AE476B"/>
    <w:rsid w:val="00AE707D"/>
    <w:rsid w:val="00AE7586"/>
    <w:rsid w:val="00AF4993"/>
    <w:rsid w:val="00B16A01"/>
    <w:rsid w:val="00B22860"/>
    <w:rsid w:val="00B23523"/>
    <w:rsid w:val="00B3357B"/>
    <w:rsid w:val="00B3466C"/>
    <w:rsid w:val="00B35147"/>
    <w:rsid w:val="00B54095"/>
    <w:rsid w:val="00BC2FA9"/>
    <w:rsid w:val="00BC6D70"/>
    <w:rsid w:val="00BD15B9"/>
    <w:rsid w:val="00BD2DEE"/>
    <w:rsid w:val="00BE6002"/>
    <w:rsid w:val="00BF2C3D"/>
    <w:rsid w:val="00C37A2C"/>
    <w:rsid w:val="00C45F7B"/>
    <w:rsid w:val="00C538BD"/>
    <w:rsid w:val="00C659AA"/>
    <w:rsid w:val="00C66122"/>
    <w:rsid w:val="00C67CEF"/>
    <w:rsid w:val="00C83E7B"/>
    <w:rsid w:val="00C84A21"/>
    <w:rsid w:val="00CC0AB2"/>
    <w:rsid w:val="00CC693A"/>
    <w:rsid w:val="00CD4741"/>
    <w:rsid w:val="00CF2F7A"/>
    <w:rsid w:val="00D11D9C"/>
    <w:rsid w:val="00D17EA4"/>
    <w:rsid w:val="00D26D09"/>
    <w:rsid w:val="00D2702E"/>
    <w:rsid w:val="00D41A8A"/>
    <w:rsid w:val="00D60BD6"/>
    <w:rsid w:val="00D85480"/>
    <w:rsid w:val="00D934F4"/>
    <w:rsid w:val="00DA57E2"/>
    <w:rsid w:val="00DD150E"/>
    <w:rsid w:val="00DD5D49"/>
    <w:rsid w:val="00DD686F"/>
    <w:rsid w:val="00DD7AAB"/>
    <w:rsid w:val="00DE1199"/>
    <w:rsid w:val="00DE4BB3"/>
    <w:rsid w:val="00DE6F03"/>
    <w:rsid w:val="00DF3BAB"/>
    <w:rsid w:val="00DF5245"/>
    <w:rsid w:val="00E15717"/>
    <w:rsid w:val="00E15AC3"/>
    <w:rsid w:val="00E34FEB"/>
    <w:rsid w:val="00E42224"/>
    <w:rsid w:val="00E60497"/>
    <w:rsid w:val="00E76119"/>
    <w:rsid w:val="00E9553A"/>
    <w:rsid w:val="00EA1670"/>
    <w:rsid w:val="00EB1269"/>
    <w:rsid w:val="00EF4C85"/>
    <w:rsid w:val="00F01E45"/>
    <w:rsid w:val="00F240ED"/>
    <w:rsid w:val="00F33E90"/>
    <w:rsid w:val="00F61A94"/>
    <w:rsid w:val="00F8394C"/>
    <w:rsid w:val="00F9349D"/>
    <w:rsid w:val="00FC5B82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37DD4-4DC5-4988-A972-FEA5FC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9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D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B3D2F"/>
    <w:rPr>
      <w:i/>
      <w:iCs/>
    </w:rPr>
  </w:style>
  <w:style w:type="character" w:styleId="Hyperlink">
    <w:name w:val="Hyperlink"/>
    <w:basedOn w:val="DefaultParagraphFont"/>
    <w:uiPriority w:val="99"/>
    <w:unhideWhenUsed/>
    <w:rsid w:val="007D7013"/>
    <w:rPr>
      <w:color w:val="0000FF"/>
      <w:u w:val="single"/>
    </w:rPr>
  </w:style>
  <w:style w:type="table" w:styleId="TableGrid">
    <w:name w:val="Table Grid"/>
    <w:basedOn w:val="TableNormal"/>
    <w:uiPriority w:val="59"/>
    <w:rsid w:val="00C4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eorge.sorial@u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Ayenachew G Tegenaw</dc:creator>
  <cp:lastModifiedBy>Sahle-Demessie, Endalkachew</cp:lastModifiedBy>
  <cp:revision>2</cp:revision>
  <dcterms:created xsi:type="dcterms:W3CDTF">2020-05-20T23:29:00Z</dcterms:created>
  <dcterms:modified xsi:type="dcterms:W3CDTF">2020-05-20T23:29:00Z</dcterms:modified>
</cp:coreProperties>
</file>