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The following 4 tables accompany the peer-reviewed journal article GS Metson, J Lin, JE Compton, JA Harrison. Where have all the nutrients gone? Long-term Decoupling of Inputs and Outputs in the Willamette River Watershed, Oregon, USA. JGR Biogeoscience</w:t>
      </w:r>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The views expressed in this article are those of the authors and do not necessarily represent the views or policies of the U.S. </w:t>
      </w:r>
      <w:r>
        <w:rPr>
          <w:rFonts w:ascii="Helvetica" w:hAnsi="Helvetica" w:cs="Helvetica"/>
          <w:u w:val="single"/>
        </w:rPr>
        <w:t>Environmental Protection Agency.</w:t>
      </w:r>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Values refer to the Willame</w:t>
      </w:r>
      <w:r w:rsidR="00BD1E46">
        <w:rPr>
          <w:rFonts w:ascii="Helvetica" w:hAnsi="Helvetica" w:cs="Helvetica"/>
        </w:rPr>
        <w:t>t</w:t>
      </w:r>
      <w:r>
        <w:rPr>
          <w:rFonts w:ascii="Helvetica" w:hAnsi="Helvetica" w:cs="Helvetica"/>
        </w:rPr>
        <w:t>te River Watershed, which was defined as the area draining to USGS gauge 14211720 (which is 29 018 km</w:t>
      </w:r>
      <w:r>
        <w:rPr>
          <w:rFonts w:ascii="Helvetica" w:hAnsi="Helvetica" w:cs="Helvetica"/>
          <w:vertAlign w:val="superscript"/>
        </w:rPr>
        <w:t>2</w:t>
      </w:r>
      <w:r>
        <w:rPr>
          <w:rFonts w:ascii="Helvetica" w:hAnsi="Helvetica" w:cs="Helvetica"/>
        </w:rPr>
        <w:t xml:space="preserve"> when delimiting using HydroSHEDs 15 arc-second flow direction maps (Lehner et al 2006)).</w:t>
      </w:r>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These datasets were created May 2017.</w:t>
      </w:r>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Authors and Affiliations:</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Genevieve S. Metson</w:t>
      </w:r>
      <w:r>
        <w:rPr>
          <w:rFonts w:ascii="Helvetica" w:hAnsi="Helvetica" w:cs="Helvetica"/>
          <w:vertAlign w:val="superscript"/>
        </w:rPr>
        <w:t>1,2†,3†,4†</w:t>
      </w:r>
      <w:r>
        <w:rPr>
          <w:rFonts w:ascii="Helvetica" w:hAnsi="Helvetica" w:cs="Helvetica"/>
        </w:rPr>
        <w:t>, Jiajia Lin</w:t>
      </w:r>
      <w:r>
        <w:rPr>
          <w:rFonts w:ascii="Helvetica" w:hAnsi="Helvetica" w:cs="Helvetica"/>
          <w:vertAlign w:val="superscript"/>
        </w:rPr>
        <w:t>2†,3†,5</w:t>
      </w:r>
      <w:r>
        <w:rPr>
          <w:rFonts w:ascii="Helvetica" w:hAnsi="Helvetica" w:cs="Helvetica"/>
        </w:rPr>
        <w:t>, John A. Harrison</w:t>
      </w:r>
      <w:r>
        <w:rPr>
          <w:rFonts w:ascii="Helvetica" w:hAnsi="Helvetica" w:cs="Helvetica"/>
          <w:vertAlign w:val="superscript"/>
        </w:rPr>
        <w:t>4</w:t>
      </w:r>
      <w:r>
        <w:rPr>
          <w:rFonts w:ascii="Helvetica" w:hAnsi="Helvetica" w:cs="Helvetica"/>
        </w:rPr>
        <w:t xml:space="preserve"> and Jana E. Compton</w:t>
      </w:r>
      <w:r>
        <w:rPr>
          <w:rFonts w:ascii="Helvetica" w:hAnsi="Helvetica" w:cs="Helvetica"/>
          <w:vertAlign w:val="superscript"/>
        </w:rPr>
        <w:t>3</w:t>
      </w:r>
      <w:r>
        <w:rPr>
          <w:rFonts w:ascii="Helvetica" w:hAnsi="Helvetica" w:cs="Helvetica"/>
        </w:rPr>
        <w:t xml:space="preserve">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vertAlign w:val="superscript"/>
        </w:rPr>
        <w:t>1</w:t>
      </w:r>
      <w:r>
        <w:rPr>
          <w:rFonts w:ascii="Helvetica" w:hAnsi="Helvetica" w:cs="Helvetica"/>
        </w:rPr>
        <w:t xml:space="preserve"> Department of Physics, Chemistry, and Biology. Linköping University, Linköping, Sweden.</w:t>
      </w:r>
      <w:r>
        <w:rPr>
          <w:rFonts w:ascii="Helvetica" w:hAnsi="Helvetica" w:cs="Helvetica"/>
          <w:vertAlign w:val="superscript"/>
        </w:rPr>
        <w:t xml:space="preserve">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vertAlign w:val="superscript"/>
        </w:rPr>
        <w:t>2</w:t>
      </w:r>
      <w:r>
        <w:rPr>
          <w:rFonts w:ascii="Helvetica" w:hAnsi="Helvetica" w:cs="Helvetica"/>
        </w:rPr>
        <w:t xml:space="preserve"> National Research Council, National Academies of Science, Washington, DC, USA</w:t>
      </w:r>
      <w:r>
        <w:rPr>
          <w:rFonts w:ascii="Helvetica" w:hAnsi="Helvetica" w:cs="Helvetica"/>
          <w:vertAlign w:val="superscript"/>
        </w:rPr>
        <w:t xml:space="preserve">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vertAlign w:val="superscript"/>
        </w:rPr>
        <w:t>3</w:t>
      </w:r>
      <w:r>
        <w:rPr>
          <w:rFonts w:ascii="Helvetica" w:hAnsi="Helvetica" w:cs="Helvetica"/>
        </w:rPr>
        <w:t xml:space="preserve"> Pacific Ecological Systems Division, US Environmental Protection Agency, Corvallis, OR, USA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vertAlign w:val="superscript"/>
        </w:rPr>
        <w:t>4</w:t>
      </w:r>
      <w:r>
        <w:rPr>
          <w:rFonts w:ascii="Helvetica" w:hAnsi="Helvetica" w:cs="Helvetica"/>
        </w:rPr>
        <w:t xml:space="preserve"> School of the Environment, Washington State University, Vancouver, WA, USA</w:t>
      </w:r>
      <w:r>
        <w:rPr>
          <w:rFonts w:ascii="Helvetica" w:hAnsi="Helvetica" w:cs="Helvetica"/>
          <w:vertAlign w:val="superscript"/>
        </w:rPr>
        <w:t xml:space="preserve">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vertAlign w:val="superscript"/>
        </w:rPr>
        <w:t>5</w:t>
      </w:r>
      <w:r>
        <w:rPr>
          <w:rFonts w:ascii="Helvetica" w:hAnsi="Helvetica" w:cs="Helvetica"/>
        </w:rPr>
        <w:t>Oak Ridge Institute for Science and Education, Corvallis, OR, USA</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 </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Corresponding author: Genevieve Metson (</w:t>
      </w:r>
      <w:r>
        <w:rPr>
          <w:rFonts w:ascii="Helvetica" w:hAnsi="Helvetica" w:cs="Helvetica"/>
          <w:u w:val="single"/>
        </w:rPr>
        <w:t>genevieve.metson@liu.se</w:t>
      </w:r>
      <w:r>
        <w:rPr>
          <w:rFonts w:ascii="Helvetica" w:hAnsi="Helvetica" w:cs="Helvetica"/>
        </w:rPr>
        <w:t>)</w:t>
      </w: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 xml:space="preserve">† Affiliation at time of main research activities </w:t>
      </w:r>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Values refer to the Willamete River Watershed, which was defined as the area draining to USGS gauge 14211720 (which is 29 018 km</w:t>
      </w:r>
      <w:r>
        <w:rPr>
          <w:rFonts w:ascii="Helvetica" w:hAnsi="Helvetica" w:cs="Helvetica"/>
          <w:vertAlign w:val="superscript"/>
        </w:rPr>
        <w:t>2</w:t>
      </w:r>
      <w:r>
        <w:rPr>
          <w:rFonts w:ascii="Helvetica" w:hAnsi="Helvetica" w:cs="Helvetica"/>
        </w:rPr>
        <w:t xml:space="preserve"> when delimiting using HydroSHEDs 15 arc-second flow direction maps (Lehner et al 2006)).</w:t>
      </w:r>
      <w:bookmarkStart w:id="0" w:name="_GoBack"/>
      <w:bookmarkEnd w:id="0"/>
    </w:p>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The dataset contains:</w:t>
      </w:r>
    </w:p>
    <w:tbl>
      <w:tblPr>
        <w:tblW w:w="0" w:type="auto"/>
        <w:tblLayout w:type="fixed"/>
        <w:tblLook w:val="0000" w:firstRow="0" w:lastRow="0" w:firstColumn="0" w:lastColumn="0" w:noHBand="0" w:noVBand="0"/>
      </w:tblPr>
      <w:tblGrid>
        <w:gridCol w:w="4428"/>
        <w:gridCol w:w="4320"/>
      </w:tblGrid>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Table</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Full title</w:t>
            </w: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S1</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Land use makeup of the Willamette River Basin watershed (USGS site 14211720, Willamette R. at Portland) in 1974 and 2012 (NWALT data)</w:t>
            </w: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Terrestrial N and P values in kg of nutrient per km per year for target years in the Willamette River Basin.</w:t>
            </w: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Riverine TN, TP, and DIP concentrations, loads from 1972 to 2013 from 3 model outputs for the Willamette River Basin.</w:t>
            </w: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 and P fractional export 1972 to 2013 using WRTDS model loads for the Willamette River Basin and the TN, TP, and DIP annual yields from the model.</w:t>
            </w: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jc w:val="right"/>
              <w:rPr>
                <w:rFonts w:ascii="TimesNewRomanPSMT" w:hAnsi="TimesNewRomanPSMT" w:cs="TimesNewRomanPSMT"/>
                <w:sz w:val="24"/>
                <w:szCs w:val="24"/>
              </w:rPr>
            </w:pPr>
          </w:p>
        </w:tc>
      </w:tr>
      <w:tr w:rsidR="004D73B6" w:rsidRPr="00FA5C45">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lastRenderedPageBreak/>
              <w:t>S5</w:t>
            </w:r>
          </w:p>
        </w:tc>
        <w:tc>
          <w:tcPr>
            <w:tcW w:w="432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18"/>
                <w:szCs w:val="18"/>
              </w:rPr>
            </w:pPr>
            <w:r w:rsidRPr="00FA5C45">
              <w:rPr>
                <w:rFonts w:ascii="TimesNewRomanPSMT" w:hAnsi="TimesNewRomanPSMT" w:cs="TimesNewRomanPSMT"/>
                <w:sz w:val="24"/>
                <w:szCs w:val="24"/>
              </w:rPr>
              <w:t>Interpolated annual terrestrial sources and estimated accumulation of N and P between 1969 and 2012 for the Willamette River Basin.</w:t>
            </w:r>
            <w:r w:rsidRPr="00FA5C45">
              <w:rPr>
                <w:rFonts w:ascii="TimesNewRomanPSMT" w:hAnsi="TimesNewRomanPSMT" w:cs="TimesNewRomanPSMT"/>
                <w:sz w:val="18"/>
                <w:szCs w:val="18"/>
              </w:rPr>
              <w:t> </w:t>
            </w:r>
          </w:p>
        </w:tc>
      </w:tr>
    </w:tbl>
    <w:p w:rsidR="004D73B6" w:rsidRDefault="004D73B6">
      <w:pPr>
        <w:widowControl w:val="0"/>
        <w:autoSpaceDE w:val="0"/>
        <w:autoSpaceDN w:val="0"/>
        <w:adjustRightInd w:val="0"/>
        <w:spacing w:after="0" w:line="240" w:lineRule="auto"/>
        <w:rPr>
          <w:rFonts w:ascii="Helvetica" w:hAnsi="Helvetica" w:cs="Helvetica"/>
        </w:rPr>
      </w:pPr>
    </w:p>
    <w:p w:rsidR="004D73B6" w:rsidRDefault="004D73B6">
      <w:pPr>
        <w:widowControl w:val="0"/>
        <w:autoSpaceDE w:val="0"/>
        <w:autoSpaceDN w:val="0"/>
        <w:adjustRightInd w:val="0"/>
        <w:spacing w:after="0" w:line="240" w:lineRule="auto"/>
        <w:rPr>
          <w:rFonts w:ascii="Helvetica" w:hAnsi="Helvetica" w:cs="Helvetica"/>
        </w:rPr>
      </w:pPr>
      <w:r>
        <w:rPr>
          <w:rFonts w:ascii="Helvetica" w:hAnsi="Helvetica" w:cs="Helvetica"/>
        </w:rPr>
        <w:t>Abbreviations and units are as follows:</w:t>
      </w:r>
    </w:p>
    <w:tbl>
      <w:tblPr>
        <w:tblW w:w="0" w:type="auto"/>
        <w:tblLayout w:type="fixed"/>
        <w:tblLook w:val="0000" w:firstRow="0" w:lastRow="0" w:firstColumn="0" w:lastColumn="0" w:noHBand="0" w:noVBand="0"/>
      </w:tblPr>
      <w:tblGrid>
        <w:gridCol w:w="2268"/>
        <w:gridCol w:w="2160"/>
        <w:gridCol w:w="2160"/>
        <w:gridCol w:w="2160"/>
      </w:tblGrid>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Table</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Variable abbreviation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Definition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BoldMT" w:hAnsi="TimesNewRomanPS-BoldMT" w:cs="TimesNewRomanPS-BoldMT"/>
                <w:b/>
                <w:bCs/>
                <w:sz w:val="24"/>
                <w:szCs w:val="24"/>
              </w:rPr>
            </w:pPr>
            <w:r w:rsidRPr="00FA5C45">
              <w:rPr>
                <w:rFonts w:ascii="TimesNewRomanPS-BoldMT" w:hAnsi="TimesNewRomanPS-BoldMT" w:cs="TimesNewRomanPS-BoldMT"/>
                <w:b/>
                <w:bCs/>
                <w:sz w:val="24"/>
                <w:szCs w:val="24"/>
              </w:rPr>
              <w:t>Units</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fert_P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synthetic fertlizer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manure_P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manure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crop_P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crop harvest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agbal_P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agricultural balance (fertlizer+manure-crop harvest)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mps_P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major point source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pop_P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Phosphorus input as human sewage based on population density</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fert_N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synthetic fertlizer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manure_N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manure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crop_N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crop harvest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agbal_N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agricultural balance (fertlizer+manure+biological fixation+ wet deposition-crop harvest)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biofix_N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input through biological fixation (alfalfa)</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mps_N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major point source input</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pop_N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 xml:space="preserve">Nitrogen input as human sewage based on population </w:t>
            </w:r>
            <w:r w:rsidRPr="00FA5C45">
              <w:rPr>
                <w:rFonts w:ascii="TimesNewRomanPSMT" w:hAnsi="TimesNewRomanPSMT" w:cs="TimesNewRomanPSMT"/>
                <w:sz w:val="24"/>
                <w:szCs w:val="24"/>
              </w:rPr>
              <w:lastRenderedPageBreak/>
              <w:t>density</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lastRenderedPageBreak/>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S2 and 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wetdep_N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Nitrogen input as wet deposition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date</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Year followed by month</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NA</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wrtds_TN_conc</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total nitrogen concentration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mg per liter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wrtds_TN_load</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total nitrogen load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per day</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wrtds_TP_conc</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total phosphorus concentration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mg per liter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wrtds_TP_load</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total phosphorus load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per day</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wrtds_DIP_conc</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dissolved inorganic phosphorus concentration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mg per liter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S3</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wrtds_DIP_load</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Monthly average dissolved inorganic phosphorus load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per day</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Helvetica" w:hAnsi="Helvetica" w:cs="Helvetica"/>
              </w:rPr>
            </w:pPr>
            <w:r w:rsidRPr="00FA5C45">
              <w:rPr>
                <w:rFonts w:ascii="Helvetica" w:hAnsi="Helvetica" w:cs="Helvetica"/>
              </w:rPr>
              <w:t>TN_y_w</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Annual TN yield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Helvetica" w:hAnsi="Helvetica" w:cs="Helvetica"/>
              </w:rPr>
            </w:pPr>
            <w:r w:rsidRPr="00FA5C45">
              <w:rPr>
                <w:rFonts w:ascii="Helvetica" w:hAnsi="Helvetica" w:cs="Helvetica"/>
              </w:rPr>
              <w:t>TP_y_w</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Annual TP yield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DIP_y_w</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Annual DIP yield from the WRTDS model</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DIP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export_P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 xml:space="preserve">Fractional export of phosphorus from the watershed (total phosphorus yield from wrtds model </w:t>
            </w:r>
            <w:r w:rsidRPr="00FA5C45">
              <w:rPr>
                <w:rFonts w:ascii="TimesNewRomanPSMT" w:hAnsi="TimesNewRomanPSMT" w:cs="TimesNewRomanPSMT"/>
                <w:sz w:val="24"/>
                <w:szCs w:val="24"/>
              </w:rPr>
              <w:lastRenderedPageBreak/>
              <w:t>divided by the total of phosphorus inputs in that year and multiplied by 100)</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lastRenderedPageBreak/>
              <w:t>percentage (%)</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export_n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Fractional export of nitrogen from the watershed (total nitrogen yield from wrtds model divided by the total of nitrogen inputs in that year and multiplied by 100)</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percentage (%)</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balance_export_P</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Fractional export of net balance of phosphorus for the watershed  (total phosphorus yield from wrtds model divided by net agricultural balance plus sewage inputs inputs in that year and multiplied by 100)</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percentage (%)</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S4</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balance_export_N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Fractional export of net balance of nitrogen for the watershed  (total nitrogen yield from wrtds model divided by net agricultural balance plus sewage inputs inputs in that year and multiplied by 100)</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percentage (%)</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P_retention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Retention of phosphorus from net agricultural inputs after known losses (riverine loads- human sewage) have taken place.</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of P per ha per year</w:t>
            </w:r>
          </w:p>
        </w:tc>
      </w:tr>
      <w:tr w:rsidR="004D73B6" w:rsidRPr="00FA5C45">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lastRenderedPageBreak/>
              <w:t>S5</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rPr>
            </w:pPr>
            <w:r w:rsidRPr="00FA5C45">
              <w:rPr>
                <w:rFonts w:ascii="TimesNewRomanPSMT" w:hAnsi="TimesNewRomanPSMT" w:cs="TimesNewRomanPSMT"/>
              </w:rPr>
              <w:t>N_retention</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Retention of nitrogen from net agricultural inputs after known losses (riverine loads- human sewage) have taken place.</w:t>
            </w:r>
          </w:p>
        </w:tc>
        <w:tc>
          <w:tcPr>
            <w:tcW w:w="2160" w:type="dxa"/>
            <w:tcBorders>
              <w:top w:val="single" w:sz="8" w:space="0" w:color="BFBFBF"/>
              <w:left w:val="single" w:sz="8" w:space="0" w:color="BFBFBF"/>
              <w:bottom w:val="single" w:sz="8" w:space="0" w:color="BFBFBF"/>
              <w:right w:val="single" w:sz="8" w:space="0" w:color="BFBFBF"/>
            </w:tcBorders>
            <w:vAlign w:val="center"/>
          </w:tcPr>
          <w:p w:rsidR="004D73B6" w:rsidRPr="00FA5C45" w:rsidRDefault="004D73B6">
            <w:pPr>
              <w:widowControl w:val="0"/>
              <w:autoSpaceDE w:val="0"/>
              <w:autoSpaceDN w:val="0"/>
              <w:adjustRightInd w:val="0"/>
              <w:spacing w:after="0" w:line="240" w:lineRule="auto"/>
              <w:rPr>
                <w:rFonts w:ascii="TimesNewRomanPSMT" w:hAnsi="TimesNewRomanPSMT" w:cs="TimesNewRomanPSMT"/>
                <w:sz w:val="24"/>
                <w:szCs w:val="24"/>
              </w:rPr>
            </w:pPr>
            <w:r w:rsidRPr="00FA5C45">
              <w:rPr>
                <w:rFonts w:ascii="TimesNewRomanPSMT" w:hAnsi="TimesNewRomanPSMT" w:cs="TimesNewRomanPSMT"/>
                <w:sz w:val="24"/>
                <w:szCs w:val="24"/>
              </w:rPr>
              <w:t>kg N per ha per year</w:t>
            </w:r>
          </w:p>
        </w:tc>
      </w:tr>
    </w:tbl>
    <w:p w:rsidR="004D73B6" w:rsidRDefault="004D73B6"/>
    <w:sectPr w:rsidR="004D73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E46"/>
    <w:rsid w:val="004D73B6"/>
    <w:rsid w:val="00BD1E46"/>
    <w:rsid w:val="00FA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AAF44-CD42-412E-BACA-35C98E64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Jana</dc:creator>
  <cp:keywords/>
  <dc:description/>
  <cp:lastModifiedBy>Compton, Jana</cp:lastModifiedBy>
  <cp:revision>2</cp:revision>
  <dcterms:created xsi:type="dcterms:W3CDTF">2020-08-06T17:38:00Z</dcterms:created>
  <dcterms:modified xsi:type="dcterms:W3CDTF">2020-08-06T17:38:00Z</dcterms:modified>
</cp:coreProperties>
</file>