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9D94" w14:textId="77777777" w:rsidR="004E1B35" w:rsidRDefault="004E1B35">
      <w:bookmarkStart w:id="0" w:name="_GoBack"/>
      <w:bookmarkEnd w:id="0"/>
    </w:p>
    <w:p w14:paraId="36532609" w14:textId="16C2FE3F" w:rsidR="0061315C" w:rsidRDefault="0061315C" w:rsidP="0061315C">
      <w:pPr>
        <w:spacing w:line="480" w:lineRule="auto"/>
        <w:jc w:val="center"/>
        <w:rPr>
          <w:b/>
          <w:sz w:val="24"/>
        </w:rPr>
      </w:pPr>
      <w:r w:rsidRPr="00F11171">
        <w:rPr>
          <w:b/>
          <w:sz w:val="24"/>
        </w:rPr>
        <w:t>Examining NTA performance and potential using fortified and reference house dust as part of EPA’s Non-Targeted Analysis Collaborative Trial (ENTACT)</w:t>
      </w:r>
    </w:p>
    <w:p w14:paraId="20BE3D89" w14:textId="77777777" w:rsidR="0061315C" w:rsidRDefault="0061315C" w:rsidP="0061315C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Supplemental Information Figures</w:t>
      </w:r>
    </w:p>
    <w:p w14:paraId="5D0AED89" w14:textId="77777777" w:rsidR="00F57CC3" w:rsidRPr="004E277A" w:rsidRDefault="00F57CC3" w:rsidP="00F57CC3">
      <w:pPr>
        <w:rPr>
          <w:sz w:val="24"/>
        </w:rPr>
      </w:pPr>
      <w:r>
        <w:rPr>
          <w:sz w:val="24"/>
        </w:rPr>
        <w:t>Seth Newton</w:t>
      </w:r>
      <w:proofErr w:type="gramStart"/>
      <w:r w:rsidRPr="0013315F">
        <w:rPr>
          <w:sz w:val="24"/>
          <w:vertAlign w:val="superscript"/>
        </w:rPr>
        <w:t>1</w:t>
      </w:r>
      <w:r>
        <w:rPr>
          <w:sz w:val="24"/>
          <w:vertAlign w:val="superscript"/>
        </w:rPr>
        <w:t>,*</w:t>
      </w:r>
      <w:proofErr w:type="gramEnd"/>
      <w:r>
        <w:rPr>
          <w:sz w:val="24"/>
        </w:rPr>
        <w:t>, Jon R. Sobus</w:t>
      </w:r>
      <w:r w:rsidRPr="0013315F">
        <w:rPr>
          <w:sz w:val="24"/>
          <w:vertAlign w:val="superscript"/>
        </w:rPr>
        <w:t>1</w:t>
      </w:r>
      <w:r>
        <w:rPr>
          <w:sz w:val="24"/>
        </w:rPr>
        <w:t>, Elin M. Ulrich</w:t>
      </w:r>
      <w:r w:rsidRPr="00136291">
        <w:rPr>
          <w:sz w:val="24"/>
          <w:vertAlign w:val="superscript"/>
        </w:rPr>
        <w:t>1</w:t>
      </w:r>
      <w:r>
        <w:rPr>
          <w:sz w:val="24"/>
        </w:rPr>
        <w:t>, Randolph R. Singh</w:t>
      </w:r>
      <w:r w:rsidRPr="0013315F">
        <w:rPr>
          <w:sz w:val="24"/>
          <w:vertAlign w:val="superscript"/>
        </w:rPr>
        <w:t>2</w:t>
      </w:r>
      <w:r>
        <w:rPr>
          <w:sz w:val="24"/>
          <w:vertAlign w:val="superscript"/>
        </w:rPr>
        <w:t>,3</w:t>
      </w:r>
      <w:r>
        <w:rPr>
          <w:sz w:val="24"/>
        </w:rPr>
        <w:t>, Alex Chao</w:t>
      </w:r>
      <w:r>
        <w:rPr>
          <w:sz w:val="24"/>
          <w:vertAlign w:val="superscript"/>
        </w:rPr>
        <w:t>4</w:t>
      </w:r>
      <w:r>
        <w:rPr>
          <w:sz w:val="24"/>
        </w:rPr>
        <w:t>, James McCord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Sarah </w:t>
      </w:r>
      <w:r w:rsidRPr="00D57079">
        <w:rPr>
          <w:sz w:val="24"/>
        </w:rPr>
        <w:t>Laughlin-Toth</w:t>
      </w:r>
      <w:r>
        <w:rPr>
          <w:sz w:val="24"/>
          <w:vertAlign w:val="superscript"/>
        </w:rPr>
        <w:t>2,6</w:t>
      </w:r>
      <w:r w:rsidRPr="00D57079">
        <w:rPr>
          <w:sz w:val="24"/>
        </w:rPr>
        <w:t xml:space="preserve">, </w:t>
      </w:r>
      <w:r>
        <w:rPr>
          <w:sz w:val="24"/>
        </w:rPr>
        <w:t>Mark Strynar</w:t>
      </w:r>
      <w:r>
        <w:rPr>
          <w:sz w:val="24"/>
          <w:vertAlign w:val="superscript"/>
        </w:rPr>
        <w:t>5</w:t>
      </w:r>
    </w:p>
    <w:p w14:paraId="07478481" w14:textId="77777777" w:rsidR="00F57CC3" w:rsidRDefault="00F57CC3" w:rsidP="00F57CC3">
      <w:pPr>
        <w:rPr>
          <w:sz w:val="24"/>
        </w:rPr>
      </w:pPr>
      <w:r>
        <w:rPr>
          <w:sz w:val="24"/>
        </w:rPr>
        <w:t>1) Center for Computational Toxicology and Exposure</w:t>
      </w:r>
      <w:r w:rsidRPr="000E3593">
        <w:rPr>
          <w:sz w:val="24"/>
        </w:rPr>
        <w:t>, Office of Research &amp; Development, U.S. Environmental Protection Agency, Research Triangle Park, NC, USA</w:t>
      </w:r>
    </w:p>
    <w:p w14:paraId="5DB2F345" w14:textId="77777777" w:rsidR="00F57CC3" w:rsidRDefault="00F57CC3" w:rsidP="00F57CC3">
      <w:pPr>
        <w:rPr>
          <w:sz w:val="24"/>
        </w:rPr>
      </w:pPr>
      <w:r>
        <w:rPr>
          <w:sz w:val="24"/>
        </w:rPr>
        <w:t xml:space="preserve">2) </w:t>
      </w:r>
      <w:r w:rsidRPr="000E3593">
        <w:rPr>
          <w:sz w:val="24"/>
        </w:rPr>
        <w:t>Oak Ridge Institute for Science and Education, Post-Doctoral Participant, National Exposure Research Laboratory, Office of Research &amp; Development, U.S. Environmental Protection Agency, Research Triangle Park, NC, USA</w:t>
      </w:r>
    </w:p>
    <w:p w14:paraId="352B96ED" w14:textId="77777777" w:rsidR="00F57CC3" w:rsidRDefault="00F57CC3" w:rsidP="00F57CC3">
      <w:pPr>
        <w:rPr>
          <w:sz w:val="24"/>
        </w:rPr>
      </w:pPr>
      <w:r>
        <w:rPr>
          <w:sz w:val="24"/>
        </w:rPr>
        <w:t xml:space="preserve">3) Current affiliation: </w:t>
      </w:r>
      <w:r w:rsidRPr="006D20A8">
        <w:rPr>
          <w:sz w:val="24"/>
        </w:rPr>
        <w:t>Luxembourg Centre for Systems Biomedicine (LCSB), University of Luxembourg, Luxembourg</w:t>
      </w:r>
    </w:p>
    <w:p w14:paraId="6449DB69" w14:textId="77777777" w:rsidR="00F57CC3" w:rsidRDefault="00F57CC3" w:rsidP="00F57CC3">
      <w:pPr>
        <w:rPr>
          <w:sz w:val="24"/>
        </w:rPr>
      </w:pPr>
      <w:r w:rsidRPr="00DB0BA5">
        <w:rPr>
          <w:sz w:val="24"/>
        </w:rPr>
        <w:t>4</w:t>
      </w:r>
      <w:r>
        <w:rPr>
          <w:sz w:val="24"/>
        </w:rPr>
        <w:t xml:space="preserve">) Oak Ridge Associated Universities, Student Services </w:t>
      </w:r>
      <w:r w:rsidRPr="000E3593">
        <w:rPr>
          <w:sz w:val="24"/>
        </w:rPr>
        <w:t>Contractor</w:t>
      </w:r>
      <w:r>
        <w:rPr>
          <w:sz w:val="24"/>
        </w:rPr>
        <w:t>,</w:t>
      </w:r>
      <w:r w:rsidRPr="000E3593">
        <w:rPr>
          <w:sz w:val="24"/>
        </w:rPr>
        <w:t xml:space="preserve"> National Exposure Research Laboratory, Office of Research &amp; Development, U.S. Environmental Protection Agency, Research Triangle Park, NC, USA</w:t>
      </w:r>
    </w:p>
    <w:p w14:paraId="007338C5" w14:textId="77777777" w:rsidR="00F57CC3" w:rsidRDefault="00F57CC3" w:rsidP="00F57CC3">
      <w:pPr>
        <w:rPr>
          <w:sz w:val="24"/>
        </w:rPr>
      </w:pPr>
      <w:r>
        <w:rPr>
          <w:sz w:val="24"/>
        </w:rPr>
        <w:t xml:space="preserve">5) </w:t>
      </w:r>
      <w:r w:rsidRPr="00454EA5">
        <w:rPr>
          <w:sz w:val="24"/>
        </w:rPr>
        <w:t>Center for Environmental Measurement and Modeling</w:t>
      </w:r>
      <w:r>
        <w:rPr>
          <w:sz w:val="24"/>
        </w:rPr>
        <w:t xml:space="preserve">, </w:t>
      </w:r>
      <w:r w:rsidRPr="000E3593">
        <w:rPr>
          <w:sz w:val="24"/>
        </w:rPr>
        <w:t>Office of Research &amp; Development, U.S. Environmental Protection Agency, Research Triangle Park, NC, USA</w:t>
      </w:r>
    </w:p>
    <w:p w14:paraId="5F558713" w14:textId="77777777" w:rsidR="00F57CC3" w:rsidRDefault="00F57CC3" w:rsidP="00F57CC3">
      <w:pPr>
        <w:rPr>
          <w:sz w:val="24"/>
        </w:rPr>
      </w:pPr>
      <w:r>
        <w:rPr>
          <w:sz w:val="24"/>
        </w:rPr>
        <w:t>6</w:t>
      </w:r>
      <w:r w:rsidRPr="00D57079">
        <w:rPr>
          <w:sz w:val="24"/>
        </w:rPr>
        <w:t xml:space="preserve">) </w:t>
      </w:r>
      <w:r>
        <w:rPr>
          <w:sz w:val="24"/>
        </w:rPr>
        <w:t xml:space="preserve">Current affiliation: </w:t>
      </w:r>
      <w:r w:rsidRPr="00D57079">
        <w:rPr>
          <w:sz w:val="24"/>
        </w:rPr>
        <w:t>Aflac Cancer and Blood Disorders Center, Department of Pediatrics, Emory University School of Medicine, Atlanta, GA, USA</w:t>
      </w:r>
    </w:p>
    <w:p w14:paraId="6F2BD5DE" w14:textId="77777777" w:rsidR="00F57CC3" w:rsidRDefault="00F57CC3" w:rsidP="00F57CC3">
      <w:pPr>
        <w:rPr>
          <w:sz w:val="24"/>
        </w:rPr>
      </w:pPr>
    </w:p>
    <w:p w14:paraId="7FB89583" w14:textId="77777777" w:rsidR="00F57CC3" w:rsidRPr="00D57079" w:rsidRDefault="00F57CC3" w:rsidP="00F57CC3">
      <w:pPr>
        <w:rPr>
          <w:sz w:val="24"/>
        </w:rPr>
      </w:pPr>
      <w:r>
        <w:rPr>
          <w:sz w:val="24"/>
        </w:rPr>
        <w:t>*Corresponding author email: Newton.Seth@epa.gov</w:t>
      </w:r>
    </w:p>
    <w:p w14:paraId="1AF78921" w14:textId="77777777" w:rsidR="001A5E35" w:rsidRDefault="001A5E35"/>
    <w:p w14:paraId="2554831E" w14:textId="40E21055" w:rsidR="00B836BB" w:rsidRDefault="00B836BB">
      <w:r>
        <w:br w:type="page"/>
      </w:r>
    </w:p>
    <w:p w14:paraId="62F77AFB" w14:textId="0D5BC380" w:rsidR="00102C41" w:rsidRDefault="00102C41" w:rsidP="00102C41">
      <w:pPr>
        <w:keepNext/>
      </w:pPr>
    </w:p>
    <w:p w14:paraId="1A376FEA" w14:textId="6580C7ED" w:rsidR="000A315E" w:rsidRDefault="000A315E" w:rsidP="00102C41">
      <w:pPr>
        <w:pStyle w:val="Caption"/>
        <w:rPr>
          <w:i w:val="0"/>
          <w:color w:val="auto"/>
          <w:sz w:val="24"/>
        </w:rPr>
      </w:pPr>
      <w:r>
        <w:rPr>
          <w:i w:val="0"/>
          <w:noProof/>
          <w:color w:val="auto"/>
          <w:sz w:val="24"/>
        </w:rPr>
        <w:drawing>
          <wp:inline distT="0" distB="0" distL="0" distR="0" wp14:anchorId="1882AE7C" wp14:editId="78B1B815">
            <wp:extent cx="6049108" cy="4136240"/>
            <wp:effectExtent l="0" t="0" r="889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 source fragments SI figure 20031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2" b="17785"/>
                    <a:stretch/>
                  </pic:blipFill>
                  <pic:spPr bwMode="auto">
                    <a:xfrm>
                      <a:off x="0" y="0"/>
                      <a:ext cx="6062885" cy="414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5D636" w14:textId="00B88443" w:rsidR="00102C41" w:rsidRPr="00102C41" w:rsidRDefault="00102C41" w:rsidP="00102C41">
      <w:pPr>
        <w:pStyle w:val="Caption"/>
        <w:rPr>
          <w:i w:val="0"/>
          <w:color w:val="auto"/>
          <w:sz w:val="24"/>
        </w:rPr>
      </w:pPr>
      <w:r w:rsidRPr="00102C41">
        <w:rPr>
          <w:i w:val="0"/>
          <w:color w:val="auto"/>
          <w:sz w:val="24"/>
        </w:rPr>
        <w:t>Figure S</w:t>
      </w:r>
      <w:r w:rsidRPr="00102C41">
        <w:rPr>
          <w:i w:val="0"/>
          <w:color w:val="auto"/>
          <w:sz w:val="24"/>
        </w:rPr>
        <w:fldChar w:fldCharType="begin"/>
      </w:r>
      <w:r w:rsidRPr="00102C41">
        <w:rPr>
          <w:i w:val="0"/>
          <w:color w:val="auto"/>
          <w:sz w:val="24"/>
        </w:rPr>
        <w:instrText xml:space="preserve"> SEQ Figure \* ARABIC </w:instrText>
      </w:r>
      <w:r w:rsidRPr="00102C41">
        <w:rPr>
          <w:i w:val="0"/>
          <w:color w:val="auto"/>
          <w:sz w:val="24"/>
        </w:rPr>
        <w:fldChar w:fldCharType="separate"/>
      </w:r>
      <w:r w:rsidRPr="00102C41">
        <w:rPr>
          <w:i w:val="0"/>
          <w:color w:val="auto"/>
          <w:sz w:val="24"/>
        </w:rPr>
        <w:t>1</w:t>
      </w:r>
      <w:r w:rsidRPr="00102C41">
        <w:rPr>
          <w:i w:val="0"/>
          <w:color w:val="auto"/>
          <w:sz w:val="24"/>
        </w:rPr>
        <w:fldChar w:fldCharType="end"/>
      </w:r>
      <w:r w:rsidRPr="00102C41">
        <w:rPr>
          <w:i w:val="0"/>
          <w:color w:val="auto"/>
          <w:sz w:val="24"/>
        </w:rPr>
        <w:t xml:space="preserve"> - In-source fragments observed in this study</w:t>
      </w:r>
      <w:r w:rsidR="007E4EB1">
        <w:rPr>
          <w:i w:val="0"/>
          <w:color w:val="auto"/>
          <w:sz w:val="24"/>
        </w:rPr>
        <w:t>.</w:t>
      </w:r>
    </w:p>
    <w:p w14:paraId="3B997135" w14:textId="52FD8581" w:rsidR="00B836BB" w:rsidRDefault="00B836BB">
      <w:r>
        <w:br w:type="page"/>
      </w:r>
    </w:p>
    <w:p w14:paraId="6BE5F408" w14:textId="77777777" w:rsidR="001A5E35" w:rsidRDefault="001A5E35" w:rsidP="00F87C66">
      <w:pPr>
        <w:keepNext/>
      </w:pPr>
    </w:p>
    <w:p w14:paraId="3636DE5B" w14:textId="77777777" w:rsidR="00F87C66" w:rsidRDefault="00F87C66" w:rsidP="00F87C66">
      <w:pPr>
        <w:keepNext/>
      </w:pPr>
      <w:r>
        <w:rPr>
          <w:noProof/>
        </w:rPr>
        <mc:AlternateContent>
          <mc:Choice Requires="cx1">
            <w:drawing>
              <wp:inline distT="0" distB="0" distL="0" distR="0" wp14:anchorId="267C8DA3" wp14:editId="1352739E">
                <wp:extent cx="4527550" cy="5210175"/>
                <wp:effectExtent l="0" t="0" r="6350" b="9525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04F2CD-4150-4F49-A1B8-907F9A576B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267C8DA3" wp14:editId="1352739E">
                <wp:extent cx="4527550" cy="5210175"/>
                <wp:effectExtent l="0" t="0" r="6350" b="9525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04F2CD-4150-4F49-A1B8-907F9A576B42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rt 2">
                          <a:extLst>
                            <a:ext uri="{FF2B5EF4-FFF2-40B4-BE49-F238E27FC236}">
                              <a16:creationId xmlns:a16="http://schemas.microsoft.com/office/drawing/2014/main" id="{0A04F2CD-4150-4F49-A1B8-907F9A576B42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0" cy="521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1FD1555" w14:textId="21C461E3" w:rsidR="004E1B35" w:rsidRDefault="00F87C66" w:rsidP="00F87C66">
      <w:pPr>
        <w:pStyle w:val="Caption"/>
        <w:rPr>
          <w:i w:val="0"/>
          <w:color w:val="auto"/>
          <w:sz w:val="24"/>
        </w:rPr>
      </w:pPr>
      <w:r w:rsidRPr="00F87C66">
        <w:rPr>
          <w:i w:val="0"/>
          <w:color w:val="auto"/>
          <w:sz w:val="24"/>
        </w:rPr>
        <w:t xml:space="preserve">Figure </w:t>
      </w:r>
      <w:r w:rsidR="00B21F32">
        <w:rPr>
          <w:i w:val="0"/>
          <w:color w:val="auto"/>
          <w:sz w:val="24"/>
        </w:rPr>
        <w:t>S</w:t>
      </w:r>
      <w:r w:rsidRPr="00F87C66">
        <w:rPr>
          <w:i w:val="0"/>
          <w:color w:val="auto"/>
          <w:sz w:val="24"/>
        </w:rPr>
        <w:fldChar w:fldCharType="begin"/>
      </w:r>
      <w:r w:rsidRPr="00F87C66">
        <w:rPr>
          <w:i w:val="0"/>
          <w:color w:val="auto"/>
          <w:sz w:val="24"/>
        </w:rPr>
        <w:instrText xml:space="preserve"> SEQ Figure \* ARABIC </w:instrText>
      </w:r>
      <w:r w:rsidRPr="00F87C66">
        <w:rPr>
          <w:i w:val="0"/>
          <w:color w:val="auto"/>
          <w:sz w:val="24"/>
        </w:rPr>
        <w:fldChar w:fldCharType="separate"/>
      </w:r>
      <w:r w:rsidR="00102C41">
        <w:rPr>
          <w:i w:val="0"/>
          <w:noProof/>
          <w:color w:val="auto"/>
          <w:sz w:val="24"/>
        </w:rPr>
        <w:t>2</w:t>
      </w:r>
      <w:r w:rsidRPr="00F87C66">
        <w:rPr>
          <w:i w:val="0"/>
          <w:color w:val="auto"/>
          <w:sz w:val="24"/>
        </w:rPr>
        <w:fldChar w:fldCharType="end"/>
      </w:r>
      <w:r w:rsidRPr="00F87C66">
        <w:rPr>
          <w:i w:val="0"/>
          <w:color w:val="auto"/>
          <w:sz w:val="24"/>
        </w:rPr>
        <w:t xml:space="preserve"> - </w:t>
      </w:r>
      <w:r w:rsidR="001F1E29">
        <w:rPr>
          <w:i w:val="0"/>
          <w:color w:val="auto"/>
          <w:sz w:val="24"/>
        </w:rPr>
        <w:t xml:space="preserve">Box and whisker plots of the </w:t>
      </w:r>
      <w:r w:rsidR="009665BE">
        <w:rPr>
          <w:i w:val="0"/>
          <w:color w:val="auto"/>
          <w:sz w:val="24"/>
        </w:rPr>
        <w:t>r</w:t>
      </w:r>
      <w:r w:rsidR="002712E3">
        <w:rPr>
          <w:i w:val="0"/>
          <w:color w:val="auto"/>
          <w:sz w:val="24"/>
        </w:rPr>
        <w:t>eported r</w:t>
      </w:r>
      <w:r w:rsidRPr="00F87C66">
        <w:rPr>
          <w:i w:val="0"/>
          <w:color w:val="auto"/>
          <w:sz w:val="24"/>
        </w:rPr>
        <w:t>ange of</w:t>
      </w:r>
      <w:r w:rsidR="002712E3">
        <w:rPr>
          <w:i w:val="0"/>
          <w:color w:val="auto"/>
          <w:sz w:val="24"/>
        </w:rPr>
        <w:t xml:space="preserve"> </w:t>
      </w:r>
      <w:r w:rsidR="002712E3" w:rsidRPr="00F87C66">
        <w:rPr>
          <w:i w:val="0"/>
          <w:color w:val="auto"/>
          <w:sz w:val="24"/>
        </w:rPr>
        <w:t>concentrations</w:t>
      </w:r>
      <w:r w:rsidR="002712E3">
        <w:rPr>
          <w:i w:val="0"/>
          <w:color w:val="auto"/>
          <w:sz w:val="24"/>
        </w:rPr>
        <w:t xml:space="preserve"> of LC-ESI amenable compounds</w:t>
      </w:r>
      <w:r w:rsidRPr="00F87C66">
        <w:rPr>
          <w:i w:val="0"/>
          <w:color w:val="auto"/>
          <w:sz w:val="24"/>
        </w:rPr>
        <w:t xml:space="preserve"> observed and unobserved </w:t>
      </w:r>
      <w:r w:rsidR="002712E3">
        <w:rPr>
          <w:i w:val="0"/>
          <w:color w:val="auto"/>
          <w:sz w:val="24"/>
        </w:rPr>
        <w:t>in this study</w:t>
      </w:r>
      <w:r w:rsidR="00DA3F26">
        <w:rPr>
          <w:i w:val="0"/>
          <w:color w:val="auto"/>
          <w:sz w:val="24"/>
        </w:rPr>
        <w:t>.</w:t>
      </w:r>
    </w:p>
    <w:p w14:paraId="15285AA3" w14:textId="77777777" w:rsidR="0035363F" w:rsidRDefault="0035363F" w:rsidP="0035363F">
      <w:pPr>
        <w:sectPr w:rsidR="003536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2C544" w14:textId="6235A99D" w:rsidR="00B21F32" w:rsidRDefault="00B21F32" w:rsidP="00B21F32">
      <w:pPr>
        <w:keepNext/>
      </w:pPr>
    </w:p>
    <w:p w14:paraId="27567A93" w14:textId="36EBD20C" w:rsidR="00B21F32" w:rsidRPr="0000510A" w:rsidRDefault="00A6428A" w:rsidP="00B21F32">
      <w:pPr>
        <w:pStyle w:val="Caption"/>
        <w:rPr>
          <w:i w:val="0"/>
          <w:color w:val="auto"/>
          <w:sz w:val="24"/>
        </w:rPr>
      </w:pPr>
      <w:r>
        <w:rPr>
          <w:i w:val="0"/>
          <w:noProof/>
          <w:color w:val="auto"/>
          <w:sz w:val="24"/>
        </w:rPr>
        <w:drawing>
          <wp:inline distT="0" distB="0" distL="0" distR="0" wp14:anchorId="489965F6" wp14:editId="7D08F615">
            <wp:extent cx="8229600" cy="4119245"/>
            <wp:effectExtent l="0" t="0" r="0" b="0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FHxS Cl compound spectra manually drawn lines 2003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F32" w:rsidRPr="0000510A">
        <w:rPr>
          <w:i w:val="0"/>
          <w:color w:val="auto"/>
          <w:sz w:val="24"/>
        </w:rPr>
        <w:t xml:space="preserve">Figure </w:t>
      </w:r>
      <w:r w:rsidR="005851BC" w:rsidRPr="0000510A">
        <w:rPr>
          <w:i w:val="0"/>
          <w:color w:val="auto"/>
          <w:sz w:val="24"/>
        </w:rPr>
        <w:t>S</w:t>
      </w:r>
      <w:r w:rsidR="00351094" w:rsidRPr="0000510A">
        <w:rPr>
          <w:i w:val="0"/>
          <w:color w:val="auto"/>
          <w:sz w:val="24"/>
        </w:rPr>
        <w:fldChar w:fldCharType="begin"/>
      </w:r>
      <w:r w:rsidR="00351094" w:rsidRPr="0000510A">
        <w:rPr>
          <w:i w:val="0"/>
          <w:color w:val="auto"/>
          <w:sz w:val="24"/>
        </w:rPr>
        <w:instrText xml:space="preserve"> SEQ Figure \* ARABIC </w:instrText>
      </w:r>
      <w:r w:rsidR="00351094" w:rsidRPr="0000510A">
        <w:rPr>
          <w:i w:val="0"/>
          <w:color w:val="auto"/>
          <w:sz w:val="24"/>
        </w:rPr>
        <w:fldChar w:fldCharType="separate"/>
      </w:r>
      <w:r w:rsidR="00102C41">
        <w:rPr>
          <w:i w:val="0"/>
          <w:noProof/>
          <w:color w:val="auto"/>
          <w:sz w:val="24"/>
        </w:rPr>
        <w:t>3</w:t>
      </w:r>
      <w:r w:rsidR="00351094" w:rsidRPr="0000510A">
        <w:rPr>
          <w:i w:val="0"/>
          <w:color w:val="auto"/>
          <w:sz w:val="24"/>
        </w:rPr>
        <w:fldChar w:fldCharType="end"/>
      </w:r>
      <w:r w:rsidR="00B21F32" w:rsidRPr="0000510A">
        <w:rPr>
          <w:i w:val="0"/>
          <w:color w:val="auto"/>
          <w:sz w:val="24"/>
        </w:rPr>
        <w:t xml:space="preserve"> - MS1 spectrum of </w:t>
      </w:r>
      <w:r w:rsidR="00AB33F6" w:rsidRPr="0000510A">
        <w:rPr>
          <w:i w:val="0"/>
          <w:color w:val="auto"/>
          <w:sz w:val="24"/>
        </w:rPr>
        <w:t>TCBA-BA-PFHxS</w:t>
      </w:r>
      <w:r w:rsidR="00B21F32" w:rsidRPr="0000510A">
        <w:rPr>
          <w:i w:val="0"/>
          <w:color w:val="auto"/>
          <w:sz w:val="24"/>
        </w:rPr>
        <w:t xml:space="preserve"> </w:t>
      </w:r>
      <w:r w:rsidR="0049518E">
        <w:rPr>
          <w:i w:val="0"/>
          <w:color w:val="auto"/>
          <w:sz w:val="24"/>
        </w:rPr>
        <w:t xml:space="preserve">and its decarboxylated </w:t>
      </w:r>
      <w:r w:rsidR="007E4EB1">
        <w:rPr>
          <w:i w:val="0"/>
          <w:color w:val="auto"/>
          <w:sz w:val="24"/>
        </w:rPr>
        <w:t>form.</w:t>
      </w:r>
    </w:p>
    <w:p w14:paraId="3BA92E12" w14:textId="77777777" w:rsidR="005851BC" w:rsidRDefault="00B21F32">
      <w:r>
        <w:br w:type="page"/>
      </w:r>
    </w:p>
    <w:p w14:paraId="64594C1E" w14:textId="77777777" w:rsidR="00B21F32" w:rsidRDefault="00B21F32"/>
    <w:p w14:paraId="50CA0419" w14:textId="77777777" w:rsidR="004E1B35" w:rsidRDefault="004E1B35"/>
    <w:p w14:paraId="710C0DD1" w14:textId="77777777" w:rsidR="004E1B35" w:rsidRDefault="004E1B35"/>
    <w:p w14:paraId="767B09DA" w14:textId="77777777" w:rsidR="002328D9" w:rsidRDefault="00902299" w:rsidP="002328D9">
      <w:pPr>
        <w:keepNext/>
      </w:pPr>
      <w:r w:rsidRPr="00902299">
        <w:rPr>
          <w:noProof/>
        </w:rPr>
        <w:drawing>
          <wp:inline distT="0" distB="0" distL="0" distR="0" wp14:anchorId="29A0FD86" wp14:editId="7F082881">
            <wp:extent cx="8889064" cy="4449316"/>
            <wp:effectExtent l="0" t="0" r="762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50CF94E-1626-4A93-998A-4CB3B5FE30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50CF94E-1626-4A93-998A-4CB3B5FE30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064" cy="444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5E502" w14:textId="42F72CF0" w:rsidR="0035363F" w:rsidRPr="0000510A" w:rsidRDefault="002328D9" w:rsidP="002328D9">
      <w:pPr>
        <w:pStyle w:val="Caption"/>
        <w:rPr>
          <w:i w:val="0"/>
          <w:color w:val="auto"/>
          <w:sz w:val="24"/>
        </w:rPr>
        <w:sectPr w:rsidR="0035363F" w:rsidRPr="0000510A" w:rsidSect="0035363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0510A">
        <w:rPr>
          <w:i w:val="0"/>
          <w:color w:val="auto"/>
          <w:sz w:val="24"/>
        </w:rPr>
        <w:t>Figure S</w:t>
      </w:r>
      <w:r w:rsidRPr="0000510A">
        <w:rPr>
          <w:i w:val="0"/>
          <w:color w:val="auto"/>
          <w:sz w:val="24"/>
        </w:rPr>
        <w:fldChar w:fldCharType="begin"/>
      </w:r>
      <w:r w:rsidRPr="0000510A">
        <w:rPr>
          <w:i w:val="0"/>
          <w:color w:val="auto"/>
          <w:sz w:val="24"/>
        </w:rPr>
        <w:instrText xml:space="preserve"> SEQ Figure \* ARABIC </w:instrText>
      </w:r>
      <w:r w:rsidRPr="0000510A">
        <w:rPr>
          <w:i w:val="0"/>
          <w:color w:val="auto"/>
          <w:sz w:val="24"/>
        </w:rPr>
        <w:fldChar w:fldCharType="separate"/>
      </w:r>
      <w:r w:rsidR="00102C41">
        <w:rPr>
          <w:i w:val="0"/>
          <w:noProof/>
          <w:color w:val="auto"/>
          <w:sz w:val="24"/>
        </w:rPr>
        <w:t>4</w:t>
      </w:r>
      <w:r w:rsidRPr="0000510A">
        <w:rPr>
          <w:i w:val="0"/>
          <w:color w:val="auto"/>
          <w:sz w:val="24"/>
        </w:rPr>
        <w:fldChar w:fldCharType="end"/>
      </w:r>
      <w:r w:rsidRPr="0000510A">
        <w:rPr>
          <w:i w:val="0"/>
          <w:color w:val="auto"/>
          <w:sz w:val="24"/>
        </w:rPr>
        <w:t xml:space="preserve"> </w:t>
      </w:r>
      <w:r w:rsidR="00851673">
        <w:rPr>
          <w:i w:val="0"/>
          <w:color w:val="auto"/>
          <w:sz w:val="24"/>
        </w:rPr>
        <w:t>–</w:t>
      </w:r>
      <w:r w:rsidRPr="0000510A">
        <w:rPr>
          <w:i w:val="0"/>
          <w:color w:val="auto"/>
          <w:sz w:val="24"/>
        </w:rPr>
        <w:t xml:space="preserve"> </w:t>
      </w:r>
      <w:r w:rsidR="00851673">
        <w:rPr>
          <w:i w:val="0"/>
          <w:color w:val="auto"/>
          <w:sz w:val="24"/>
        </w:rPr>
        <w:t xml:space="preserve">Annotated </w:t>
      </w:r>
      <w:r w:rsidRPr="0000510A">
        <w:rPr>
          <w:i w:val="0"/>
          <w:color w:val="auto"/>
          <w:sz w:val="24"/>
        </w:rPr>
        <w:t xml:space="preserve">MS/MS spectrum of </w:t>
      </w:r>
      <w:r w:rsidR="003C3432">
        <w:rPr>
          <w:i w:val="0"/>
          <w:color w:val="auto"/>
          <w:sz w:val="24"/>
        </w:rPr>
        <w:t xml:space="preserve">decarboxylated </w:t>
      </w:r>
      <w:r w:rsidR="00AB33F6" w:rsidRPr="0000510A">
        <w:rPr>
          <w:i w:val="0"/>
          <w:color w:val="auto"/>
          <w:sz w:val="24"/>
        </w:rPr>
        <w:t>TCBA-BA-PFHxS</w:t>
      </w:r>
      <w:r w:rsidR="007E4EB1">
        <w:rPr>
          <w:i w:val="0"/>
          <w:color w:val="auto"/>
          <w:sz w:val="24"/>
        </w:rPr>
        <w:t>.</w:t>
      </w:r>
      <w:r w:rsidR="00AB33F6" w:rsidRPr="0000510A">
        <w:rPr>
          <w:i w:val="0"/>
          <w:color w:val="auto"/>
          <w:sz w:val="24"/>
        </w:rPr>
        <w:t xml:space="preserve"> </w:t>
      </w:r>
    </w:p>
    <w:p w14:paraId="539F5E75" w14:textId="77777777" w:rsidR="004E1B35" w:rsidRDefault="004E1B35"/>
    <w:p w14:paraId="23F79B74" w14:textId="77777777" w:rsidR="00F87C66" w:rsidRDefault="0031344F" w:rsidP="00F87C66">
      <w:pPr>
        <w:keepNext/>
      </w:pPr>
      <w:r>
        <w:rPr>
          <w:noProof/>
        </w:rPr>
        <mc:AlternateContent>
          <mc:Choice Requires="cx1">
            <w:drawing>
              <wp:inline distT="0" distB="0" distL="0" distR="0" wp14:anchorId="7BFB677E" wp14:editId="76BE4FF8">
                <wp:extent cx="4861560" cy="4015740"/>
                <wp:effectExtent l="0" t="0" r="15240" b="381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8C3324-A939-4DFE-BD00-8244A29B57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7BFB677E" wp14:editId="76BE4FF8">
                <wp:extent cx="4861560" cy="4015740"/>
                <wp:effectExtent l="0" t="0" r="15240" b="3810"/>
                <wp:docPr id="1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8C3324-A939-4DFE-BD00-8244A29B579A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>
                          <a:extLst>
                            <a:ext uri="{FF2B5EF4-FFF2-40B4-BE49-F238E27FC236}">
                              <a16:creationId xmlns:a16="http://schemas.microsoft.com/office/drawing/2014/main" id="{8A8C3324-A939-4DFE-BD00-8244A29B579A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560" cy="401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D1368A9" w14:textId="52CDF208" w:rsidR="009130AE" w:rsidRPr="00F87C66" w:rsidRDefault="00F87C66" w:rsidP="00F87C66">
      <w:pPr>
        <w:pStyle w:val="Caption"/>
        <w:rPr>
          <w:i w:val="0"/>
          <w:color w:val="auto"/>
          <w:sz w:val="24"/>
        </w:rPr>
      </w:pPr>
      <w:r w:rsidRPr="00F87C66">
        <w:rPr>
          <w:i w:val="0"/>
          <w:color w:val="auto"/>
          <w:sz w:val="24"/>
        </w:rPr>
        <w:t xml:space="preserve">Figure </w:t>
      </w:r>
      <w:r w:rsidR="00B22750">
        <w:rPr>
          <w:i w:val="0"/>
          <w:color w:val="auto"/>
          <w:sz w:val="24"/>
        </w:rPr>
        <w:t>S</w:t>
      </w:r>
      <w:r w:rsidRPr="00F87C66">
        <w:rPr>
          <w:i w:val="0"/>
          <w:color w:val="auto"/>
          <w:sz w:val="24"/>
        </w:rPr>
        <w:fldChar w:fldCharType="begin"/>
      </w:r>
      <w:r w:rsidRPr="00F87C66">
        <w:rPr>
          <w:i w:val="0"/>
          <w:color w:val="auto"/>
          <w:sz w:val="24"/>
        </w:rPr>
        <w:instrText xml:space="preserve"> SEQ Figure \* ARABIC </w:instrText>
      </w:r>
      <w:r w:rsidRPr="00F87C66">
        <w:rPr>
          <w:i w:val="0"/>
          <w:color w:val="auto"/>
          <w:sz w:val="24"/>
        </w:rPr>
        <w:fldChar w:fldCharType="separate"/>
      </w:r>
      <w:r w:rsidR="00102C41">
        <w:rPr>
          <w:i w:val="0"/>
          <w:noProof/>
          <w:color w:val="auto"/>
          <w:sz w:val="24"/>
        </w:rPr>
        <w:t>5</w:t>
      </w:r>
      <w:r w:rsidRPr="00F87C66">
        <w:rPr>
          <w:i w:val="0"/>
          <w:color w:val="auto"/>
          <w:sz w:val="24"/>
        </w:rPr>
        <w:fldChar w:fldCharType="end"/>
      </w:r>
      <w:r w:rsidRPr="00F87C66">
        <w:rPr>
          <w:i w:val="0"/>
          <w:color w:val="auto"/>
          <w:sz w:val="24"/>
        </w:rPr>
        <w:t xml:space="preserve"> - Range of Log </w:t>
      </w:r>
      <w:r w:rsidRPr="004F71B9">
        <w:rPr>
          <w:color w:val="auto"/>
          <w:sz w:val="24"/>
        </w:rPr>
        <w:t>K</w:t>
      </w:r>
      <w:r w:rsidRPr="004F71B9">
        <w:rPr>
          <w:i w:val="0"/>
          <w:color w:val="auto"/>
          <w:sz w:val="24"/>
          <w:vertAlign w:val="subscript"/>
        </w:rPr>
        <w:t>ow</w:t>
      </w:r>
      <w:r w:rsidRPr="00F87C66">
        <w:rPr>
          <w:i w:val="0"/>
          <w:color w:val="auto"/>
          <w:sz w:val="24"/>
        </w:rPr>
        <w:t xml:space="preserve"> values for compounds recovered from the extraction and clean-up procedure vs those not recovered.</w:t>
      </w:r>
    </w:p>
    <w:p w14:paraId="1CA30C17" w14:textId="77777777" w:rsidR="0031344F" w:rsidRDefault="0031344F"/>
    <w:p w14:paraId="36138906" w14:textId="77777777" w:rsidR="0031344F" w:rsidRDefault="0031344F"/>
    <w:sectPr w:rsidR="003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4F"/>
    <w:rsid w:val="0000510A"/>
    <w:rsid w:val="000A315E"/>
    <w:rsid w:val="000C3D1B"/>
    <w:rsid w:val="00102C41"/>
    <w:rsid w:val="001A5E35"/>
    <w:rsid w:val="001F1E29"/>
    <w:rsid w:val="002328D9"/>
    <w:rsid w:val="002712E3"/>
    <w:rsid w:val="0031344F"/>
    <w:rsid w:val="00351094"/>
    <w:rsid w:val="0035363F"/>
    <w:rsid w:val="003C3432"/>
    <w:rsid w:val="003F4591"/>
    <w:rsid w:val="00402C55"/>
    <w:rsid w:val="0049518E"/>
    <w:rsid w:val="004E1B35"/>
    <w:rsid w:val="004F71B9"/>
    <w:rsid w:val="005851BC"/>
    <w:rsid w:val="0061315C"/>
    <w:rsid w:val="007D7AAB"/>
    <w:rsid w:val="007E4EB1"/>
    <w:rsid w:val="00851673"/>
    <w:rsid w:val="00855822"/>
    <w:rsid w:val="008D6082"/>
    <w:rsid w:val="00902299"/>
    <w:rsid w:val="009130AE"/>
    <w:rsid w:val="009665BE"/>
    <w:rsid w:val="00981141"/>
    <w:rsid w:val="00A1339B"/>
    <w:rsid w:val="00A6428A"/>
    <w:rsid w:val="00AB33F6"/>
    <w:rsid w:val="00AF7A44"/>
    <w:rsid w:val="00B21F32"/>
    <w:rsid w:val="00B22750"/>
    <w:rsid w:val="00B836BB"/>
    <w:rsid w:val="00C434F6"/>
    <w:rsid w:val="00C52C98"/>
    <w:rsid w:val="00C84FA7"/>
    <w:rsid w:val="00DA3F26"/>
    <w:rsid w:val="00E87020"/>
    <w:rsid w:val="00EB6886"/>
    <w:rsid w:val="00F57CC3"/>
    <w:rsid w:val="00F63E6F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8A1"/>
  <w15:chartTrackingRefBased/>
  <w15:docId w15:val="{9C63E6B6-BD66-4BE3-A1E2-D0BFEA8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7C66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microsoft.com/office/2014/relationships/chartEx" Target="charts/chartEx2.xml"/><Relationship Id="rId10" Type="http://schemas.microsoft.com/office/2014/relationships/chartEx" Target="charts/chartEx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\\AA.AD.EPA.GOV\ORD\RTP\USERS\R-Z\snewto03\Net%20MyDocuments\Sethn\Research%20Trial\SRN%20ENTACT%20Env\Dust%20Before%20Workshop\Unspiked_Dust\Conf_Chems_with%20Mass%20Formula%20hits%20PBBK%20graphs%20and%20calculations190509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\\AA.AD.EPA.GOV\ORD\RTP\USERS\R-Z\snewto03\Net%20MyDocuments\Sethn\Research%20Trial\SRN%20ENTACT%20Env\Dust%20Before%20Workshop\Spike%20recovery\Mix505%20Analysis\R%20output\Mix505_recoveries%20investigating%20Kow%20180712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'Mass Matches Conc'!$N$50:$N$65</cx:f>
        <cx:lvl ptCount="16" formatCode="General">
          <cx:pt idx="0">3.1464381352857744</cx:pt>
          <cx:pt idx="1">3.0618293072946989</cx:pt>
          <cx:pt idx="2">2.8704039052790269</cx:pt>
          <cx:pt idx="3">2.8293037728310249</cx:pt>
          <cx:pt idx="4">2.8051609015994341</cx:pt>
          <cx:pt idx="5">2.7774268223893115</cx:pt>
          <cx:pt idx="6">2.7474118078864231</cx:pt>
          <cx:pt idx="7">2.510545010206612</cx:pt>
          <cx:pt idx="8">2.4313637641589874</cx:pt>
          <cx:pt idx="9">2.3856062735983121</cx:pt>
          <cx:pt idx="10">2.3802112417116059</cx:pt>
          <cx:pt idx="11">0.6020599913279624</cx:pt>
          <cx:pt idx="12">4.8660745713089408</cx:pt>
          <cx:pt idx="13">2.9836262871245345</cx:pt>
          <cx:pt idx="14">2.4183012913197452</cx:pt>
          <cx:pt idx="15">2.2787536009528289</cx:pt>
        </cx:lvl>
      </cx:numDim>
    </cx:data>
    <cx:data id="1">
      <cx:numDim type="val">
        <cx:f>'Mass Matches Conc'!$M$50:$M$76</cx:f>
        <cx:lvl ptCount="27" formatCode="General">
          <cx:pt idx="0">3.3628593029586802</cx:pt>
          <cx:pt idx="1">2.3891660843645326</cx:pt>
          <cx:pt idx="2">2.2278867046136734</cx:pt>
          <cx:pt idx="3">2.1760912590556813</cx:pt>
          <cx:pt idx="4">2.12057393120585</cx:pt>
          <cx:pt idx="5">1.954242509439325</cx:pt>
          <cx:pt idx="6">1.9294189257142926</cx:pt>
          <cx:pt idx="7">1.8750612633917001</cx:pt>
          <cx:pt idx="8">1.7403626894942439</cx:pt>
          <cx:pt idx="9">1.6989700043360187</cx:pt>
          <cx:pt idx="10">1.6232492903979006</cx:pt>
          <cx:pt idx="11">1.5702509771939919</cx:pt>
          <cx:pt idx="12">1.5314789170422551</cx:pt>
          <cx:pt idx="13">1.3010299956639813</cx:pt>
          <cx:pt idx="14">1.0413926851582251</cx:pt>
          <cx:pt idx="15">0.69897000433601886</cx:pt>
          <cx:pt idx="16">0.6020599913279624</cx:pt>
          <cx:pt idx="17">0.47712125471966244</cx:pt>
          <cx:pt idx="18">0.47712125471966244</cx:pt>
          <cx:pt idx="19">3.3617278360175931</cx:pt>
          <cx:pt idx="20">2.9444826721501687</cx:pt>
          <cx:pt idx="21">2.8987251815894934</cx:pt>
          <cx:pt idx="22">2.8692317197309762</cx:pt>
          <cx:pt idx="23">2.568201724066995</cx:pt>
          <cx:pt idx="24">1.9030899869919435</cx:pt>
          <cx:pt idx="25">1.3979400086720377</cx:pt>
          <cx:pt idx="26">0.75587485567249146</cx:pt>
        </cx:lvl>
      </cx:numDim>
    </cx:data>
  </cx:chartData>
  <cx:chart>
    <cx:title pos="t" align="ctr" overlay="0">
      <cx:tx>
        <cx:txData>
          <cx:v>Reported Compounds in SRM 2585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800"/>
          </a:pPr>
          <a:r>
            <a:rPr lang="en-US" sz="18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Reported Compounds in SRM 2585</a:t>
          </a:r>
        </a:p>
      </cx:txPr>
    </cx:title>
    <cx:plotArea>
      <cx:plotAreaRegion>
        <cx:series layoutId="boxWhisker" uniqueId="{4AD095E1-F936-434E-AA98-013FE61EC40E}">
          <cx:tx>
            <cx:txData>
              <cx:f>'Mass Matches Conc'!$N$48</cx:f>
              <cx:v>Observed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E15976A6-07CC-47E8-B886-144BCBE22529}">
          <cx:tx>
            <cx:txData>
              <cx:f>'Mass Matches Conc'!$M$48</cx:f>
              <cx:v>Not Observed</cx:v>
            </cx:txData>
          </cx:tx>
          <cx:dataId val="1"/>
          <cx:layoutPr>
            <cx:visibility meanLine="0" meanMarker="1" nonoutliers="0" outliers="1"/>
            <cx:statistics quartileMethod="exclusive"/>
          </cx:layoutPr>
        </cx:series>
      </cx:plotAreaRegion>
      <cx:axis id="0" hidden="1">
        <cx:catScaling gapWidth="1"/>
        <cx:tickLabels/>
      </cx:axis>
      <cx:axis id="1">
        <cx:valScaling/>
        <cx:title>
          <cx:tx>
            <cx:txData>
              <cx:v>Log Concentration (ng/g)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 sz="2000"/>
              </a:pPr>
              <a:r>
                <a:rPr lang="en-US" sz="2000" b="0" i="0" u="none" strike="noStrike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Calibri" panose="020F0502020204030204"/>
                </a:rPr>
                <a:t>Log Concentration (ng/g)</a:t>
              </a:r>
            </a:p>
          </cx:txPr>
        </cx:title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800"/>
            </a:pPr>
            <a:endParaRPr lang="en-US" sz="18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  <cx:legend pos="b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800"/>
          </a:pPr>
          <a:endParaRPr lang="en-US" sz="1800" b="0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Sheet2!$A$2:$A$79</cx:f>
        <cx:lvl ptCount="78" formatCode="General">
          <cx:pt idx="0">2.1348199999999999</cx:pt>
          <cx:pt idx="1">1.34501</cx:pt>
          <cx:pt idx="2">2.1979000000000002</cx:pt>
          <cx:pt idx="3">2.92638</cx:pt>
          <cx:pt idx="4">3.2311299999999998</cx:pt>
          <cx:pt idx="5">1.4102699999999999</cx:pt>
          <cx:pt idx="6">3.4510399999999999</cx:pt>
          <cx:pt idx="7">2.8574700000000002</cx:pt>
          <cx:pt idx="8">1.28555</cx:pt>
          <cx:pt idx="9">4.80328</cx:pt>
          <cx:pt idx="10">3.1513</cx:pt>
          <cx:pt idx="11">3.7431399999999999</cx:pt>
          <cx:pt idx="12">3.5013399999999999</cx:pt>
          <cx:pt idx="13">2.9755199999999999</cx:pt>
          <cx:pt idx="14">1.41448</cx:pt>
          <cx:pt idx="15">0.20991299999999999</cx:pt>
          <cx:pt idx="16">2.3496600000000001</cx:pt>
          <cx:pt idx="17">3.4403100000000002</cx:pt>
          <cx:pt idx="18">2.2028799999999999</cx:pt>
          <cx:pt idx="19">1.4532700000000001</cx:pt>
          <cx:pt idx="20">3.3894500000000001</cx:pt>
          <cx:pt idx="21">3.6129099999999998</cx:pt>
          <cx:pt idx="22">0.81388099999999997</cx:pt>
          <cx:pt idx="23">1.2573799999999999</cx:pt>
          <cx:pt idx="24">1.99465</cx:pt>
          <cx:pt idx="25">2.9396100000000001</cx:pt>
          <cx:pt idx="26">3.3308800000000001</cx:pt>
          <cx:pt idx="27">1.6090899999999999</cx:pt>
          <cx:pt idx="28">3.2417799999999999</cx:pt>
          <cx:pt idx="29">0.65300000000000002</cx:pt>
          <cx:pt idx="30">3.8223099999999999</cx:pt>
          <cx:pt idx="31">3.29156</cx:pt>
          <cx:pt idx="32">2.9773299999999998</cx:pt>
          <cx:pt idx="33">3.3001900000000002</cx:pt>
          <cx:pt idx="34">1.2478800000000001</cx:pt>
          <cx:pt idx="35">1.9159299999999999</cx:pt>
          <cx:pt idx="36">2.0175100000000001</cx:pt>
          <cx:pt idx="37">0.88927500000000004</cx:pt>
          <cx:pt idx="38">2.36225</cx:pt>
          <cx:pt idx="39">3.1898200000000001</cx:pt>
          <cx:pt idx="40">3.15883</cx:pt>
          <cx:pt idx="41">1.9319500000000001</cx:pt>
          <cx:pt idx="42">2.31338</cx:pt>
          <cx:pt idx="43">3.5762200000000002</cx:pt>
          <cx:pt idx="44">2.48061</cx:pt>
          <cx:pt idx="45">3.4495499999999999</cx:pt>
          <cx:pt idx="46">3.1036899999999998</cx:pt>
          <cx:pt idx="47">2.7300200000000001</cx:pt>
          <cx:pt idx="48">2.3359399999999999</cx:pt>
          <cx:pt idx="49">2.3833000000000002</cx:pt>
          <cx:pt idx="50">1.7967299999999999</cx:pt>
          <cx:pt idx="51">3.6328100000000001</cx:pt>
          <cx:pt idx="52">3.5954999999999999</cx:pt>
          <cx:pt idx="53">1.9030100000000001</cx:pt>
          <cx:pt idx="54">3.7775799999999999</cx:pt>
          <cx:pt idx="55">1.39059</cx:pt>
          <cx:pt idx="56">0.90032400000000001</cx:pt>
          <cx:pt idx="57">1.45702</cx:pt>
          <cx:pt idx="58">3.9006500000000002</cx:pt>
          <cx:pt idx="59">2.9336099999999998</cx:pt>
          <cx:pt idx="60">2.7534299999999998</cx:pt>
          <cx:pt idx="61">4.1505400000000003</cx:pt>
          <cx:pt idx="62">3.0141</cx:pt>
          <cx:pt idx="63">3.1029499999999999</cx:pt>
          <cx:pt idx="64">2.32003</cx:pt>
          <cx:pt idx="65">2.9254099999999998</cx:pt>
          <cx:pt idx="66">2.1847400000000001</cx:pt>
          <cx:pt idx="67">1.67876</cx:pt>
          <cx:pt idx="68">1.8918999999999999</cx:pt>
          <cx:pt idx="69">1.7301</cx:pt>
          <cx:pt idx="70">4.0353700000000003</cx:pt>
          <cx:pt idx="71">2.1240299999999999</cx:pt>
          <cx:pt idx="72">3.6251699999999998</cx:pt>
          <cx:pt idx="73">2.81271</cx:pt>
          <cx:pt idx="74">2.1635900000000001</cx:pt>
          <cx:pt idx="75">1.49858</cx:pt>
          <cx:pt idx="76">2.0596199999999998</cx:pt>
          <cx:pt idx="77">3.00841</cx:pt>
        </cx:lvl>
      </cx:numDim>
    </cx:data>
    <cx:data id="1">
      <cx:numDim type="val">
        <cx:f>Sheet2!$B$2:$B$22</cx:f>
        <cx:lvl ptCount="21" formatCode="General">
          <cx:pt idx="0">2.9419400000000002</cx:pt>
          <cx:pt idx="1">3.8096700000000001</cx:pt>
          <cx:pt idx="2">1.34457</cx:pt>
          <cx:pt idx="3">3.1556000000000002</cx:pt>
          <cx:pt idx="4">3.43445</cx:pt>
          <cx:pt idx="5">4.3078700000000003</cx:pt>
          <cx:pt idx="6">2.7224400000000002</cx:pt>
          <cx:pt idx="7">3.9301400000000002</cx:pt>
          <cx:pt idx="8">3.4803600000000001</cx:pt>
          <cx:pt idx="9">3.36612</cx:pt>
          <cx:pt idx="10">3.3912</cx:pt>
          <cx:pt idx="11">5.9526199999999996</cx:pt>
          <cx:pt idx="12">5.7129099999999999</cx:pt>
          <cx:pt idx="13">3.05606</cx:pt>
          <cx:pt idx="14">2.7426499999999998</cx:pt>
          <cx:pt idx="15">2.7989799999999998</cx:pt>
          <cx:pt idx="16">3.3980299999999999</cx:pt>
          <cx:pt idx="17">3.17937</cx:pt>
          <cx:pt idx="18">4.2550400000000002</cx:pt>
          <cx:pt idx="19">3.6741000000000001</cx:pt>
          <cx:pt idx="20">3.5782099999999999</cx:pt>
        </cx:lvl>
      </cx:numDim>
    </cx:data>
  </cx:chartData>
  <cx:chart>
    <cx:plotArea>
      <cx:plotAreaRegion>
        <cx:series layoutId="boxWhisker" uniqueId="{95644A2C-035C-4754-900D-0B176FF544CF}">
          <cx:tx>
            <cx:txData>
              <cx:f>Sheet2!$A$1</cx:f>
              <cx:v>Recovered</cx:v>
            </cx:txData>
          </cx:tx>
          <cx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x:spPr>
          <cx:dataId val="0"/>
          <cx:layoutPr>
            <cx:visibility meanLine="0" meanMarker="1" nonoutliers="1" outliers="1"/>
            <cx:statistics quartileMethod="exclusive"/>
          </cx:layoutPr>
        </cx:series>
        <cx:series layoutId="boxWhisker" uniqueId="{00000001-C052-4BE3-BEC1-082928A3E3EE}">
          <cx:tx>
            <cx:txData>
              <cx:f>Sheet2!$B$1</cx:f>
              <cx:v>Not Recovered</cx:v>
            </cx:txData>
          </cx:tx>
          <cx:spPr>
            <a:solidFill>
              <a:srgbClr val="FF0066"/>
            </a:solidFill>
            <a:ln>
              <a:solidFill>
                <a:sysClr val="windowText" lastClr="000000"/>
              </a:solidFill>
            </a:ln>
          </cx:spPr>
          <cx:dataId val="1"/>
          <cx:layoutPr>
            <cx:statistics quartileMethod="exclusive"/>
          </cx:layoutPr>
        </cx:series>
      </cx:plotAreaRegion>
      <cx:axis id="0" hidden="1">
        <cx:catScaling gapWidth="1"/>
        <cx:tickLabels/>
      </cx:axis>
      <cx:axis id="1">
        <cx:valScaling max="6"/>
        <cx:title>
          <cx:tx>
            <cx:rich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2800"/>
                </a:pPr>
                <a:r>
                  <a:rPr lang="en-US" sz="2800" b="0" i="0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rPr>
                  <a:t>Log </a:t>
                </a:r>
                <a:r>
                  <a:rPr lang="en-US" sz="2800" b="0" i="1" u="none" strike="noStrike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rPr>
                  <a:t>K</a:t>
                </a:r>
                <a:r>
                  <a:rPr lang="en-US" sz="2800" b="0" i="0" u="none" strike="noStrike" baseline="-2500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Calibri" panose="020F0502020204030204"/>
                  </a:rPr>
                  <a:t>ow</a:t>
                </a:r>
              </a:p>
            </cx:rich>
          </cx:tx>
        </cx:title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800"/>
            </a:pPr>
            <a:endParaRPr lang="en-US" sz="18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</cx:plotArea>
    <cx:legend pos="b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600"/>
          </a:pPr>
          <a:endParaRPr lang="en-US" sz="1600" b="0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50382e91-428c-4f51-a20d-a5763ccf738d" xsi:nil="true"/>
    <Record xmlns="4ffa91fb-a0ff-4ac5-b2db-65c790d184a4">Shared</Record>
    <Rights xmlns="4ffa91fb-a0ff-4ac5-b2db-65c790d184a4" xsi:nil="true"/>
    <Document_x0020_Creation_x0020_Date xmlns="4ffa91fb-a0ff-4ac5-b2db-65c790d184a4">2019-08-08T15:36:11+00:00</Document_x0020_Creation_x0020_Date>
    <EPA_x0020_Office xmlns="4ffa91fb-a0ff-4ac5-b2db-65c790d184a4" xsi:nil="true"/>
    <Records_x0020_Status xmlns="50382e91-428c-4f51-a20d-a5763ccf738d">Pending</Records_x0020_Status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438AB9B275429BD20BE4018C3CC7" ma:contentTypeVersion="19" ma:contentTypeDescription="Create a new document." ma:contentTypeScope="" ma:versionID="7bb4c4a50557de62fc46a85dbe812e2f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50382e91-428c-4f51-a20d-a5763ccf738d" xmlns:ns7="1372735f-cc0a-498d-9237-62ab01f5457a" targetNamespace="http://schemas.microsoft.com/office/2006/metadata/properties" ma:root="true" ma:fieldsID="59ed74e8105230f50d6d1429b3bdce39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0382e91-428c-4f51-a20d-a5763ccf738d"/>
    <xsd:import namespace="1372735f-cc0a-498d-9237-62ab01f5457a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DateTaken" minOccurs="0"/>
                <xsd:element ref="ns6:SharedWithDetails" minOccurs="0"/>
                <xsd:element ref="ns6:SharingHintHash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7ce5d3-7b6f-42a9-a539-a8c9a8d213d0}" ma:internalName="TaxCatchAllLabel" ma:readOnly="true" ma:showField="CatchAllDataLabel" ma:web="50382e91-428c-4f51-a20d-a5763ccf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7ce5d3-7b6f-42a9-a539-a8c9a8d213d0}" ma:internalName="TaxCatchAll" ma:showField="CatchAllData" ma:web="50382e91-428c-4f51-a20d-a5763ccf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2e91-428c-4f51-a20d-a5763ccf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29" nillable="true" ma:displayName="Records Status" ma:default="Pending" ma:internalName="Records_x0020_Status">
      <xsd:simpleType>
        <xsd:restriction base="dms:Text"/>
      </xsd:simpleType>
    </xsd:element>
    <xsd:element name="Records_x0020_Date" ma:index="30" nillable="true" ma:displayName="Records Date" ma:hidden="true" ma:internalName="Records_x0020_Date">
      <xsd:simpleType>
        <xsd:restriction base="dms:DateTime"/>
      </xsd:simple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2735f-cc0a-498d-9237-62ab01f54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33E8-740E-423F-9A13-01E735FA72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50382e91-428c-4f51-a20d-a5763ccf738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10265850-0D94-4581-9BE7-EA68EDEC14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4EF37A-6D49-4B4E-BED2-69EA77A1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0382e91-428c-4f51-a20d-a5763ccf738d"/>
    <ds:schemaRef ds:uri="1372735f-cc0a-498d-9237-62ab01f54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595C4-23D6-4374-A6D2-1E69AE4DE7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356D3-C421-4060-8CAE-202D37A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Seth</dc:creator>
  <cp:keywords/>
  <dc:description/>
  <cp:lastModifiedBy>Newton, Seth</cp:lastModifiedBy>
  <cp:revision>11</cp:revision>
  <dcterms:created xsi:type="dcterms:W3CDTF">2020-03-25T13:48:00Z</dcterms:created>
  <dcterms:modified xsi:type="dcterms:W3CDTF">2020-06-22T20:19:00Z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0x010100FCE3438AB9B275429BD20BE4018C3CC7</vt:lpwstr>
  </property>
</Properties>
</file>