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54DF" w14:textId="77777777" w:rsidR="006B12B8" w:rsidRPr="005C2520" w:rsidRDefault="006B12B8" w:rsidP="006B12B8">
      <w:pPr>
        <w:jc w:val="center"/>
        <w:rPr>
          <w:b/>
        </w:rPr>
      </w:pPr>
      <w:r w:rsidRPr="005C2520">
        <w:rPr>
          <w:b/>
        </w:rPr>
        <w:t>Supporting Information (SI) Materials</w:t>
      </w:r>
    </w:p>
    <w:p w14:paraId="5699B8D1" w14:textId="77777777" w:rsidR="006B12B8" w:rsidRPr="005C2520" w:rsidRDefault="006B12B8" w:rsidP="006B12B8"/>
    <w:p w14:paraId="6254008B" w14:textId="77777777" w:rsidR="006B12B8" w:rsidRPr="005C2520" w:rsidRDefault="006B12B8" w:rsidP="006B12B8">
      <w:pPr>
        <w:rPr>
          <w:sz w:val="22"/>
          <w:szCs w:val="22"/>
        </w:rPr>
      </w:pPr>
      <w:r w:rsidRPr="005C2520">
        <w:rPr>
          <w:b/>
          <w:sz w:val="22"/>
          <w:szCs w:val="22"/>
        </w:rPr>
        <w:t>Table S1</w:t>
      </w:r>
      <w:r w:rsidRPr="005C2520">
        <w:rPr>
          <w:sz w:val="22"/>
          <w:szCs w:val="22"/>
        </w:rPr>
        <w:t>. Differences in data sources for crop VPF compared to VNF.</w:t>
      </w:r>
    </w:p>
    <w:p w14:paraId="4BA5AD70" w14:textId="77777777" w:rsidR="006B12B8" w:rsidRPr="005C2520" w:rsidRDefault="006B12B8" w:rsidP="006B12B8">
      <w:r w:rsidRPr="005C2520">
        <w:t xml:space="preserve"> </w:t>
      </w:r>
    </w:p>
    <w:tbl>
      <w:tblPr>
        <w:tblW w:w="7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595"/>
        <w:gridCol w:w="1410"/>
        <w:gridCol w:w="1860"/>
      </w:tblGrid>
      <w:tr w:rsidR="006B12B8" w:rsidRPr="005C2520" w14:paraId="016E5FC0" w14:textId="77777777" w:rsidTr="00E93D1E">
        <w:trPr>
          <w:trHeight w:val="12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6C78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E1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F5B6" w14:textId="77777777" w:rsidR="006B12B8" w:rsidRPr="005C2520" w:rsidRDefault="006B12B8" w:rsidP="00E93D1E">
            <w:pPr>
              <w:rPr>
                <w:b/>
                <w:sz w:val="20"/>
                <w:szCs w:val="20"/>
              </w:rPr>
            </w:pPr>
            <w:r w:rsidRPr="005C2520">
              <w:rPr>
                <w:b/>
                <w:sz w:val="20"/>
                <w:szCs w:val="20"/>
              </w:rPr>
              <w:t>States that did not have P application rates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10D9" w14:textId="77777777" w:rsidR="006B12B8" w:rsidRPr="005C2520" w:rsidRDefault="006B12B8" w:rsidP="00E93D1E">
            <w:pPr>
              <w:rPr>
                <w:b/>
                <w:sz w:val="20"/>
                <w:szCs w:val="20"/>
              </w:rPr>
            </w:pPr>
            <w:r w:rsidRPr="005C2520">
              <w:rPr>
                <w:b/>
                <w:sz w:val="20"/>
                <w:szCs w:val="20"/>
              </w:rPr>
              <w:t>States that did not have % P in edible crop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247B" w14:textId="77777777" w:rsidR="006B12B8" w:rsidRPr="005C2520" w:rsidRDefault="006B12B8" w:rsidP="00E93D1E">
            <w:pPr>
              <w:rPr>
                <w:b/>
                <w:sz w:val="20"/>
                <w:szCs w:val="20"/>
              </w:rPr>
            </w:pPr>
            <w:r w:rsidRPr="005C2520">
              <w:rPr>
                <w:b/>
                <w:sz w:val="20"/>
                <w:szCs w:val="20"/>
              </w:rPr>
              <w:t>States that did not have % P in whole plant</w:t>
            </w:r>
          </w:p>
        </w:tc>
      </w:tr>
      <w:tr w:rsidR="006B12B8" w14:paraId="6A8147F4" w14:textId="77777777" w:rsidTr="00E93D1E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ECCB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Tomatoes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E963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3E70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141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4A211F39" w14:textId="77777777" w:rsidTr="00E93D1E">
        <w:trPr>
          <w:trHeight w:val="461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52A9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Onions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1F05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Colorado, New York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E5F2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Oregon, Colorado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5AAA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Idaho</w:t>
            </w:r>
          </w:p>
        </w:tc>
      </w:tr>
      <w:tr w:rsidR="006B12B8" w14:paraId="0BEC4B8C" w14:textId="77777777" w:rsidTr="00E93D1E">
        <w:trPr>
          <w:trHeight w:val="10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A406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Lettuce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5D9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0502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07AD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:rsidRPr="005C2520" w14:paraId="7B71DEE8" w14:textId="77777777" w:rsidTr="00E93D1E">
        <w:trPr>
          <w:trHeight w:val="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E938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Potatoes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B507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>Arizona, Maine, New York, Virginia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A36A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EA21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</w:tr>
      <w:tr w:rsidR="006B12B8" w:rsidRPr="005C2520" w14:paraId="74A36957" w14:textId="77777777" w:rsidTr="00E93D1E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7233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Soybeans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FB8D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Delaware, Florida, Illinois, Missouri, </w:t>
            </w:r>
            <w:proofErr w:type="spellStart"/>
            <w:r w:rsidRPr="005C2520">
              <w:rPr>
                <w:sz w:val="20"/>
                <w:szCs w:val="20"/>
              </w:rPr>
              <w:t>Pennslyvania</w:t>
            </w:r>
            <w:proofErr w:type="spellEnd"/>
            <w:r w:rsidRPr="005C2520">
              <w:rPr>
                <w:sz w:val="20"/>
                <w:szCs w:val="20"/>
              </w:rPr>
              <w:t>, South Carolina, Texas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0EB7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48AF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</w:tr>
      <w:tr w:rsidR="006B12B8" w14:paraId="64525410" w14:textId="77777777" w:rsidTr="00E93D1E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33E7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0426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20D5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9552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70A95085" w14:textId="77777777" w:rsidTr="00E93D1E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CB85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81C2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E483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6B4D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022D2222" w14:textId="77777777" w:rsidTr="00E93D1E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FFB8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Oranges*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03FE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126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897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32647D82" w14:textId="77777777" w:rsidTr="00E93D1E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1BCA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D904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6DF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1605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:rsidRPr="005C2520" w14:paraId="6CA28530" w14:textId="77777777" w:rsidTr="00E93D1E">
        <w:trPr>
          <w:trHeight w:val="10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A6D6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4BF0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>Alabama, Arizona, California, Montana, Delaware, New Jersey, Pennsylvania, South Carolina, South Dakota, Virginia, West Virginia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1B1E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1B13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</w:tr>
      <w:tr w:rsidR="006B12B8" w14:paraId="369F5F57" w14:textId="77777777" w:rsidTr="00E93D1E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61BF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Wheat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B806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Alabama, Arizona, Illinois, Kansas, </w:t>
            </w:r>
            <w:proofErr w:type="spellStart"/>
            <w:r>
              <w:rPr>
                <w:sz w:val="20"/>
                <w:szCs w:val="20"/>
              </w:rPr>
              <w:t>Louisianna</w:t>
            </w:r>
            <w:proofErr w:type="spellEnd"/>
            <w:r>
              <w:rPr>
                <w:sz w:val="20"/>
                <w:szCs w:val="20"/>
              </w:rPr>
              <w:t>, Nebraska, Pennsylvania, South Carolina, Virginia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9DA3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5FF0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08A55A5D" w14:textId="77777777" w:rsidTr="00E93D1E">
        <w:trPr>
          <w:trHeight w:val="2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6EB0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26D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California, Missouri, Texas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A65A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C221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0530E6A4" w14:textId="77777777" w:rsidTr="00E93D1E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4440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Barley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3A5E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Maine, Pennsylvania, Virginia, Washington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104D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1FE1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14:paraId="408A6E79" w14:textId="77777777" w:rsidTr="00E93D1E">
        <w:trPr>
          <w:trHeight w:val="52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C445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Sorghum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68BA" w14:textId="77777777" w:rsidR="006B12B8" w:rsidRDefault="006B12B8" w:rsidP="00E93D1E">
            <w:pPr>
              <w:rPr>
                <w:sz w:val="20"/>
                <w:szCs w:val="20"/>
              </w:rPr>
            </w:pPr>
            <w:r w:rsidRPr="005D3CFC">
              <w:rPr>
                <w:sz w:val="20"/>
                <w:szCs w:val="20"/>
              </w:rPr>
              <w:t>Missouri, Texas, Arizona</w:t>
            </w:r>
            <w:r>
              <w:rPr>
                <w:sz w:val="20"/>
                <w:szCs w:val="20"/>
              </w:rPr>
              <w:t>, Illinois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835B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2773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B12B8" w:rsidRPr="005C2520" w14:paraId="494AA7C2" w14:textId="77777777" w:rsidTr="00E93D1E">
        <w:trPr>
          <w:trHeight w:val="69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F000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Oats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F3E4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>Alabama, Iowa, South Carolina, Washington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14AC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CFB7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</w:tr>
      <w:tr w:rsidR="006B12B8" w:rsidRPr="005C2520" w14:paraId="775E0CE5" w14:textId="77777777" w:rsidTr="00E93D1E">
        <w:trPr>
          <w:trHeight w:val="3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8854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Alfalfa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E9F6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>Arizona, Arkansas, Illinois, Indiana, Kentucky, Maine, Maryland, Massachusetts, Nevada, New Hampshire, New Jersey, North Carolina, Rhode Island, Vermont, Virginia, Washington, West Virginia, Wyoming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6E57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CFB4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</w:tr>
      <w:tr w:rsidR="006B12B8" w:rsidRPr="005C2520" w14:paraId="40350A65" w14:textId="77777777" w:rsidTr="00E93D1E">
        <w:trPr>
          <w:trHeight w:val="12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AB98" w14:textId="77777777" w:rsidR="006B12B8" w:rsidRDefault="006B12B8" w:rsidP="00E9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D08B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>Ohio, Pennsylvania, North Carolina, Delaware, California, Arizona, Indiana, West Virginia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34BF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4B79" w14:textId="77777777" w:rsidR="006B12B8" w:rsidRPr="005C2520" w:rsidRDefault="006B12B8" w:rsidP="00E93D1E">
            <w:pPr>
              <w:rPr>
                <w:sz w:val="20"/>
                <w:szCs w:val="20"/>
              </w:rPr>
            </w:pPr>
            <w:r w:rsidRPr="005C2520">
              <w:rPr>
                <w:sz w:val="20"/>
                <w:szCs w:val="20"/>
              </w:rPr>
              <w:t xml:space="preserve"> </w:t>
            </w:r>
          </w:p>
        </w:tc>
      </w:tr>
    </w:tbl>
    <w:p w14:paraId="4DDC8953" w14:textId="77777777" w:rsidR="006B12B8" w:rsidRPr="005C2520" w:rsidRDefault="006B12B8" w:rsidP="006B12B8">
      <w:pPr>
        <w:rPr>
          <w:sz w:val="22"/>
          <w:szCs w:val="22"/>
        </w:rPr>
      </w:pPr>
      <w:r w:rsidRPr="005C2520">
        <w:rPr>
          <w:sz w:val="22"/>
          <w:szCs w:val="22"/>
        </w:rPr>
        <w:t>*Many states recommended 0 fertilization for trees. In Florida we used a different data source for P application (</w:t>
      </w:r>
      <w:proofErr w:type="spellStart"/>
      <w:r w:rsidRPr="005C2520">
        <w:rPr>
          <w:sz w:val="22"/>
          <w:szCs w:val="22"/>
        </w:rPr>
        <w:t>Singerman</w:t>
      </w:r>
      <w:proofErr w:type="spellEnd"/>
      <w:r w:rsidRPr="005C2520">
        <w:rPr>
          <w:sz w:val="22"/>
          <w:szCs w:val="22"/>
        </w:rPr>
        <w:t xml:space="preserve"> 2018), but used the same assumptions about life span, tree density and yields as was done for N.</w:t>
      </w:r>
    </w:p>
    <w:p w14:paraId="208D1DAE" w14:textId="77777777" w:rsidR="006B12B8" w:rsidRPr="005C2520" w:rsidRDefault="006B12B8" w:rsidP="006B12B8">
      <w:pPr>
        <w:rPr>
          <w:color w:val="0000FF"/>
          <w:sz w:val="22"/>
          <w:szCs w:val="22"/>
          <w:u w:val="single"/>
        </w:rPr>
      </w:pPr>
      <w:proofErr w:type="spellStart"/>
      <w:r w:rsidRPr="005C2520">
        <w:rPr>
          <w:sz w:val="22"/>
          <w:szCs w:val="22"/>
        </w:rPr>
        <w:t>Singerman</w:t>
      </w:r>
      <w:proofErr w:type="spellEnd"/>
      <w:r w:rsidRPr="005C2520">
        <w:rPr>
          <w:sz w:val="22"/>
          <w:szCs w:val="22"/>
        </w:rPr>
        <w:t>, A. (2018) University of Florida Institute of Food and Agricultural Science. Citrus Research and Education Center.</w:t>
      </w:r>
      <w:hyperlink r:id="rId10">
        <w:r w:rsidRPr="005C2520">
          <w:rPr>
            <w:sz w:val="22"/>
            <w:szCs w:val="22"/>
          </w:rPr>
          <w:t xml:space="preserve"> </w:t>
        </w:r>
      </w:hyperlink>
      <w:hyperlink r:id="rId11">
        <w:r w:rsidRPr="005C2520">
          <w:rPr>
            <w:color w:val="0000FF"/>
            <w:sz w:val="22"/>
            <w:szCs w:val="22"/>
            <w:u w:val="single"/>
          </w:rPr>
          <w:t>https://crec.ifas.ufl.edu/economics/</w:t>
        </w:r>
      </w:hyperlink>
    </w:p>
    <w:p w14:paraId="60B85E99" w14:textId="77777777" w:rsidR="006B12B8" w:rsidRPr="005C2520" w:rsidRDefault="006B12B8" w:rsidP="006B12B8">
      <w:pPr>
        <w:rPr>
          <w:sz w:val="20"/>
          <w:szCs w:val="20"/>
        </w:rPr>
      </w:pPr>
    </w:p>
    <w:p w14:paraId="1C11EAE0" w14:textId="77777777" w:rsidR="006B12B8" w:rsidRPr="005C2520" w:rsidRDefault="006B12B8" w:rsidP="006B12B8"/>
    <w:p w14:paraId="766C5E4D" w14:textId="77777777" w:rsidR="006B12B8" w:rsidRDefault="006B12B8" w:rsidP="006B12B8">
      <w:pPr>
        <w:rPr>
          <w:sz w:val="20"/>
          <w:szCs w:val="20"/>
        </w:rPr>
      </w:pPr>
      <w:r w:rsidRPr="005C2520">
        <w:rPr>
          <w:b/>
          <w:sz w:val="20"/>
          <w:szCs w:val="20"/>
        </w:rPr>
        <w:t>Table S2</w:t>
      </w:r>
      <w:r w:rsidRPr="005C2520">
        <w:rPr>
          <w:sz w:val="20"/>
          <w:szCs w:val="20"/>
        </w:rPr>
        <w:t xml:space="preserve">. VNF and VPF values – kg nutrient released per kg of nutrient consumed. </w:t>
      </w:r>
      <w:r>
        <w:rPr>
          <w:sz w:val="20"/>
          <w:szCs w:val="20"/>
        </w:rPr>
        <w:t>This is used in Figure S1.</w:t>
      </w:r>
    </w:p>
    <w:tbl>
      <w:tblPr>
        <w:tblW w:w="4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305"/>
        <w:gridCol w:w="1305"/>
      </w:tblGrid>
      <w:tr w:rsidR="006B12B8" w14:paraId="20699910" w14:textId="77777777" w:rsidTr="00E93D1E">
        <w:trPr>
          <w:trHeight w:val="28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6AA264" w14:textId="77777777" w:rsidR="006B12B8" w:rsidRDefault="006B12B8" w:rsidP="00E93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E497E4" w14:textId="77777777" w:rsidR="006B12B8" w:rsidRDefault="006B12B8" w:rsidP="00E93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VNF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A3DD31" w14:textId="77777777" w:rsidR="006B12B8" w:rsidRDefault="006B12B8" w:rsidP="00E93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VPF</w:t>
            </w:r>
          </w:p>
        </w:tc>
      </w:tr>
      <w:tr w:rsidR="006B12B8" w14:paraId="105EFA67" w14:textId="77777777" w:rsidTr="00E93D1E">
        <w:trPr>
          <w:trHeight w:val="22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1C2BF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products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8DB40" w14:textId="77777777" w:rsidR="006B12B8" w:rsidRDefault="006B12B8" w:rsidP="00E93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FF320" w14:textId="77777777" w:rsidR="006B12B8" w:rsidRDefault="006B12B8" w:rsidP="00E93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12B8" w14:paraId="7233B77B" w14:textId="77777777" w:rsidTr="00E93D1E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90AD9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200F9" w14:textId="0B668499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4C17A4" w14:textId="682A826C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</w:tr>
      <w:tr w:rsidR="006B12B8" w14:paraId="231FD9AA" w14:textId="77777777" w:rsidTr="00E93D1E">
        <w:trPr>
          <w:trHeight w:val="15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12DFC5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1F6C9A" w14:textId="41DA4BFD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95EFDD" w14:textId="6EA2122F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6B12B8" w14:paraId="0B226058" w14:textId="77777777" w:rsidTr="00E93D1E">
        <w:trPr>
          <w:trHeight w:val="25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EE1199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5CEF6" w14:textId="5AA076C8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816591" w14:textId="58F9AB19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</w:t>
            </w:r>
          </w:p>
        </w:tc>
      </w:tr>
      <w:tr w:rsidR="006B12B8" w14:paraId="1C00A9C5" w14:textId="77777777" w:rsidTr="00E93D1E">
        <w:trPr>
          <w:trHeight w:val="4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6BC67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68A3F" w14:textId="7D25D31E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F249A8" w14:textId="2F211B76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52</w:t>
            </w:r>
          </w:p>
        </w:tc>
      </w:tr>
      <w:tr w:rsidR="006B12B8" w14:paraId="5D1CE4FC" w14:textId="77777777" w:rsidTr="00E93D1E">
        <w:trPr>
          <w:trHeight w:val="22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DA815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60C56" w14:textId="2427578F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42FDC" w14:textId="1456CCB0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52</w:t>
            </w:r>
          </w:p>
        </w:tc>
      </w:tr>
      <w:tr w:rsidR="006B12B8" w14:paraId="1AB80D02" w14:textId="77777777" w:rsidTr="00E93D1E">
        <w:trPr>
          <w:trHeight w:val="4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97E20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B85EA8" w14:textId="60F73734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13FC04" w14:textId="070DB9BC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</w:t>
            </w:r>
          </w:p>
        </w:tc>
      </w:tr>
      <w:tr w:rsidR="006B12B8" w14:paraId="52B57CEF" w14:textId="77777777" w:rsidTr="00E93D1E">
        <w:trPr>
          <w:trHeight w:val="18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D7BA67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 - Avg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6CF7E" w14:textId="349B0DBB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22F8F4" w14:textId="3B6A8DC2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</w:p>
        </w:tc>
      </w:tr>
      <w:tr w:rsidR="006B12B8" w14:paraId="586510CF" w14:textId="77777777" w:rsidTr="00E93D1E">
        <w:trPr>
          <w:trHeight w:val="13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86C3EE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7328A" w14:textId="01CD289E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FAB100" w14:textId="369BE068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</w:p>
        </w:tc>
      </w:tr>
      <w:tr w:rsidR="006B12B8" w14:paraId="4F322EE4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2BDCD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AD3" w14:textId="14FCD9AA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FDA2F" w14:textId="43371E1B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</w:tr>
      <w:tr w:rsidR="006B12B8" w14:paraId="7ABE5FD1" w14:textId="77777777" w:rsidTr="00E93D1E">
        <w:trPr>
          <w:trHeight w:val="16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DB74B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ADA99E" w14:textId="348AD95C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0BF0D" w14:textId="4DC1794F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</w:tr>
      <w:tr w:rsidR="006B12B8" w14:paraId="242754E8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EBCB3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4A0EE5" w14:textId="1257B234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A485F" w14:textId="495C3AF3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</w:t>
            </w:r>
          </w:p>
        </w:tc>
      </w:tr>
      <w:tr w:rsidR="006B12B8" w14:paraId="21D1A63F" w14:textId="77777777" w:rsidTr="00E93D1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10D71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 - Avg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9D74A1" w14:textId="724E4FBF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01064" w14:textId="41563990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6B12B8" w14:paraId="7FD9332C" w14:textId="77777777" w:rsidTr="00E93D1E">
        <w:trPr>
          <w:trHeight w:val="1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3712B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92D86" w14:textId="23EB27CD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462A5" w14:textId="0F6298D3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</w:tr>
      <w:tr w:rsidR="006B12B8" w14:paraId="78D78D53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8D1A04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Tomato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BEF2F" w14:textId="548D96B7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83AEDA" w14:textId="56DBCFEF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</w:t>
            </w:r>
          </w:p>
        </w:tc>
      </w:tr>
      <w:tr w:rsidR="006B12B8" w14:paraId="07137F59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55A8D6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3ABAA2" w14:textId="49C4DB6A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16CF16" w14:textId="20225850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</w:t>
            </w:r>
          </w:p>
        </w:tc>
      </w:tr>
      <w:tr w:rsidR="006B12B8" w14:paraId="7F3A4375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932A8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908CA" w14:textId="60A2B0A1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2D1DF" w14:textId="5C5EF9D6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</w:t>
            </w:r>
          </w:p>
        </w:tc>
      </w:tr>
      <w:tr w:rsidR="006B12B8" w14:paraId="0514B527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ACB79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Grains - Avg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CD76B" w14:textId="42A36F6B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10475" w14:textId="12F62C33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</w:t>
            </w:r>
          </w:p>
        </w:tc>
      </w:tr>
      <w:tr w:rsidR="006B12B8" w14:paraId="67400413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658F0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3E9268" w14:textId="090A4938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83617E" w14:textId="6AA78EA8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</w:p>
        </w:tc>
      </w:tr>
      <w:tr w:rsidR="006B12B8" w14:paraId="38D62955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E93CEC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2F26B" w14:textId="3918AE67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AADB1" w14:textId="02E78A6D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82</w:t>
            </w:r>
          </w:p>
        </w:tc>
      </w:tr>
      <w:tr w:rsidR="006B12B8" w14:paraId="5824EE3B" w14:textId="77777777" w:rsidTr="00E93D1E">
        <w:trPr>
          <w:trHeight w:val="51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C670B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09B736" w14:textId="07B62562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C65E85" w14:textId="71C4D367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</w:t>
            </w:r>
          </w:p>
        </w:tc>
      </w:tr>
      <w:tr w:rsidR="006B12B8" w14:paraId="11EDACBA" w14:textId="77777777" w:rsidTr="00E93D1E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D42614" w14:textId="77777777" w:rsidR="006B12B8" w:rsidRDefault="006B12B8" w:rsidP="00E9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C57C2C" w14:textId="26EF0D19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97296" w14:textId="3BD637FF" w:rsidR="006B12B8" w:rsidRDefault="006B12B8" w:rsidP="00E9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21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</w:t>
            </w:r>
          </w:p>
        </w:tc>
      </w:tr>
    </w:tbl>
    <w:p w14:paraId="660812F1" w14:textId="77777777" w:rsidR="006B12B8" w:rsidRDefault="006B12B8" w:rsidP="006B12B8"/>
    <w:p w14:paraId="053E4F94" w14:textId="26B86627" w:rsidR="0003060E" w:rsidRPr="0003060E" w:rsidRDefault="0003060E" w:rsidP="006B12B8">
      <w:pPr>
        <w:rPr>
          <w:bCs/>
          <w:sz w:val="20"/>
          <w:szCs w:val="20"/>
        </w:rPr>
      </w:pPr>
      <w:r>
        <w:rPr>
          <w:b/>
          <w:sz w:val="20"/>
          <w:szCs w:val="20"/>
        </w:rPr>
        <w:t>Figure S3.</w:t>
      </w:r>
      <w:r>
        <w:rPr>
          <w:bCs/>
          <w:sz w:val="20"/>
          <w:szCs w:val="20"/>
        </w:rPr>
        <w:t xml:space="preserve"> </w:t>
      </w:r>
      <w:r w:rsidRPr="000F22E8">
        <w:rPr>
          <w:color w:val="000000" w:themeColor="text1"/>
          <w:sz w:val="20"/>
          <w:szCs w:val="20"/>
        </w:rPr>
        <w:t>P released to the environment for Specific food items that comprise the vegetal product food groups presente</w:t>
      </w:r>
      <w:r>
        <w:rPr>
          <w:color w:val="000000" w:themeColor="text1"/>
          <w:sz w:val="20"/>
          <w:szCs w:val="20"/>
        </w:rPr>
        <w:t>d. The values are used in figure 4.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1838"/>
        <w:gridCol w:w="2693"/>
      </w:tblGrid>
      <w:tr w:rsidR="0003060E" w:rsidRPr="0003060E" w14:paraId="35BE6353" w14:textId="77777777" w:rsidTr="0003060E">
        <w:trPr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B19B" w14:textId="77777777" w:rsidR="0003060E" w:rsidRPr="002E3B7E" w:rsidRDefault="0003060E" w:rsidP="0003060E">
            <w:pPr>
              <w:jc w:val="center"/>
              <w:rPr>
                <w:b/>
                <w:bCs/>
                <w:color w:val="000000"/>
                <w:lang w:val="en-CA" w:eastAsia="en-US"/>
              </w:rPr>
            </w:pPr>
            <w:r w:rsidRPr="002E3B7E">
              <w:rPr>
                <w:b/>
                <w:bCs/>
                <w:color w:val="000000"/>
                <w:lang w:val="en-CA" w:eastAsia="en-US"/>
              </w:rPr>
              <w:t>Food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215" w14:textId="77777777" w:rsidR="0003060E" w:rsidRPr="002E3B7E" w:rsidRDefault="0003060E" w:rsidP="0003060E">
            <w:pPr>
              <w:jc w:val="center"/>
              <w:rPr>
                <w:b/>
                <w:bCs/>
                <w:color w:val="000000"/>
                <w:lang w:val="en-CA" w:eastAsia="en-US"/>
              </w:rPr>
            </w:pPr>
            <w:r w:rsidRPr="002E3B7E">
              <w:rPr>
                <w:b/>
                <w:bCs/>
                <w:color w:val="000000"/>
                <w:lang w:val="en-CA" w:eastAsia="en-US"/>
              </w:rPr>
              <w:t>P release per kg of food</w:t>
            </w:r>
          </w:p>
        </w:tc>
      </w:tr>
      <w:tr w:rsidR="0003060E" w:rsidRPr="0003060E" w14:paraId="24C15A52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F53CDE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Animal products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2D090F" w14:textId="477D723B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</w:p>
        </w:tc>
      </w:tr>
      <w:tr w:rsidR="0003060E" w:rsidRPr="0003060E" w14:paraId="1FCF484D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569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Pork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AC5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34.03</w:t>
            </w:r>
          </w:p>
        </w:tc>
      </w:tr>
      <w:tr w:rsidR="0003060E" w:rsidRPr="0003060E" w14:paraId="46BDFF54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8A1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Poultry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D57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27.90</w:t>
            </w:r>
          </w:p>
        </w:tc>
      </w:tr>
      <w:tr w:rsidR="0003060E" w:rsidRPr="0003060E" w14:paraId="11B0DCEE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280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Beef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8D4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112.05</w:t>
            </w:r>
          </w:p>
        </w:tc>
      </w:tr>
      <w:tr w:rsidR="0003060E" w:rsidRPr="0003060E" w14:paraId="7A93E2BB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DC2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Milk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744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2.54</w:t>
            </w:r>
          </w:p>
        </w:tc>
      </w:tr>
      <w:tr w:rsidR="0003060E" w:rsidRPr="0003060E" w14:paraId="7CA6DC4A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7A2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Cheese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388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12.18</w:t>
            </w:r>
          </w:p>
        </w:tc>
      </w:tr>
      <w:tr w:rsidR="0003060E" w:rsidRPr="0003060E" w14:paraId="0A49434B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274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Eggs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173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21.73</w:t>
            </w:r>
          </w:p>
        </w:tc>
      </w:tr>
      <w:tr w:rsidR="0003060E" w:rsidRPr="0003060E" w14:paraId="338FCA83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A757E8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Fruits - Avg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E439F2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0.61</w:t>
            </w:r>
          </w:p>
        </w:tc>
      </w:tr>
      <w:tr w:rsidR="0003060E" w:rsidRPr="0003060E" w14:paraId="0AEBAB12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603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Apples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370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0.55</w:t>
            </w:r>
          </w:p>
        </w:tc>
      </w:tr>
      <w:tr w:rsidR="0003060E" w:rsidRPr="0003060E" w14:paraId="7775DC1A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7AAE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Oranges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DF8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0.43</w:t>
            </w:r>
          </w:p>
        </w:tc>
      </w:tr>
      <w:tr w:rsidR="0003060E" w:rsidRPr="0003060E" w14:paraId="7019B86F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8B1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Grapes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A31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0.27</w:t>
            </w:r>
          </w:p>
        </w:tc>
      </w:tr>
      <w:tr w:rsidR="0003060E" w:rsidRPr="0003060E" w14:paraId="2E4BAA86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63FA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Watermelon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5CB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1.36</w:t>
            </w:r>
          </w:p>
        </w:tc>
      </w:tr>
      <w:tr w:rsidR="0003060E" w:rsidRPr="0003060E" w14:paraId="56F08BE2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D99EFD" w14:textId="5E330CC3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Vegetables -Avg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50E40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2.18</w:t>
            </w:r>
          </w:p>
        </w:tc>
      </w:tr>
      <w:tr w:rsidR="0003060E" w:rsidRPr="0003060E" w14:paraId="3172E407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6C0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Lettuce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1EE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1.68</w:t>
            </w:r>
          </w:p>
        </w:tc>
      </w:tr>
      <w:tr w:rsidR="0003060E" w:rsidRPr="0003060E" w14:paraId="5F35F360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118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Tomato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34F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2.47</w:t>
            </w:r>
          </w:p>
        </w:tc>
      </w:tr>
      <w:tr w:rsidR="0003060E" w:rsidRPr="0003060E" w14:paraId="26F61156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65F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Onion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4F3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1.82</w:t>
            </w:r>
          </w:p>
        </w:tc>
      </w:tr>
      <w:tr w:rsidR="0003060E" w:rsidRPr="0003060E" w14:paraId="7DB75D1F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8AA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Potatoes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F2FB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1.81</w:t>
            </w:r>
          </w:p>
        </w:tc>
      </w:tr>
      <w:tr w:rsidR="0003060E" w:rsidRPr="0003060E" w14:paraId="230645FE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7C7B93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Grains - Avg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DA66D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5.18</w:t>
            </w:r>
          </w:p>
        </w:tc>
      </w:tr>
      <w:tr w:rsidR="0003060E" w:rsidRPr="0003060E" w14:paraId="320558BE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310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Corn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2B9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2.96</w:t>
            </w:r>
          </w:p>
        </w:tc>
      </w:tr>
      <w:tr w:rsidR="0003060E" w:rsidRPr="0003060E" w14:paraId="0094D5E4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A15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Wheat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EEC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6.75</w:t>
            </w:r>
          </w:p>
        </w:tc>
      </w:tr>
      <w:tr w:rsidR="0003060E" w:rsidRPr="0003060E" w14:paraId="517F79EA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2C92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Rice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558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2.59</w:t>
            </w:r>
          </w:p>
        </w:tc>
      </w:tr>
      <w:tr w:rsidR="0003060E" w:rsidRPr="0003060E" w14:paraId="435C70A1" w14:textId="77777777" w:rsidTr="0003060E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274E1A6" w14:textId="77777777" w:rsidR="0003060E" w:rsidRPr="002E3B7E" w:rsidRDefault="0003060E" w:rsidP="0003060E">
            <w:pPr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Beans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15666" w14:textId="77777777" w:rsidR="0003060E" w:rsidRPr="002E3B7E" w:rsidRDefault="0003060E" w:rsidP="0003060E">
            <w:pPr>
              <w:jc w:val="center"/>
              <w:rPr>
                <w:color w:val="000000"/>
                <w:lang w:val="en-CA" w:eastAsia="en-US"/>
              </w:rPr>
            </w:pPr>
            <w:r w:rsidRPr="002E3B7E">
              <w:rPr>
                <w:color w:val="000000"/>
                <w:lang w:val="en-CA" w:eastAsia="en-US"/>
              </w:rPr>
              <w:t>3.03</w:t>
            </w:r>
          </w:p>
        </w:tc>
      </w:tr>
    </w:tbl>
    <w:p w14:paraId="4C71FC3E" w14:textId="77777777" w:rsidR="0003060E" w:rsidRDefault="0003060E" w:rsidP="006B12B8">
      <w:pPr>
        <w:rPr>
          <w:b/>
          <w:sz w:val="20"/>
          <w:szCs w:val="20"/>
        </w:rPr>
      </w:pPr>
    </w:p>
    <w:p w14:paraId="32390DC7" w14:textId="51D24908" w:rsidR="0003060E" w:rsidRDefault="0003060E" w:rsidP="006B12B8">
      <w:pPr>
        <w:rPr>
          <w:b/>
          <w:sz w:val="20"/>
          <w:szCs w:val="20"/>
        </w:rPr>
      </w:pPr>
    </w:p>
    <w:p w14:paraId="0B48AB86" w14:textId="77777777" w:rsidR="0003060E" w:rsidRDefault="0003060E" w:rsidP="006B12B8">
      <w:pPr>
        <w:rPr>
          <w:b/>
          <w:sz w:val="20"/>
          <w:szCs w:val="20"/>
        </w:rPr>
      </w:pPr>
    </w:p>
    <w:p w14:paraId="5ECB8A4E" w14:textId="317FD829" w:rsidR="006B12B8" w:rsidRPr="005C2520" w:rsidRDefault="006B12B8" w:rsidP="006B12B8">
      <w:pPr>
        <w:rPr>
          <w:sz w:val="20"/>
          <w:szCs w:val="20"/>
        </w:rPr>
      </w:pPr>
      <w:r w:rsidRPr="005C2520">
        <w:rPr>
          <w:b/>
          <w:sz w:val="20"/>
          <w:szCs w:val="20"/>
        </w:rPr>
        <w:t>Figure S1</w:t>
      </w:r>
      <w:r w:rsidRPr="005C2520">
        <w:rPr>
          <w:sz w:val="20"/>
          <w:szCs w:val="20"/>
        </w:rPr>
        <w:t xml:space="preserve">. Relationships between N and P footprint metrics as </w:t>
      </w:r>
      <w:r w:rsidR="00293086">
        <w:rPr>
          <w:sz w:val="20"/>
          <w:szCs w:val="20"/>
        </w:rPr>
        <w:t>(</w:t>
      </w:r>
      <w:r w:rsidRPr="005C2520">
        <w:rPr>
          <w:sz w:val="20"/>
          <w:szCs w:val="20"/>
        </w:rPr>
        <w:t>A</w:t>
      </w:r>
      <w:r w:rsidR="00293086">
        <w:rPr>
          <w:sz w:val="20"/>
          <w:szCs w:val="20"/>
        </w:rPr>
        <w:t>)</w:t>
      </w:r>
      <w:r w:rsidRPr="005C2520">
        <w:rPr>
          <w:sz w:val="20"/>
          <w:szCs w:val="20"/>
        </w:rPr>
        <w:t xml:space="preserve"> </w:t>
      </w:r>
      <w:r w:rsidR="00293086">
        <w:rPr>
          <w:sz w:val="20"/>
          <w:szCs w:val="20"/>
        </w:rPr>
        <w:t>V</w:t>
      </w:r>
      <w:r w:rsidRPr="005C2520">
        <w:rPr>
          <w:sz w:val="20"/>
          <w:szCs w:val="20"/>
        </w:rPr>
        <w:t>irtual factors,</w:t>
      </w:r>
      <w:r w:rsidR="00293086">
        <w:rPr>
          <w:sz w:val="20"/>
          <w:szCs w:val="20"/>
        </w:rPr>
        <w:t xml:space="preserve"> (</w:t>
      </w:r>
      <w:r w:rsidRPr="005C2520">
        <w:rPr>
          <w:sz w:val="20"/>
          <w:szCs w:val="20"/>
        </w:rPr>
        <w:t>B</w:t>
      </w:r>
      <w:r w:rsidR="00293086">
        <w:rPr>
          <w:sz w:val="20"/>
          <w:szCs w:val="20"/>
        </w:rPr>
        <w:t>)</w:t>
      </w:r>
      <w:r w:rsidRPr="005C2520">
        <w:rPr>
          <w:sz w:val="20"/>
          <w:szCs w:val="20"/>
        </w:rPr>
        <w:t xml:space="preserve"> </w:t>
      </w:r>
      <w:r w:rsidR="00293086">
        <w:rPr>
          <w:sz w:val="20"/>
          <w:szCs w:val="20"/>
        </w:rPr>
        <w:t>L</w:t>
      </w:r>
      <w:r w:rsidRPr="005C2520">
        <w:rPr>
          <w:sz w:val="20"/>
          <w:szCs w:val="20"/>
        </w:rPr>
        <w:t xml:space="preserve">osses per weight of food, and </w:t>
      </w:r>
      <w:r w:rsidR="00293086">
        <w:rPr>
          <w:sz w:val="20"/>
          <w:szCs w:val="20"/>
        </w:rPr>
        <w:t>(</w:t>
      </w:r>
      <w:r w:rsidRPr="005C2520">
        <w:rPr>
          <w:sz w:val="20"/>
          <w:szCs w:val="20"/>
        </w:rPr>
        <w:t>C</w:t>
      </w:r>
      <w:r w:rsidR="00293086">
        <w:rPr>
          <w:sz w:val="20"/>
          <w:szCs w:val="20"/>
        </w:rPr>
        <w:t>)</w:t>
      </w:r>
      <w:r w:rsidRPr="005C2520">
        <w:rPr>
          <w:sz w:val="20"/>
          <w:szCs w:val="20"/>
        </w:rPr>
        <w:t xml:space="preserve"> </w:t>
      </w:r>
      <w:r w:rsidR="00293086">
        <w:rPr>
          <w:sz w:val="20"/>
          <w:szCs w:val="20"/>
        </w:rPr>
        <w:t>L</w:t>
      </w:r>
      <w:r w:rsidRPr="005C2520">
        <w:rPr>
          <w:sz w:val="20"/>
          <w:szCs w:val="20"/>
        </w:rPr>
        <w:t>osses per kilocalorie of food. The trends are obviously positive. Linear regressions in all three cases have high R2 values (A. 0.71, B. 0.98, C. 0.96) with p values below 0.001, but as the data are aggregated (in the case of B. and C.) and heteroscedastic, any such statistic should be treated as just an illustration.</w:t>
      </w:r>
    </w:p>
    <w:p w14:paraId="4185BB9C" w14:textId="77777777" w:rsidR="006B12B8" w:rsidRDefault="006B12B8" w:rsidP="006B12B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114300" distB="114300" distL="114300" distR="114300" wp14:anchorId="666D3D64" wp14:editId="07D90876">
            <wp:extent cx="5763260" cy="1917700"/>
            <wp:effectExtent l="0" t="0" r="0" b="0"/>
            <wp:docPr id="18" name="image7.png" descr="A screenshot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91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7B3161" w14:textId="77777777" w:rsidR="006B12B8" w:rsidRDefault="006B12B8" w:rsidP="006B12B8">
      <w:pPr>
        <w:rPr>
          <w:sz w:val="20"/>
          <w:szCs w:val="20"/>
        </w:rPr>
      </w:pPr>
    </w:p>
    <w:p w14:paraId="0B222AB0" w14:textId="77777777" w:rsidR="006B12B8" w:rsidRDefault="006B12B8" w:rsidP="006B12B8">
      <w:bookmarkStart w:id="0" w:name="_heading=h.30j0zll" w:colFirst="0" w:colLast="0"/>
      <w:bookmarkEnd w:id="0"/>
    </w:p>
    <w:p w14:paraId="38CC4A40" w14:textId="37277BD6" w:rsidR="006B12B8" w:rsidRPr="005C2520" w:rsidRDefault="006B12B8" w:rsidP="006B12B8">
      <w:pPr>
        <w:rPr>
          <w:sz w:val="20"/>
          <w:szCs w:val="20"/>
        </w:rPr>
      </w:pPr>
      <w:bookmarkStart w:id="1" w:name="_heading=h.1fob9te" w:colFirst="0" w:colLast="0"/>
      <w:bookmarkEnd w:id="1"/>
      <w:r w:rsidRPr="005C2520">
        <w:rPr>
          <w:b/>
          <w:sz w:val="20"/>
          <w:szCs w:val="20"/>
        </w:rPr>
        <w:t>Figure S2</w:t>
      </w:r>
      <w:r w:rsidRPr="005C2520">
        <w:rPr>
          <w:sz w:val="20"/>
          <w:szCs w:val="20"/>
        </w:rPr>
        <w:t xml:space="preserve">. Comparison of grams of N and P released to the environment per gram of food consumed for </w:t>
      </w:r>
      <w:r w:rsidR="002949E1">
        <w:rPr>
          <w:sz w:val="20"/>
          <w:szCs w:val="20"/>
        </w:rPr>
        <w:t>(</w:t>
      </w:r>
      <w:r w:rsidRPr="005C2520">
        <w:rPr>
          <w:sz w:val="20"/>
          <w:szCs w:val="20"/>
        </w:rPr>
        <w:t>A</w:t>
      </w:r>
      <w:r w:rsidR="002949E1">
        <w:rPr>
          <w:sz w:val="20"/>
          <w:szCs w:val="20"/>
        </w:rPr>
        <w:t>)</w:t>
      </w:r>
      <w:r w:rsidRPr="005C2520">
        <w:rPr>
          <w:sz w:val="20"/>
          <w:szCs w:val="20"/>
        </w:rPr>
        <w:t xml:space="preserve"> </w:t>
      </w:r>
      <w:r w:rsidR="002949E1">
        <w:rPr>
          <w:sz w:val="20"/>
          <w:szCs w:val="20"/>
        </w:rPr>
        <w:t>A</w:t>
      </w:r>
      <w:r w:rsidRPr="005C2520">
        <w:rPr>
          <w:sz w:val="20"/>
          <w:szCs w:val="20"/>
        </w:rPr>
        <w:t xml:space="preserve">nimal products and major food groups and </w:t>
      </w:r>
      <w:r w:rsidR="002949E1">
        <w:rPr>
          <w:sz w:val="20"/>
          <w:szCs w:val="20"/>
        </w:rPr>
        <w:t>(</w:t>
      </w:r>
      <w:r w:rsidRPr="005C2520">
        <w:rPr>
          <w:sz w:val="20"/>
          <w:szCs w:val="20"/>
        </w:rPr>
        <w:t>B</w:t>
      </w:r>
      <w:r w:rsidR="002949E1">
        <w:rPr>
          <w:sz w:val="20"/>
          <w:szCs w:val="20"/>
        </w:rPr>
        <w:t>)</w:t>
      </w:r>
      <w:r w:rsidRPr="005C2520">
        <w:rPr>
          <w:sz w:val="20"/>
          <w:szCs w:val="20"/>
        </w:rPr>
        <w:t xml:space="preserve"> </w:t>
      </w:r>
      <w:r w:rsidR="002949E1">
        <w:rPr>
          <w:sz w:val="20"/>
          <w:szCs w:val="20"/>
        </w:rPr>
        <w:t>N</w:t>
      </w:r>
      <w:r w:rsidRPr="005C2520">
        <w:rPr>
          <w:sz w:val="20"/>
          <w:szCs w:val="20"/>
        </w:rPr>
        <w:t>on-animal product food items that make up the categories presented in panel A. Panel A is the same data as presented in figure 4 and is presented here for scale (as per th</w:t>
      </w:r>
      <w:r w:rsidR="002949E1">
        <w:rPr>
          <w:sz w:val="20"/>
          <w:szCs w:val="20"/>
        </w:rPr>
        <w:t>e</w:t>
      </w:r>
      <w:r w:rsidRPr="005C2520">
        <w:rPr>
          <w:sz w:val="20"/>
          <w:szCs w:val="20"/>
        </w:rPr>
        <w:t xml:space="preserve"> dotted line) in relation to the values presented in panel B.</w:t>
      </w:r>
    </w:p>
    <w:p w14:paraId="49957E34" w14:textId="29C556FE" w:rsidR="006B12B8" w:rsidRDefault="006B12B8">
      <w:r>
        <w:rPr>
          <w:noProof/>
        </w:rPr>
        <w:drawing>
          <wp:inline distT="0" distB="0" distL="0" distR="0" wp14:anchorId="2C265642" wp14:editId="55C7EF14">
            <wp:extent cx="5756910" cy="2878455"/>
            <wp:effectExtent l="0" t="0" r="0" b="0"/>
            <wp:docPr id="20" name="image2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B12B8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2E37" w14:textId="77777777" w:rsidR="00754C6D" w:rsidRDefault="00754C6D">
      <w:r>
        <w:separator/>
      </w:r>
    </w:p>
  </w:endnote>
  <w:endnote w:type="continuationSeparator" w:id="0">
    <w:p w14:paraId="01553B43" w14:textId="77777777" w:rsidR="00754C6D" w:rsidRDefault="0075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A895" w14:textId="77777777" w:rsidR="00217597" w:rsidRDefault="006B1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FEF3F90" w14:textId="77777777" w:rsidR="00217597" w:rsidRDefault="00754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D678" w14:textId="77777777" w:rsidR="00217597" w:rsidRDefault="006B1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29</w:t>
    </w:r>
    <w:r>
      <w:rPr>
        <w:rFonts w:ascii="Calibri" w:eastAsia="Calibri" w:hAnsi="Calibri" w:cs="Calibri"/>
        <w:color w:val="000000"/>
      </w:rPr>
      <w:fldChar w:fldCharType="end"/>
    </w:r>
  </w:p>
  <w:p w14:paraId="37D98D4A" w14:textId="77777777" w:rsidR="00217597" w:rsidRDefault="00754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87A84" w14:textId="77777777" w:rsidR="00754C6D" w:rsidRDefault="00754C6D">
      <w:r>
        <w:separator/>
      </w:r>
    </w:p>
  </w:footnote>
  <w:footnote w:type="continuationSeparator" w:id="0">
    <w:p w14:paraId="71BFDFA1" w14:textId="77777777" w:rsidR="00754C6D" w:rsidRDefault="0075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B8"/>
    <w:rsid w:val="0003060E"/>
    <w:rsid w:val="000509DB"/>
    <w:rsid w:val="000C212D"/>
    <w:rsid w:val="00145E93"/>
    <w:rsid w:val="001964E0"/>
    <w:rsid w:val="00293086"/>
    <w:rsid w:val="002949E1"/>
    <w:rsid w:val="002E3B7E"/>
    <w:rsid w:val="005D3CFC"/>
    <w:rsid w:val="00626075"/>
    <w:rsid w:val="006B12B8"/>
    <w:rsid w:val="00754C6D"/>
    <w:rsid w:val="009D2E34"/>
    <w:rsid w:val="00A63AD3"/>
    <w:rsid w:val="00C376B7"/>
    <w:rsid w:val="00D27DAF"/>
    <w:rsid w:val="00DB66F5"/>
    <w:rsid w:val="00E87770"/>
    <w:rsid w:val="00F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E8AA"/>
  <w15:chartTrackingRefBased/>
  <w15:docId w15:val="{6655650E-6719-BC41-B8AB-5F3DD3C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B8"/>
    <w:rPr>
      <w:rFonts w:ascii="Times New Roman" w:eastAsia="Times New Roma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75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2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07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075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c.ifas.ufl.edu/economic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rec.ifas.ufl.edu/economic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9572A230E42478B3836DD9395E2D3" ma:contentTypeVersion="20" ma:contentTypeDescription="Create a new document." ma:contentTypeScope="" ma:versionID="f3f05b16e5bc499c20451afebd2305f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be89b46f-ef73-473f-9dde-3d9a0d26c5d3" xmlns:ns7="f9eadac6-72af-4733-bb11-bbb7b03e45a3" targetNamespace="http://schemas.microsoft.com/office/2006/metadata/properties" ma:root="true" ma:fieldsID="1c628c636f5fc8b96081da04b5e8532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e89b46f-ef73-473f-9dde-3d9a0d26c5d3"/>
    <xsd:import namespace="f9eadac6-72af-4733-bb11-bbb7b03e45a3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7:Records_x0020_Status" minOccurs="0"/>
                <xsd:element ref="ns7:Records_x0020_Date" minOccurs="0"/>
                <xsd:element ref="ns6:MediaServiceEventHashCode" minOccurs="0"/>
                <xsd:element ref="ns6:MediaServiceGenerationTime" minOccurs="0"/>
                <xsd:element ref="ns6:MediaServiceDateTaken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cd7bd42-5ae9-45d1-bc83-23df7209fb84}" ma:internalName="TaxCatchAllLabel" ma:readOnly="true" ma:showField="CatchAllDataLabel" ma:web="f9eadac6-72af-4733-bb11-bbb7b03e4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cd7bd42-5ae9-45d1-bc83-23df7209fb84}" ma:internalName="TaxCatchAll" ma:showField="CatchAllData" ma:web="f9eadac6-72af-4733-bb11-bbb7b03e4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9b46f-ef73-473f-9dde-3d9a0d26c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adac6-72af-4733-bb11-bbb7b03e45a3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32" nillable="true" ma:displayName="Records Status" ma:default="Pending" ma:internalName="Records_x0020_Status">
      <xsd:simpleType>
        <xsd:restriction base="dms:Text"/>
      </xsd:simpleType>
    </xsd:element>
    <xsd:element name="Records_x0020_Date" ma:index="33" nillable="true" ma:displayName="Records Date" ma:hidden="true" ma:internalName="Records_x0020_Dat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f9eadac6-72af-4733-bb11-bbb7b03e45a3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2020-04-09T20:39:43+00:00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f9eadac6-72af-4733-bb11-bbb7b03e45a3">Pending</Records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38FF9217-311E-41A7-895C-C09F21A0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e89b46f-ef73-473f-9dde-3d9a0d26c5d3"/>
    <ds:schemaRef ds:uri="f9eadac6-72af-4733-bb11-bbb7b03e4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229D3-5D26-4F35-BDBB-E070152E47C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f9eadac6-72af-4733-bb11-bbb7b03e45a3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8848897-EAE1-4928-9244-F7801750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F95B3-194D-4531-9667-902B386A247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Metson</dc:creator>
  <cp:keywords/>
  <dc:description/>
  <cp:lastModifiedBy>Genevieve Metson</cp:lastModifiedBy>
  <cp:revision>3</cp:revision>
  <dcterms:created xsi:type="dcterms:W3CDTF">2020-04-13T09:10:00Z</dcterms:created>
  <dcterms:modified xsi:type="dcterms:W3CDTF">2020-04-13T09:10:00Z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0x0101008F09572A230E42478B3836DD9395E2D3</vt:lpwstr>
  </property>
</Properties>
</file>