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762A" w14:textId="4102D7BB" w:rsidR="000607D7" w:rsidRPr="00BF25FC" w:rsidRDefault="000607D7" w:rsidP="00BF25FC">
      <w:pPr>
        <w:spacing w:line="480" w:lineRule="auto"/>
        <w:rPr>
          <w:b/>
          <w:bCs/>
        </w:rPr>
      </w:pPr>
      <w:bookmarkStart w:id="0" w:name="_GoBack"/>
      <w:bookmarkEnd w:id="0"/>
      <w:r w:rsidRPr="00BF25FC">
        <w:rPr>
          <w:b/>
          <w:bCs/>
        </w:rPr>
        <w:t xml:space="preserve">Rapid Viability Polymerase Chain Reaction Method for Detection of </w:t>
      </w:r>
      <w:r w:rsidRPr="00BF25FC">
        <w:rPr>
          <w:b/>
          <w:bCs/>
          <w:i/>
        </w:rPr>
        <w:t>Francisella tularensis</w:t>
      </w:r>
      <w:r w:rsidRPr="00BF25FC">
        <w:rPr>
          <w:b/>
          <w:bCs/>
        </w:rPr>
        <w:t xml:space="preserve"> </w:t>
      </w:r>
    </w:p>
    <w:p w14:paraId="1902286C" w14:textId="02D56B63" w:rsidR="00EC6C12" w:rsidRPr="00BF25FC" w:rsidRDefault="00EC6C12">
      <w:pPr>
        <w:rPr>
          <w:bCs/>
        </w:rPr>
      </w:pPr>
    </w:p>
    <w:p w14:paraId="214DC195" w14:textId="77777777" w:rsidR="00886B99" w:rsidRPr="003248C9" w:rsidRDefault="00886B99" w:rsidP="005B42AE">
      <w:pPr>
        <w:spacing w:line="480" w:lineRule="auto"/>
        <w:contextualSpacing/>
      </w:pPr>
      <w:r w:rsidRPr="00662C57">
        <w:t xml:space="preserve">Staci R. </w:t>
      </w:r>
      <w:proofErr w:type="spellStart"/>
      <w:r w:rsidRPr="00662C57">
        <w:t>Kane,</w:t>
      </w:r>
      <w:r w:rsidRPr="007776E8">
        <w:rPr>
          <w:vertAlign w:val="superscript"/>
        </w:rPr>
        <w:t>a</w:t>
      </w:r>
      <w:proofErr w:type="spellEnd"/>
      <w:r w:rsidRPr="007776E8">
        <w:t xml:space="preserve"> Sanjiv R. </w:t>
      </w:r>
      <w:proofErr w:type="spellStart"/>
      <w:r w:rsidRPr="007776E8">
        <w:t>Shah,</w:t>
      </w:r>
      <w:r w:rsidRPr="007776E8">
        <w:rPr>
          <w:vertAlign w:val="superscript"/>
        </w:rPr>
        <w:t>b</w:t>
      </w:r>
      <w:proofErr w:type="spellEnd"/>
      <w:r w:rsidRPr="007776E8">
        <w:t xml:space="preserve"># and Teneile M. </w:t>
      </w:r>
      <w:proofErr w:type="spellStart"/>
      <w:r w:rsidRPr="007776E8">
        <w:t>Alfaro</w:t>
      </w:r>
      <w:r w:rsidRPr="007776E8">
        <w:rPr>
          <w:vertAlign w:val="superscript"/>
        </w:rPr>
        <w:t>a</w:t>
      </w:r>
      <w:proofErr w:type="spellEnd"/>
      <w:r w:rsidRPr="003248C9" w:rsidDel="00122147">
        <w:rPr>
          <w:vertAlign w:val="superscript"/>
        </w:rPr>
        <w:t xml:space="preserve"> </w:t>
      </w:r>
      <w:r w:rsidRPr="003248C9">
        <w:t xml:space="preserve"> </w:t>
      </w:r>
    </w:p>
    <w:p w14:paraId="3F082FD8" w14:textId="77777777" w:rsidR="00886B99" w:rsidRPr="003248C9" w:rsidRDefault="00886B99" w:rsidP="005B42AE">
      <w:pPr>
        <w:spacing w:line="480" w:lineRule="auto"/>
        <w:contextualSpacing/>
      </w:pPr>
    </w:p>
    <w:p w14:paraId="38204C95" w14:textId="77777777" w:rsidR="00886B99" w:rsidRPr="003248C9" w:rsidRDefault="00886B99" w:rsidP="005B42AE">
      <w:pPr>
        <w:spacing w:line="480" w:lineRule="auto"/>
        <w:contextualSpacing/>
      </w:pPr>
      <w:proofErr w:type="spellStart"/>
      <w:r w:rsidRPr="003248C9">
        <w:rPr>
          <w:vertAlign w:val="superscript"/>
        </w:rPr>
        <w:t>a</w:t>
      </w:r>
      <w:r w:rsidRPr="003248C9">
        <w:t>Lawrence</w:t>
      </w:r>
      <w:proofErr w:type="spellEnd"/>
      <w:r w:rsidRPr="003248C9">
        <w:t xml:space="preserve"> Livermore National Laboratory, Livermore, California, USA </w:t>
      </w:r>
    </w:p>
    <w:p w14:paraId="4A26C52C" w14:textId="77777777" w:rsidR="00886B99" w:rsidRPr="003248C9" w:rsidRDefault="00886B99" w:rsidP="005B42AE">
      <w:pPr>
        <w:spacing w:line="480" w:lineRule="auto"/>
        <w:contextualSpacing/>
      </w:pPr>
      <w:proofErr w:type="spellStart"/>
      <w:r w:rsidRPr="003248C9">
        <w:rPr>
          <w:vertAlign w:val="superscript"/>
        </w:rPr>
        <w:t>b</w:t>
      </w:r>
      <w:r w:rsidRPr="003248C9">
        <w:t>National</w:t>
      </w:r>
      <w:proofErr w:type="spellEnd"/>
      <w:r w:rsidRPr="003248C9">
        <w:t xml:space="preserve"> Homeland Security Research Center, Office of Research and Development, U.S. Environmental Protection Agency, Washington, District of Columbia, USA</w:t>
      </w:r>
    </w:p>
    <w:p w14:paraId="508578A0" w14:textId="24965597" w:rsidR="00EC6C12" w:rsidRDefault="00EC6C12" w:rsidP="00886B99">
      <w:pPr>
        <w:spacing w:line="480" w:lineRule="auto"/>
        <w:rPr>
          <w:bCs/>
        </w:rPr>
      </w:pPr>
    </w:p>
    <w:p w14:paraId="5DF98EC9" w14:textId="77777777" w:rsidR="00886B99" w:rsidRPr="003248C9" w:rsidRDefault="00886B99" w:rsidP="005B42AE">
      <w:pPr>
        <w:spacing w:line="480" w:lineRule="auto"/>
        <w:rPr>
          <w:b/>
        </w:rPr>
      </w:pPr>
    </w:p>
    <w:p w14:paraId="49E79F58" w14:textId="3D4CB35B" w:rsidR="00886B99" w:rsidRPr="003248C9" w:rsidRDefault="00886B99" w:rsidP="005B42AE">
      <w:pPr>
        <w:spacing w:line="480" w:lineRule="auto"/>
        <w:rPr>
          <w:i/>
        </w:rPr>
      </w:pPr>
      <w:r w:rsidRPr="003248C9">
        <w:t xml:space="preserve">Running Head: Rapid Viability PCR Method for </w:t>
      </w:r>
      <w:r w:rsidR="00A00DCD">
        <w:rPr>
          <w:i/>
        </w:rPr>
        <w:t>Francisella tularensis</w:t>
      </w:r>
    </w:p>
    <w:p w14:paraId="55D8C324" w14:textId="77777777" w:rsidR="00886B99" w:rsidRPr="003248C9" w:rsidRDefault="00886B99" w:rsidP="005B42AE">
      <w:pPr>
        <w:spacing w:line="480" w:lineRule="auto"/>
      </w:pPr>
    </w:p>
    <w:p w14:paraId="77C3238D" w14:textId="77777777" w:rsidR="00886B99" w:rsidRPr="003248C9" w:rsidRDefault="00886B99" w:rsidP="005B42AE">
      <w:pPr>
        <w:spacing w:line="480" w:lineRule="auto"/>
        <w:rPr>
          <w:b/>
        </w:rPr>
      </w:pPr>
      <w:r w:rsidRPr="003248C9">
        <w:rPr>
          <w:b/>
        </w:rPr>
        <w:t>Declarations of interest: none</w:t>
      </w:r>
    </w:p>
    <w:p w14:paraId="1437D282" w14:textId="77777777" w:rsidR="00886B99" w:rsidRPr="003248C9" w:rsidRDefault="00886B99" w:rsidP="005B42AE">
      <w:pPr>
        <w:spacing w:line="480" w:lineRule="auto"/>
      </w:pPr>
    </w:p>
    <w:p w14:paraId="3C93897D" w14:textId="77777777" w:rsidR="00886B99" w:rsidRPr="003248C9" w:rsidRDefault="00886B99" w:rsidP="005B42AE">
      <w:pPr>
        <w:spacing w:line="480" w:lineRule="auto"/>
      </w:pPr>
      <w:r w:rsidRPr="003248C9">
        <w:t xml:space="preserve">#Address correspondence to Sanjiv R. Shah, shah.sanjiv@epa.gov. </w:t>
      </w:r>
    </w:p>
    <w:p w14:paraId="030E4619" w14:textId="77777777" w:rsidR="00886B99" w:rsidRPr="003248C9" w:rsidRDefault="00886B99" w:rsidP="005B42AE">
      <w:pPr>
        <w:spacing w:line="480" w:lineRule="auto"/>
      </w:pPr>
      <w:r w:rsidRPr="003248C9">
        <w:t xml:space="preserve">1200 Pennsylvania Ave, NW, 8801R, </w:t>
      </w:r>
    </w:p>
    <w:p w14:paraId="55A3DDB6" w14:textId="77777777" w:rsidR="00886B99" w:rsidRPr="003248C9" w:rsidRDefault="00886B99" w:rsidP="005B42AE">
      <w:pPr>
        <w:spacing w:line="480" w:lineRule="auto"/>
      </w:pPr>
      <w:r w:rsidRPr="003248C9">
        <w:t>US Environmental Protection Agency, National Homeland Security Research Center, Washington, DC, 20460, USA</w:t>
      </w:r>
    </w:p>
    <w:p w14:paraId="365E3794" w14:textId="77777777" w:rsidR="00886B99" w:rsidRPr="00BF25FC" w:rsidRDefault="00886B99" w:rsidP="005B42AE">
      <w:pPr>
        <w:spacing w:line="480" w:lineRule="auto"/>
        <w:rPr>
          <w:bCs/>
        </w:rPr>
      </w:pPr>
    </w:p>
    <w:p w14:paraId="396769FC" w14:textId="77777777" w:rsidR="00EC6C12" w:rsidRPr="00BF25FC" w:rsidRDefault="00EC6C12">
      <w:pPr>
        <w:rPr>
          <w:bCs/>
        </w:rPr>
      </w:pPr>
    </w:p>
    <w:p w14:paraId="76415ACE" w14:textId="77777777" w:rsidR="00886B99" w:rsidRDefault="00886B99" w:rsidP="00BF25FC">
      <w:pPr>
        <w:spacing w:line="480" w:lineRule="auto"/>
      </w:pPr>
    </w:p>
    <w:p w14:paraId="381FA951" w14:textId="77777777" w:rsidR="00886B99" w:rsidRDefault="00886B99" w:rsidP="00BF25FC">
      <w:pPr>
        <w:spacing w:line="480" w:lineRule="auto"/>
      </w:pPr>
    </w:p>
    <w:p w14:paraId="2F65475E" w14:textId="77777777" w:rsidR="00886B99" w:rsidRDefault="00886B99" w:rsidP="00BF25FC">
      <w:pPr>
        <w:spacing w:line="480" w:lineRule="auto"/>
      </w:pPr>
    </w:p>
    <w:p w14:paraId="15D22158" w14:textId="77777777" w:rsidR="004B1B97" w:rsidRDefault="004B1B97">
      <w:pPr>
        <w:rPr>
          <w:b/>
        </w:rPr>
      </w:pPr>
      <w:r>
        <w:rPr>
          <w:b/>
        </w:rPr>
        <w:br w:type="page"/>
      </w:r>
    </w:p>
    <w:p w14:paraId="31BCB22D" w14:textId="641F0A11" w:rsidR="0008449C" w:rsidRPr="007E46C0" w:rsidRDefault="00F8432A" w:rsidP="00BF25FC">
      <w:pPr>
        <w:spacing w:line="480" w:lineRule="auto"/>
        <w:rPr>
          <w:b/>
        </w:rPr>
      </w:pPr>
      <w:r w:rsidRPr="007E46C0">
        <w:rPr>
          <w:b/>
        </w:rPr>
        <w:lastRenderedPageBreak/>
        <w:t>Abstract</w:t>
      </w:r>
    </w:p>
    <w:p w14:paraId="020F573D" w14:textId="76C19530" w:rsidR="00F8432A" w:rsidRPr="00BF25FC" w:rsidRDefault="004D16FD" w:rsidP="00BF25FC">
      <w:pPr>
        <w:spacing w:line="480" w:lineRule="auto"/>
      </w:pPr>
      <w:r w:rsidRPr="002B106A">
        <w:rPr>
          <w:i/>
        </w:rPr>
        <w:t xml:space="preserve">Francisella tularensis, </w:t>
      </w:r>
      <w:r w:rsidR="004B1B97" w:rsidRPr="002B106A">
        <w:t>which causes</w:t>
      </w:r>
      <w:r w:rsidRPr="002B106A">
        <w:t xml:space="preserve"> potentially fatal tularemia,</w:t>
      </w:r>
      <w:r w:rsidR="00705866" w:rsidRPr="002B106A">
        <w:t xml:space="preserve"> </w:t>
      </w:r>
      <w:r w:rsidR="004B1B97" w:rsidRPr="002B106A">
        <w:t>has been considered an attractive agent of bioterrorism and biological warfare due to</w:t>
      </w:r>
      <w:r w:rsidR="00705866" w:rsidRPr="002B106A">
        <w:t xml:space="preserve"> </w:t>
      </w:r>
      <w:r w:rsidRPr="002B106A">
        <w:t>its</w:t>
      </w:r>
      <w:r w:rsidR="00705866" w:rsidRPr="002B106A">
        <w:t xml:space="preserve"> </w:t>
      </w:r>
      <w:r w:rsidR="004B1B97" w:rsidRPr="002B106A">
        <w:t>low infectious dose</w:t>
      </w:r>
      <w:r w:rsidR="00577F75" w:rsidRPr="002B106A">
        <w:t>, reported environmental persistence,</w:t>
      </w:r>
      <w:r w:rsidR="004B1B97" w:rsidRPr="002B106A">
        <w:t xml:space="preserve"> and </w:t>
      </w:r>
      <w:r w:rsidR="00705866" w:rsidRPr="002B106A">
        <w:t>ability to be transmitted to</w:t>
      </w:r>
      <w:r w:rsidRPr="002B106A">
        <w:t xml:space="preserve"> </w:t>
      </w:r>
      <w:r w:rsidR="00705866" w:rsidRPr="002B106A">
        <w:t xml:space="preserve">humans via multiple </w:t>
      </w:r>
      <w:r w:rsidR="009C4BE7">
        <w:t xml:space="preserve">exposure </w:t>
      </w:r>
      <w:r w:rsidR="00705866" w:rsidRPr="002B106A">
        <w:t>routes</w:t>
      </w:r>
      <w:r w:rsidR="0080750E" w:rsidRPr="002B106A">
        <w:t xml:space="preserve">. </w:t>
      </w:r>
      <w:r w:rsidR="00064AD6" w:rsidRPr="002B106A">
        <w:t xml:space="preserve">Due to slow growth </w:t>
      </w:r>
      <w:r w:rsidR="00C86E7E" w:rsidRPr="002B106A">
        <w:t xml:space="preserve">on even selective culture media, detection of viable </w:t>
      </w:r>
      <w:r w:rsidR="00C86E7E" w:rsidRPr="002B106A">
        <w:rPr>
          <w:i/>
        </w:rPr>
        <w:t xml:space="preserve">F. tularensis </w:t>
      </w:r>
      <w:r w:rsidR="00C86E7E" w:rsidRPr="002B106A">
        <w:t xml:space="preserve">from environmental and </w:t>
      </w:r>
      <w:r w:rsidR="00C165CE">
        <w:t xml:space="preserve">drinking </w:t>
      </w:r>
      <w:r w:rsidR="00C86E7E" w:rsidRPr="002B106A">
        <w:t>water samples</w:t>
      </w:r>
      <w:r w:rsidR="00C86E7E" w:rsidRPr="00FE6170">
        <w:t xml:space="preserve">, </w:t>
      </w:r>
      <w:r w:rsidR="00C86E7E" w:rsidRPr="002B106A">
        <w:t xml:space="preserve">usually takes </w:t>
      </w:r>
      <w:r w:rsidR="005E74CA" w:rsidRPr="002B106A">
        <w:t>more than 3</w:t>
      </w:r>
      <w:r w:rsidR="00C86E7E" w:rsidRPr="002B106A">
        <w:t xml:space="preserve"> </w:t>
      </w:r>
      <w:r w:rsidR="005E74CA" w:rsidRPr="002B106A">
        <w:t>days</w:t>
      </w:r>
      <w:r w:rsidR="00C86E7E" w:rsidRPr="00FE6170">
        <w:t xml:space="preserve">. </w:t>
      </w:r>
      <w:r w:rsidR="00C86E7E" w:rsidRPr="002B106A">
        <w:t xml:space="preserve">Therefore, a </w:t>
      </w:r>
      <w:r w:rsidR="00F8432A" w:rsidRPr="002B106A">
        <w:t xml:space="preserve">rapid viability polymerase chain reaction (RV-PCR) method was developed </w:t>
      </w:r>
      <w:r w:rsidR="00E55749" w:rsidRPr="002B106A">
        <w:t xml:space="preserve">to </w:t>
      </w:r>
      <w:r w:rsidR="00F8432A" w:rsidRPr="002B106A">
        <w:t xml:space="preserve">detect </w:t>
      </w:r>
      <w:r w:rsidR="00E55749" w:rsidRPr="002B106A">
        <w:t xml:space="preserve">and identify </w:t>
      </w:r>
      <w:r w:rsidR="00F8432A" w:rsidRPr="002B106A">
        <w:t xml:space="preserve">viable </w:t>
      </w:r>
      <w:r w:rsidR="00F8432A" w:rsidRPr="002B106A">
        <w:rPr>
          <w:i/>
          <w:iCs/>
        </w:rPr>
        <w:t>F. tularensis</w:t>
      </w:r>
      <w:r w:rsidR="00F8432A" w:rsidRPr="002B106A">
        <w:t xml:space="preserve"> cells</w:t>
      </w:r>
      <w:r w:rsidR="00C66ED1">
        <w:t xml:space="preserve"> in environmental samples</w:t>
      </w:r>
      <w:r w:rsidR="00E55749" w:rsidRPr="002B106A">
        <w:t>.</w:t>
      </w:r>
      <w:r w:rsidR="00F8432A" w:rsidRPr="002B106A">
        <w:t xml:space="preserve"> The method </w:t>
      </w:r>
      <w:r w:rsidR="0037042B" w:rsidRPr="002B106A">
        <w:t xml:space="preserve">uses a change in PCR response during high throughput </w:t>
      </w:r>
      <w:r w:rsidR="00DB3266" w:rsidRPr="002B106A">
        <w:t xml:space="preserve">(48-well) </w:t>
      </w:r>
      <w:r w:rsidR="0037042B" w:rsidRPr="002B106A">
        <w:t xml:space="preserve">sample incubation </w:t>
      </w:r>
      <w:r w:rsidR="00AD6168" w:rsidRPr="002B106A">
        <w:t xml:space="preserve">in </w:t>
      </w:r>
      <w:r w:rsidR="00AD6168" w:rsidRPr="002B106A">
        <w:rPr>
          <w:lang w:val="pt-BR"/>
        </w:rPr>
        <w:t>Brain Heart Infusion/</w:t>
      </w:r>
      <w:r w:rsidR="00AD6168" w:rsidRPr="002B106A">
        <w:t xml:space="preserve">Vitox/Fildes/Histidine growth medium </w:t>
      </w:r>
      <w:r w:rsidR="0037042B" w:rsidRPr="002B106A">
        <w:t xml:space="preserve">to detect viable </w:t>
      </w:r>
      <w:r w:rsidR="0037042B" w:rsidRPr="002B106A">
        <w:rPr>
          <w:i/>
          <w:iCs/>
        </w:rPr>
        <w:t>F. tularensis</w:t>
      </w:r>
      <w:r w:rsidR="0037042B" w:rsidRPr="002B106A">
        <w:t xml:space="preserve"> presence</w:t>
      </w:r>
      <w:r w:rsidR="00DB3266" w:rsidRPr="002B106A">
        <w:t>,</w:t>
      </w:r>
      <w:r w:rsidR="0037042B" w:rsidRPr="002B106A">
        <w:t xml:space="preserve"> </w:t>
      </w:r>
      <w:r w:rsidR="00577F75" w:rsidRPr="002B106A">
        <w:t xml:space="preserve">which is </w:t>
      </w:r>
      <w:r w:rsidR="00887091" w:rsidRPr="002B106A">
        <w:t xml:space="preserve">2-3 times </w:t>
      </w:r>
      <w:r w:rsidR="001438FE" w:rsidRPr="002B106A">
        <w:t>faster</w:t>
      </w:r>
      <w:r w:rsidR="0037042B" w:rsidRPr="002B106A">
        <w:t xml:space="preserve"> than</w:t>
      </w:r>
      <w:r w:rsidR="00F8432A" w:rsidRPr="002B106A">
        <w:t xml:space="preserve"> the current plate culture-based method</w:t>
      </w:r>
      <w:r w:rsidR="00C600C2" w:rsidRPr="002B106A">
        <w:t>.</w:t>
      </w:r>
      <w:r w:rsidR="00577F75" w:rsidRPr="002B106A">
        <w:t xml:space="preserve"> Using the method, &lt;</w:t>
      </w:r>
      <w:r w:rsidR="00EC3627" w:rsidRPr="002B106A">
        <w:t xml:space="preserve"> </w:t>
      </w:r>
      <w:r w:rsidR="00DB3266" w:rsidRPr="002B106A">
        <w:t>10</w:t>
      </w:r>
      <w:r w:rsidR="00DB3266" w:rsidRPr="002B106A">
        <w:rPr>
          <w:vertAlign w:val="superscript"/>
        </w:rPr>
        <w:t>2</w:t>
      </w:r>
      <w:r w:rsidR="00DB3266" w:rsidRPr="002B106A">
        <w:t xml:space="preserve"> live </w:t>
      </w:r>
      <w:r w:rsidR="00DB3266" w:rsidRPr="002B106A">
        <w:rPr>
          <w:i/>
          <w:iCs/>
        </w:rPr>
        <w:t>F. tularensis</w:t>
      </w:r>
      <w:r w:rsidR="00DB3266" w:rsidRPr="002B106A">
        <w:t xml:space="preserve"> cells </w:t>
      </w:r>
      <w:r w:rsidR="001438FE" w:rsidRPr="002B106A">
        <w:t>were detected</w:t>
      </w:r>
      <w:r w:rsidR="00DB3266" w:rsidRPr="002B106A">
        <w:t xml:space="preserve"> </w:t>
      </w:r>
      <w:r w:rsidR="00E55749" w:rsidRPr="002B106A">
        <w:t xml:space="preserve">in </w:t>
      </w:r>
      <w:r w:rsidR="00EC3627" w:rsidRPr="002B106A">
        <w:t>complex sample</w:t>
      </w:r>
      <w:r w:rsidR="00E55749" w:rsidRPr="002B106A">
        <w:t xml:space="preserve"> matri</w:t>
      </w:r>
      <w:r w:rsidR="00AD6168" w:rsidRPr="002B106A">
        <w:t>ces</w:t>
      </w:r>
      <w:r w:rsidR="00EC3627" w:rsidRPr="002B106A">
        <w:t xml:space="preserve"> containing chemical and biological interferences</w:t>
      </w:r>
      <w:r w:rsidR="00C2021B" w:rsidRPr="002B106A">
        <w:t>.</w:t>
      </w:r>
      <w:r w:rsidR="00C2021B" w:rsidRPr="00BF25FC">
        <w:t xml:space="preserve">  </w:t>
      </w:r>
    </w:p>
    <w:p w14:paraId="17ADFA98" w14:textId="77777777" w:rsidR="003547A1" w:rsidRDefault="003547A1" w:rsidP="00EB6815">
      <w:pPr>
        <w:rPr>
          <w:b/>
        </w:rPr>
      </w:pPr>
    </w:p>
    <w:p w14:paraId="2F8A5948" w14:textId="0B5BE04B" w:rsidR="00EB6815" w:rsidRDefault="00EB6815" w:rsidP="00EB6815">
      <w:pPr>
        <w:rPr>
          <w:b/>
        </w:rPr>
      </w:pPr>
      <w:r w:rsidRPr="00E539C4">
        <w:rPr>
          <w:b/>
        </w:rPr>
        <w:t>Highlights</w:t>
      </w:r>
    </w:p>
    <w:p w14:paraId="5EB8645A" w14:textId="62EEB8FE" w:rsidR="00EB6815" w:rsidRDefault="00EB6815" w:rsidP="00EB6815">
      <w:pPr>
        <w:rPr>
          <w:b/>
        </w:rPr>
      </w:pPr>
    </w:p>
    <w:p w14:paraId="698FFDA3" w14:textId="38C75E26" w:rsidR="00EB6815" w:rsidRPr="007E46C0" w:rsidRDefault="00EB6815" w:rsidP="00EB6815">
      <w:pPr>
        <w:pStyle w:val="ListParagraph"/>
        <w:numPr>
          <w:ilvl w:val="0"/>
          <w:numId w:val="1"/>
        </w:numPr>
        <w:jc w:val="both"/>
        <w:rPr>
          <w:rFonts w:ascii="Times New Roman" w:hAnsi="Times New Roman" w:cs="Times New Roman"/>
          <w:sz w:val="24"/>
          <w:szCs w:val="24"/>
        </w:rPr>
      </w:pPr>
      <w:r w:rsidRPr="007E46C0">
        <w:rPr>
          <w:rFonts w:ascii="Times New Roman" w:hAnsi="Times New Roman" w:cs="Times New Roman"/>
          <w:sz w:val="24"/>
          <w:szCs w:val="24"/>
        </w:rPr>
        <w:t xml:space="preserve">Rapid detection of viable </w:t>
      </w:r>
      <w:r w:rsidRPr="007E46C0">
        <w:rPr>
          <w:rFonts w:ascii="Times New Roman" w:hAnsi="Times New Roman" w:cs="Times New Roman"/>
          <w:i/>
          <w:sz w:val="24"/>
          <w:szCs w:val="24"/>
        </w:rPr>
        <w:t xml:space="preserve">F. tularensis </w:t>
      </w:r>
      <w:r w:rsidRPr="007E46C0">
        <w:rPr>
          <w:rFonts w:ascii="Times New Roman" w:hAnsi="Times New Roman" w:cs="Times New Roman"/>
          <w:sz w:val="24"/>
          <w:szCs w:val="24"/>
        </w:rPr>
        <w:t xml:space="preserve">is critical during a high-consequence </w:t>
      </w:r>
      <w:r w:rsidR="00050E45" w:rsidRPr="007E46C0">
        <w:rPr>
          <w:rFonts w:ascii="Times New Roman" w:hAnsi="Times New Roman" w:cs="Times New Roman"/>
          <w:sz w:val="24"/>
          <w:szCs w:val="24"/>
        </w:rPr>
        <w:t>tularemia</w:t>
      </w:r>
      <w:r w:rsidRPr="007E46C0">
        <w:rPr>
          <w:rFonts w:ascii="Times New Roman" w:hAnsi="Times New Roman" w:cs="Times New Roman"/>
          <w:sz w:val="24"/>
          <w:szCs w:val="24"/>
        </w:rPr>
        <w:t xml:space="preserve"> incident.</w:t>
      </w:r>
    </w:p>
    <w:p w14:paraId="5402584A" w14:textId="5373AC2C" w:rsidR="00EB6815" w:rsidRPr="007E46C0" w:rsidRDefault="00EB6815" w:rsidP="00EB6815">
      <w:pPr>
        <w:pStyle w:val="ListParagraph"/>
        <w:numPr>
          <w:ilvl w:val="0"/>
          <w:numId w:val="1"/>
        </w:numPr>
        <w:jc w:val="both"/>
        <w:rPr>
          <w:rFonts w:ascii="Times New Roman" w:hAnsi="Times New Roman" w:cs="Times New Roman"/>
          <w:sz w:val="24"/>
          <w:szCs w:val="24"/>
        </w:rPr>
      </w:pPr>
      <w:r w:rsidRPr="007E46C0">
        <w:rPr>
          <w:rFonts w:ascii="Times New Roman" w:hAnsi="Times New Roman" w:cs="Times New Roman"/>
          <w:sz w:val="24"/>
          <w:szCs w:val="24"/>
        </w:rPr>
        <w:t xml:space="preserve">Pre- and post-enrichment differential PCR analysis-based method provides more timely results than </w:t>
      </w:r>
      <w:r w:rsidR="003A48AB">
        <w:rPr>
          <w:rFonts w:ascii="Times New Roman" w:hAnsi="Times New Roman" w:cs="Times New Roman"/>
          <w:sz w:val="24"/>
          <w:szCs w:val="24"/>
        </w:rPr>
        <w:t>current</w:t>
      </w:r>
      <w:r w:rsidRPr="007E46C0">
        <w:rPr>
          <w:rFonts w:ascii="Times New Roman" w:hAnsi="Times New Roman" w:cs="Times New Roman"/>
          <w:sz w:val="24"/>
          <w:szCs w:val="24"/>
        </w:rPr>
        <w:t xml:space="preserve"> culture-based method</w:t>
      </w:r>
      <w:r w:rsidR="003A48AB">
        <w:rPr>
          <w:rFonts w:ascii="Times New Roman" w:hAnsi="Times New Roman" w:cs="Times New Roman"/>
          <w:sz w:val="24"/>
          <w:szCs w:val="24"/>
        </w:rPr>
        <w:t>s</w:t>
      </w:r>
      <w:r w:rsidRPr="007E46C0">
        <w:rPr>
          <w:rFonts w:ascii="Times New Roman" w:hAnsi="Times New Roman" w:cs="Times New Roman"/>
          <w:sz w:val="24"/>
          <w:szCs w:val="24"/>
        </w:rPr>
        <w:t xml:space="preserve">. </w:t>
      </w:r>
    </w:p>
    <w:p w14:paraId="7901F54E" w14:textId="13E98297" w:rsidR="00EB6815" w:rsidRPr="007E46C0" w:rsidRDefault="008D2D3E" w:rsidP="00EB681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00F741E1">
        <w:rPr>
          <w:rFonts w:ascii="Times New Roman" w:hAnsi="Times New Roman" w:cs="Times New Roman"/>
          <w:sz w:val="24"/>
          <w:szCs w:val="24"/>
        </w:rPr>
        <w:t xml:space="preserve">RV-PCR </w:t>
      </w:r>
      <w:r>
        <w:rPr>
          <w:rFonts w:ascii="Times New Roman" w:hAnsi="Times New Roman" w:cs="Times New Roman"/>
          <w:sz w:val="24"/>
          <w:szCs w:val="24"/>
        </w:rPr>
        <w:t>method features h</w:t>
      </w:r>
      <w:r w:rsidR="00EB6815" w:rsidRPr="007E46C0">
        <w:rPr>
          <w:rFonts w:ascii="Times New Roman" w:hAnsi="Times New Roman" w:cs="Times New Roman"/>
          <w:sz w:val="24"/>
          <w:szCs w:val="24"/>
        </w:rPr>
        <w:t xml:space="preserve">igh-throughput 48-well </w:t>
      </w:r>
      <w:r>
        <w:rPr>
          <w:rFonts w:ascii="Times New Roman" w:hAnsi="Times New Roman" w:cs="Times New Roman"/>
          <w:sz w:val="24"/>
          <w:szCs w:val="24"/>
        </w:rPr>
        <w:t>sample processing</w:t>
      </w:r>
      <w:r w:rsidR="00EB6815" w:rsidRPr="007E46C0">
        <w:rPr>
          <w:rFonts w:ascii="Times New Roman" w:hAnsi="Times New Roman" w:cs="Times New Roman"/>
          <w:sz w:val="24"/>
          <w:szCs w:val="24"/>
        </w:rPr>
        <w:t xml:space="preserve">, </w:t>
      </w:r>
      <w:r w:rsidR="003A48AB">
        <w:rPr>
          <w:rFonts w:ascii="Times New Roman" w:hAnsi="Times New Roman" w:cs="Times New Roman"/>
          <w:sz w:val="24"/>
          <w:szCs w:val="24"/>
        </w:rPr>
        <w:t xml:space="preserve">a </w:t>
      </w:r>
      <w:r w:rsidR="003A48AB" w:rsidRPr="007E46C0">
        <w:rPr>
          <w:rFonts w:ascii="Times New Roman" w:hAnsi="Times New Roman" w:cs="Times New Roman"/>
          <w:sz w:val="24"/>
          <w:szCs w:val="24"/>
        </w:rPr>
        <w:t>small foot-print</w:t>
      </w:r>
      <w:r w:rsidR="003A48AB">
        <w:rPr>
          <w:rFonts w:ascii="Times New Roman" w:hAnsi="Times New Roman" w:cs="Times New Roman"/>
          <w:sz w:val="24"/>
          <w:szCs w:val="24"/>
        </w:rPr>
        <w:t xml:space="preserve">, reduced labor requirements, </w:t>
      </w:r>
      <w:r w:rsidR="00EB6815" w:rsidRPr="007E46C0">
        <w:rPr>
          <w:rFonts w:ascii="Times New Roman" w:hAnsi="Times New Roman" w:cs="Times New Roman"/>
          <w:sz w:val="24"/>
          <w:szCs w:val="24"/>
        </w:rPr>
        <w:t>and less biohazardous waste</w:t>
      </w:r>
      <w:r w:rsidR="003A48AB">
        <w:rPr>
          <w:rFonts w:ascii="Times New Roman" w:hAnsi="Times New Roman" w:cs="Times New Roman"/>
          <w:sz w:val="24"/>
          <w:szCs w:val="24"/>
        </w:rPr>
        <w:t xml:space="preserve"> generated</w:t>
      </w:r>
      <w:r w:rsidR="00EB6815" w:rsidRPr="007E46C0">
        <w:rPr>
          <w:rFonts w:ascii="Times New Roman" w:hAnsi="Times New Roman" w:cs="Times New Roman"/>
          <w:sz w:val="24"/>
          <w:szCs w:val="24"/>
        </w:rPr>
        <w:t>.</w:t>
      </w:r>
    </w:p>
    <w:p w14:paraId="5B2CBD27" w14:textId="0043A616" w:rsidR="00EB6815" w:rsidRPr="007E46C0" w:rsidRDefault="008D2D3E" w:rsidP="00EB681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Even w</w:t>
      </w:r>
      <w:r w:rsidR="005E74CA" w:rsidRPr="007E46C0">
        <w:rPr>
          <w:rFonts w:ascii="Times New Roman" w:hAnsi="Times New Roman" w:cs="Times New Roman"/>
          <w:sz w:val="24"/>
          <w:szCs w:val="24"/>
        </w:rPr>
        <w:t>ith typical inhibitors found in water</w:t>
      </w:r>
      <w:r w:rsidR="005E74CA">
        <w:rPr>
          <w:rFonts w:ascii="Times New Roman" w:hAnsi="Times New Roman" w:cs="Times New Roman"/>
          <w:sz w:val="24"/>
          <w:szCs w:val="24"/>
        </w:rPr>
        <w:t xml:space="preserve">, the method </w:t>
      </w:r>
      <w:r w:rsidR="00EB6815" w:rsidRPr="007E46C0">
        <w:rPr>
          <w:rFonts w:ascii="Times New Roman" w:hAnsi="Times New Roman" w:cs="Times New Roman"/>
          <w:sz w:val="24"/>
          <w:szCs w:val="24"/>
        </w:rPr>
        <w:t xml:space="preserve">detects </w:t>
      </w:r>
      <w:r w:rsidR="005E74CA">
        <w:rPr>
          <w:rFonts w:ascii="Times New Roman" w:hAnsi="Times New Roman" w:cs="Times New Roman"/>
          <w:sz w:val="24"/>
          <w:szCs w:val="24"/>
        </w:rPr>
        <w:t xml:space="preserve">low levels of </w:t>
      </w:r>
      <w:r w:rsidR="00EB6815" w:rsidRPr="007E46C0">
        <w:rPr>
          <w:rFonts w:ascii="Times New Roman" w:hAnsi="Times New Roman" w:cs="Times New Roman"/>
          <w:sz w:val="24"/>
          <w:szCs w:val="24"/>
        </w:rPr>
        <w:t xml:space="preserve">viable pathogen cells. </w:t>
      </w:r>
    </w:p>
    <w:p w14:paraId="579CB105" w14:textId="6E965642" w:rsidR="00EB6815" w:rsidRDefault="00EB6815" w:rsidP="00EB6815">
      <w:pPr>
        <w:rPr>
          <w:b/>
        </w:rPr>
      </w:pPr>
      <w:r w:rsidRPr="00E539C4">
        <w:rPr>
          <w:b/>
        </w:rPr>
        <w:t>Key Words</w:t>
      </w:r>
    </w:p>
    <w:p w14:paraId="1878052F" w14:textId="77777777" w:rsidR="00243DCB" w:rsidRPr="00E539C4" w:rsidRDefault="00243DCB" w:rsidP="00EB6815">
      <w:pPr>
        <w:rPr>
          <w:b/>
        </w:rPr>
      </w:pPr>
    </w:p>
    <w:p w14:paraId="313FE682" w14:textId="7109199E" w:rsidR="00EB6815" w:rsidRPr="00E539C4" w:rsidRDefault="00EB6815" w:rsidP="00EB6815">
      <w:r>
        <w:rPr>
          <w:i/>
        </w:rPr>
        <w:t>Francisella tularensis</w:t>
      </w:r>
      <w:r w:rsidRPr="00E539C4">
        <w:t xml:space="preserve">, </w:t>
      </w:r>
      <w:r w:rsidR="005E74CA">
        <w:t>tularemia,</w:t>
      </w:r>
      <w:r w:rsidR="005E74CA" w:rsidRPr="00E539C4">
        <w:t xml:space="preserve"> bioterrorism</w:t>
      </w:r>
      <w:r w:rsidR="005E74CA">
        <w:t>,</w:t>
      </w:r>
      <w:r w:rsidR="005E74CA" w:rsidRPr="00E539C4">
        <w:t xml:space="preserve"> </w:t>
      </w:r>
      <w:r w:rsidRPr="00E539C4">
        <w:t xml:space="preserve">detection, RV-PCR, contamination </w:t>
      </w:r>
    </w:p>
    <w:p w14:paraId="7F8DB266" w14:textId="77777777" w:rsidR="00B2302A" w:rsidRPr="00473522" w:rsidRDefault="00B2302A" w:rsidP="00BF25FC">
      <w:pPr>
        <w:spacing w:line="480" w:lineRule="auto"/>
        <w:rPr>
          <w:highlight w:val="lightGray"/>
        </w:rPr>
      </w:pPr>
    </w:p>
    <w:p w14:paraId="28E5F387" w14:textId="371ED919" w:rsidR="00A0152C" w:rsidRPr="00BF25FC" w:rsidRDefault="00A0152C" w:rsidP="00BF25FC">
      <w:pPr>
        <w:spacing w:after="240" w:line="480" w:lineRule="auto"/>
      </w:pPr>
      <w:r w:rsidRPr="00BF25FC">
        <w:rPr>
          <w:i/>
        </w:rPr>
        <w:t xml:space="preserve">Francisella tularensis </w:t>
      </w:r>
      <w:r w:rsidRPr="00BF25FC">
        <w:t>(</w:t>
      </w:r>
      <w:r w:rsidRPr="00BF25FC">
        <w:rPr>
          <w:i/>
        </w:rPr>
        <w:t>F. tularensis</w:t>
      </w:r>
      <w:r w:rsidRPr="00BF25FC">
        <w:t>),</w:t>
      </w:r>
      <w:r w:rsidRPr="00BF25FC">
        <w:rPr>
          <w:i/>
        </w:rPr>
        <w:t xml:space="preserve"> </w:t>
      </w:r>
      <w:r w:rsidRPr="00BF25FC">
        <w:t xml:space="preserve">the pathogen that causes tularemia in humans and animals, could be introduced into water infrastructure due to a natural outbreak, laboratory accident, or intentional contamination. It is known that </w:t>
      </w:r>
      <w:r w:rsidRPr="00BF25FC">
        <w:rPr>
          <w:i/>
        </w:rPr>
        <w:t>F. tularensis</w:t>
      </w:r>
      <w:r w:rsidRPr="00BF25FC">
        <w:t xml:space="preserve"> and several other vegetative bacterial pathogens can remain viable and infectious for some time in certain environments including water (Anda et al., 2001; Berrada et al., 2011</w:t>
      </w:r>
      <w:r w:rsidR="002E5090">
        <w:t>; Gilbert et al., 2012</w:t>
      </w:r>
      <w:r w:rsidRPr="00BF25FC">
        <w:t xml:space="preserve">). As reviewed by Rice (2015), drinking water outbreaks of tularemia have been reported in the U.S. and several countries including Bulgaria, Georgia, Germany, Italy, Kosovo, Norway, Russia, Sweden, and Turkey. </w:t>
      </w:r>
    </w:p>
    <w:p w14:paraId="14210C12" w14:textId="77777777" w:rsidR="000203C9" w:rsidRDefault="000203C9" w:rsidP="00BF25FC">
      <w:pPr>
        <w:spacing w:after="240" w:line="480" w:lineRule="auto"/>
        <w:rPr>
          <w:i/>
        </w:rPr>
      </w:pPr>
    </w:p>
    <w:p w14:paraId="18BC3E96" w14:textId="3E475B8E" w:rsidR="00A0152C" w:rsidRDefault="00A0152C" w:rsidP="00BF25FC">
      <w:pPr>
        <w:spacing w:after="240" w:line="480" w:lineRule="auto"/>
      </w:pPr>
      <w:r w:rsidRPr="00BF25FC">
        <w:rPr>
          <w:i/>
        </w:rPr>
        <w:t xml:space="preserve">F. tularensis </w:t>
      </w:r>
      <w:r w:rsidRPr="00BF25FC">
        <w:t xml:space="preserve">is a category A select agent because it can readily be weaponized, has a low infective dose (1 – 10 cells; Jones et al., 2005; Saslaw et al., 1961), and high morbidity and mortality. Therefore, national security concerns have been raised regarding this </w:t>
      </w:r>
      <w:r w:rsidR="00506A51">
        <w:t>potential bioterrorism agent (</w:t>
      </w:r>
      <w:proofErr w:type="spellStart"/>
      <w:r w:rsidR="00506A51">
        <w:t>Oyston</w:t>
      </w:r>
      <w:proofErr w:type="spellEnd"/>
      <w:r w:rsidR="00506A51">
        <w:t xml:space="preserve"> et al., 2004)</w:t>
      </w:r>
      <w:r w:rsidRPr="00BF25FC">
        <w:t>.</w:t>
      </w:r>
      <w:r w:rsidRPr="00BF25FC">
        <w:rPr>
          <w:color w:val="000000"/>
        </w:rPr>
        <w:t xml:space="preserve">  </w:t>
      </w:r>
      <w:r w:rsidRPr="00BF25FC">
        <w:t xml:space="preserve">As a result, consensus-based recommendations have been developed for civilian defense if </w:t>
      </w:r>
      <w:r w:rsidRPr="00BF25FC">
        <w:rPr>
          <w:i/>
        </w:rPr>
        <w:t>F. tularensis</w:t>
      </w:r>
      <w:r w:rsidRPr="00BF25FC">
        <w:t xml:space="preserve"> is used as a biological weapon (</w:t>
      </w:r>
      <w:r w:rsidR="002B4542">
        <w:t>C</w:t>
      </w:r>
      <w:r w:rsidR="002E5090">
        <w:t>D</w:t>
      </w:r>
      <w:r w:rsidR="002B4542">
        <w:t xml:space="preserve">C, 2000; </w:t>
      </w:r>
      <w:r w:rsidRPr="00BF25FC">
        <w:t xml:space="preserve">Dennis et al., 2001).  </w:t>
      </w:r>
    </w:p>
    <w:p w14:paraId="6460998A" w14:textId="77777777" w:rsidR="000203C9" w:rsidRPr="00BF25FC" w:rsidRDefault="000203C9" w:rsidP="00BF25FC">
      <w:pPr>
        <w:spacing w:after="240" w:line="480" w:lineRule="auto"/>
      </w:pPr>
    </w:p>
    <w:p w14:paraId="08B9D158" w14:textId="724ADB59" w:rsidR="00A0152C" w:rsidRPr="00BF25FC" w:rsidRDefault="00A0152C" w:rsidP="00BF25FC">
      <w:pPr>
        <w:spacing w:after="240" w:line="480" w:lineRule="auto"/>
      </w:pPr>
      <w:r w:rsidRPr="00BF25FC">
        <w:rPr>
          <w:i/>
        </w:rPr>
        <w:t xml:space="preserve">Francisella tularensis </w:t>
      </w:r>
      <w:r w:rsidRPr="00BF25FC" w:rsidDel="00E6257A">
        <w:t>is a Gram-negative coccobacillus whose main transmission vector</w:t>
      </w:r>
      <w:r w:rsidRPr="00BF25FC">
        <w:t>s</w:t>
      </w:r>
      <w:r w:rsidRPr="00BF25FC" w:rsidDel="00E6257A">
        <w:t xml:space="preserve"> are arthropods (ticks, deer flies), while small mammals (e.g., rabbits, muskrats) serve as reservoir hosts. Protozoa have also been suggested as an important environmental reservoir (Abd et al., 2003).</w:t>
      </w:r>
      <w:r w:rsidRPr="00BF25FC">
        <w:t xml:space="preserve"> A security concern surrounding this bacterium is its potential persistence in the environment. Due to its historical usage as a biological weapon (</w:t>
      </w:r>
      <w:proofErr w:type="spellStart"/>
      <w:r w:rsidRPr="00BF25FC">
        <w:t>Gürcan</w:t>
      </w:r>
      <w:proofErr w:type="spellEnd"/>
      <w:r w:rsidRPr="00BF25FC">
        <w:t xml:space="preserve">, 2014) and the </w:t>
      </w:r>
      <w:r w:rsidRPr="00BF25FC">
        <w:lastRenderedPageBreak/>
        <w:t xml:space="preserve">occurrence of natural tularemia outbreaks, there is a need for rapid and sensitive analytical methods for detection of viable </w:t>
      </w:r>
      <w:r w:rsidRPr="00BF25FC">
        <w:rPr>
          <w:i/>
        </w:rPr>
        <w:t xml:space="preserve">F. tularensis </w:t>
      </w:r>
      <w:r w:rsidRPr="00BF25FC">
        <w:t xml:space="preserve">in environmental samples. </w:t>
      </w:r>
    </w:p>
    <w:p w14:paraId="5CFC3359" w14:textId="6B019D5D" w:rsidR="005E7B23" w:rsidRPr="00BF25FC" w:rsidRDefault="005E7B23" w:rsidP="00BF25FC">
      <w:pPr>
        <w:spacing w:before="120" w:after="240" w:line="480" w:lineRule="auto"/>
      </w:pPr>
      <w:r w:rsidRPr="00BF25FC">
        <w:t>Methods to more rapidly determine pathogen presence and viability are needed to ensure public safety and to help mitigate impacts of facility and infrastructure closures following a biological agent release. The current plate culture-based methods used for detection</w:t>
      </w:r>
      <w:r w:rsidRPr="00BF25FC">
        <w:rPr>
          <w:i/>
        </w:rPr>
        <w:t xml:space="preserve"> </w:t>
      </w:r>
      <w:r w:rsidRPr="00BF25FC">
        <w:t>of</w:t>
      </w:r>
      <w:r w:rsidRPr="00BF25FC">
        <w:rPr>
          <w:i/>
        </w:rPr>
        <w:t xml:space="preserve"> F. tularensis</w:t>
      </w:r>
      <w:r w:rsidRPr="00BF25FC">
        <w:t xml:space="preserve"> and other biothreat agents are labor-intensive and have a low throughput (~30</w:t>
      </w:r>
      <w:r w:rsidRPr="00BF25FC">
        <w:rPr>
          <w:color w:val="545454"/>
          <w:shd w:val="clear" w:color="auto" w:fill="FFFFFF"/>
        </w:rPr>
        <w:t>–</w:t>
      </w:r>
      <w:r w:rsidRPr="00BF25FC">
        <w:t xml:space="preserve">40 samples processed per laboratory </w:t>
      </w:r>
      <w:r w:rsidR="004A1E34">
        <w:t xml:space="preserve">per 8-hr </w:t>
      </w:r>
      <w:r w:rsidRPr="00BF25FC">
        <w:t>shift), with confirmed results obtained only after several days. In fact, detection via culture-based methods and subsequent confirmation take</w:t>
      </w:r>
      <w:r w:rsidR="00E41462">
        <w:t>s</w:t>
      </w:r>
      <w:r w:rsidRPr="00BF25FC">
        <w:t xml:space="preserve"> </w:t>
      </w:r>
      <w:r w:rsidR="008315C1">
        <w:t>3 days</w:t>
      </w:r>
      <w:r w:rsidR="00E41462">
        <w:t xml:space="preserve"> or longer</w:t>
      </w:r>
      <w:r w:rsidR="008315C1">
        <w:t xml:space="preserve"> </w:t>
      </w:r>
      <w:r w:rsidR="003205E6">
        <w:t>(Stewart et al</w:t>
      </w:r>
      <w:r w:rsidRPr="00BF25FC">
        <w:t>.</w:t>
      </w:r>
      <w:r w:rsidR="003205E6">
        <w:t>, 19</w:t>
      </w:r>
      <w:r w:rsidR="00E41462">
        <w:t>95</w:t>
      </w:r>
      <w:r w:rsidR="003205E6">
        <w:t>).</w:t>
      </w:r>
      <w:r w:rsidRPr="00BF25FC">
        <w:t xml:space="preserve"> A review of methods for soil and water sample processing and analysis for </w:t>
      </w:r>
      <w:r w:rsidRPr="00BF25FC">
        <w:rPr>
          <w:i/>
        </w:rPr>
        <w:t>F. tularensis</w:t>
      </w:r>
      <w:r w:rsidRPr="00BF25FC">
        <w:t xml:space="preserve"> described challenges with using traditional culture with these complex sample types (US EPA, 2015). In fact, multiple instances were reported where culture identification was unsuccessful.</w:t>
      </w:r>
      <w:r w:rsidR="000203C9">
        <w:t xml:space="preserve"> </w:t>
      </w:r>
    </w:p>
    <w:p w14:paraId="7CCDDC2A" w14:textId="77777777" w:rsidR="009B3E4D" w:rsidRPr="00BF25FC" w:rsidRDefault="009B3E4D" w:rsidP="00BF25FC">
      <w:pPr>
        <w:spacing w:line="480" w:lineRule="auto"/>
      </w:pPr>
    </w:p>
    <w:p w14:paraId="0CE1BFC9" w14:textId="0060E0C1" w:rsidR="0025201C" w:rsidRDefault="00C2021B">
      <w:pPr>
        <w:spacing w:line="480" w:lineRule="auto"/>
      </w:pPr>
      <w:r w:rsidRPr="00BF25FC">
        <w:t xml:space="preserve">We recently reported </w:t>
      </w:r>
      <w:r w:rsidR="00D929F3">
        <w:t>the</w:t>
      </w:r>
      <w:r w:rsidR="00D929F3" w:rsidRPr="00BF25FC">
        <w:t xml:space="preserve"> </w:t>
      </w:r>
      <w:r w:rsidRPr="00BF25FC">
        <w:t xml:space="preserve">development of a RV-PCR method for </w:t>
      </w:r>
      <w:r w:rsidRPr="00BF25FC">
        <w:rPr>
          <w:i/>
          <w:iCs/>
        </w:rPr>
        <w:t>Yersinia pestis</w:t>
      </w:r>
      <w:r w:rsidRPr="00BF25FC">
        <w:t xml:space="preserve"> detection from sample</w:t>
      </w:r>
      <w:r w:rsidR="00E55749" w:rsidRPr="00BF25FC">
        <w:t xml:space="preserve"> matri</w:t>
      </w:r>
      <w:r w:rsidR="00052895" w:rsidRPr="00BF25FC">
        <w:t>ces</w:t>
      </w:r>
      <w:r w:rsidRPr="00BF25FC">
        <w:t xml:space="preserve"> containing similar types of </w:t>
      </w:r>
      <w:r w:rsidR="003B6206" w:rsidRPr="00BF25FC">
        <w:t xml:space="preserve">chemical and biological </w:t>
      </w:r>
      <w:r w:rsidRPr="00BF25FC">
        <w:t>challenge material</w:t>
      </w:r>
      <w:r w:rsidR="003B6206" w:rsidRPr="00BF25FC">
        <w:t xml:space="preserve"> (Kane et al., 2018).</w:t>
      </w:r>
      <w:r w:rsidR="003547A1" w:rsidRPr="003547A1">
        <w:t xml:space="preserve"> In th</w:t>
      </w:r>
      <w:r w:rsidR="0053684C">
        <w:t>e current</w:t>
      </w:r>
      <w:r w:rsidR="003547A1" w:rsidRPr="003547A1">
        <w:t xml:space="preserve"> effort, a similar approach</w:t>
      </w:r>
      <w:r w:rsidR="004C01FE">
        <w:t xml:space="preserve"> was used </w:t>
      </w:r>
      <w:r w:rsidR="00C95AB8">
        <w:t xml:space="preserve">including </w:t>
      </w:r>
      <w:r w:rsidR="004C01FE">
        <w:t xml:space="preserve">high-throughput sample incubation with </w:t>
      </w:r>
      <w:r w:rsidR="005F10FF">
        <w:t>48-well plat</w:t>
      </w:r>
      <w:r w:rsidR="004C01FE">
        <w:t>es</w:t>
      </w:r>
      <w:r w:rsidR="00DB36E7">
        <w:t xml:space="preserve"> </w:t>
      </w:r>
      <w:r w:rsidR="00DB36E7" w:rsidRPr="00DB36E7">
        <w:t>(E&amp;K Scientific</w:t>
      </w:r>
      <w:r w:rsidR="004D1C2F">
        <w:t>, Santa Clara, CA;</w:t>
      </w:r>
      <w:r w:rsidR="00DB36E7" w:rsidRPr="00DB36E7">
        <w:t xml:space="preserve"> Cat. No. EK-2044</w:t>
      </w:r>
      <w:r w:rsidR="00DB36E7">
        <w:t>)</w:t>
      </w:r>
      <w:r w:rsidR="00046D43">
        <w:t>; however, differences included</w:t>
      </w:r>
      <w:r w:rsidR="00D96DD7">
        <w:t xml:space="preserve"> </w:t>
      </w:r>
      <w:r w:rsidR="00046D43">
        <w:t xml:space="preserve">1) use of </w:t>
      </w:r>
      <w:r w:rsidR="00046D43" w:rsidRPr="00BF25FC">
        <w:t xml:space="preserve">optimized </w:t>
      </w:r>
      <w:r w:rsidR="009E7B19" w:rsidRPr="002B106A">
        <w:rPr>
          <w:lang w:val="pt-BR"/>
        </w:rPr>
        <w:t>Brain Heart Infusion</w:t>
      </w:r>
      <w:r w:rsidR="009E7B19">
        <w:rPr>
          <w:lang w:val="pt-BR"/>
        </w:rPr>
        <w:t xml:space="preserve"> (BHI)</w:t>
      </w:r>
      <w:r w:rsidR="009E7B19" w:rsidRPr="002B106A">
        <w:rPr>
          <w:lang w:val="pt-BR"/>
        </w:rPr>
        <w:t>/</w:t>
      </w:r>
      <w:r w:rsidR="009E7B19" w:rsidRPr="002B106A">
        <w:t>Vitox/Fildes/Histidine</w:t>
      </w:r>
      <w:r w:rsidR="009E7B19" w:rsidRPr="00BF25FC">
        <w:t xml:space="preserve"> </w:t>
      </w:r>
      <w:r w:rsidR="009E7B19">
        <w:t>(</w:t>
      </w:r>
      <w:r w:rsidR="00046D43" w:rsidRPr="00BF25FC">
        <w:t>BVFH</w:t>
      </w:r>
      <w:r w:rsidR="009E7B19">
        <w:t>)</w:t>
      </w:r>
      <w:r w:rsidR="00046D43" w:rsidRPr="00BF25FC">
        <w:t xml:space="preserve"> growth medium </w:t>
      </w:r>
      <w:r w:rsidR="00046D43">
        <w:t>(</w:t>
      </w:r>
      <w:r w:rsidR="00046D43" w:rsidRPr="00BF25FC">
        <w:t>Morris et al.</w:t>
      </w:r>
      <w:r w:rsidR="00046D43">
        <w:t xml:space="preserve">, </w:t>
      </w:r>
      <w:r w:rsidR="00046D43" w:rsidRPr="00BF25FC">
        <w:t>2017)</w:t>
      </w:r>
      <w:r w:rsidR="0053684C">
        <w:t>,</w:t>
      </w:r>
      <w:r w:rsidR="00046D43">
        <w:t xml:space="preserve"> </w:t>
      </w:r>
      <w:r w:rsidR="004C01FE">
        <w:t xml:space="preserve">which was </w:t>
      </w:r>
      <w:r w:rsidR="00046D43" w:rsidRPr="00BF25FC">
        <w:t xml:space="preserve">concentrated 6-fold rather than 10-fold as described for the </w:t>
      </w:r>
      <w:r w:rsidR="00046D43" w:rsidRPr="00BF25FC">
        <w:rPr>
          <w:i/>
          <w:iCs/>
        </w:rPr>
        <w:t>Y. pestis</w:t>
      </w:r>
      <w:r w:rsidR="00046D43" w:rsidRPr="00BF25FC">
        <w:t xml:space="preserve"> growth medium</w:t>
      </w:r>
      <w:r w:rsidR="00046D43">
        <w:t xml:space="preserve">, 2) </w:t>
      </w:r>
      <w:r w:rsidR="00F33EFB">
        <w:t xml:space="preserve">addition of </w:t>
      </w:r>
      <w:r w:rsidR="00F33EFB" w:rsidRPr="00BF25FC">
        <w:t xml:space="preserve">0.6-mL of 6-fold concentrated </w:t>
      </w:r>
      <w:r w:rsidR="004C01FE">
        <w:t>BVFH</w:t>
      </w:r>
      <w:r w:rsidR="00F33EFB" w:rsidRPr="00BF25FC">
        <w:t xml:space="preserve"> medium</w:t>
      </w:r>
      <w:r w:rsidR="00F33EFB">
        <w:t xml:space="preserve"> to 3-mL sample to yield 1X concentration, 3) </w:t>
      </w:r>
      <w:r w:rsidR="00046D43">
        <w:t>incubation at</w:t>
      </w:r>
      <w:r w:rsidR="00D96DD7">
        <w:t xml:space="preserve"> </w:t>
      </w:r>
      <w:r w:rsidR="0062333C">
        <w:t>37</w:t>
      </w:r>
      <w:r w:rsidR="0062333C">
        <w:sym w:font="Symbol" w:char="F0B0"/>
      </w:r>
      <w:r w:rsidR="0062333C">
        <w:t xml:space="preserve">C </w:t>
      </w:r>
      <w:r w:rsidR="00046D43">
        <w:t>instead o</w:t>
      </w:r>
      <w:r w:rsidR="0053684C">
        <w:t>f</w:t>
      </w:r>
      <w:r w:rsidR="00046D43">
        <w:t xml:space="preserve"> </w:t>
      </w:r>
      <w:r w:rsidR="00046D43">
        <w:lastRenderedPageBreak/>
        <w:t>30</w:t>
      </w:r>
      <w:r w:rsidR="00046D43">
        <w:sym w:font="Symbol" w:char="F0B0"/>
      </w:r>
      <w:r w:rsidR="00046D43">
        <w:t xml:space="preserve">C, and </w:t>
      </w:r>
      <w:r w:rsidR="00F33EFB">
        <w:t>4</w:t>
      </w:r>
      <w:r w:rsidR="00046D43">
        <w:t>) use of a</w:t>
      </w:r>
      <w:r w:rsidR="003547A1">
        <w:t xml:space="preserve"> </w:t>
      </w:r>
      <w:r w:rsidR="00046D43" w:rsidRPr="00BF25FC">
        <w:t xml:space="preserve">30-h incubation period </w:t>
      </w:r>
      <w:r w:rsidR="00046D43">
        <w:t>instead of 24-h, since</w:t>
      </w:r>
      <w:r w:rsidR="003547A1">
        <w:t xml:space="preserve"> </w:t>
      </w:r>
      <w:r w:rsidR="003B6206" w:rsidRPr="00BF25FC">
        <w:rPr>
          <w:i/>
          <w:iCs/>
        </w:rPr>
        <w:t>F. tularensis</w:t>
      </w:r>
      <w:r w:rsidR="003B6206" w:rsidRPr="00BF25FC">
        <w:t xml:space="preserve"> </w:t>
      </w:r>
      <w:r w:rsidR="00670749">
        <w:t xml:space="preserve">has </w:t>
      </w:r>
      <w:r w:rsidR="006F3395">
        <w:t>a longer doubling time</w:t>
      </w:r>
      <w:r w:rsidR="003B6206" w:rsidRPr="00BF25FC">
        <w:t xml:space="preserve"> </w:t>
      </w:r>
      <w:r w:rsidR="005B0526">
        <w:t>than</w:t>
      </w:r>
      <w:r w:rsidR="003B6206" w:rsidRPr="00BF25FC">
        <w:t xml:space="preserve"> </w:t>
      </w:r>
      <w:r w:rsidR="003B6206" w:rsidRPr="00BF25FC">
        <w:rPr>
          <w:i/>
          <w:iCs/>
        </w:rPr>
        <w:t>Y. pestis</w:t>
      </w:r>
      <w:r w:rsidR="00920DF9" w:rsidRPr="00BF25FC">
        <w:t xml:space="preserve">. </w:t>
      </w:r>
    </w:p>
    <w:p w14:paraId="3CBDBA03" w14:textId="77777777" w:rsidR="000203C9" w:rsidRDefault="000203C9">
      <w:pPr>
        <w:spacing w:line="480" w:lineRule="auto"/>
      </w:pPr>
    </w:p>
    <w:p w14:paraId="083B4A77" w14:textId="4D945D02" w:rsidR="000A767D" w:rsidRPr="004C01FE" w:rsidRDefault="0079180A" w:rsidP="00662C57">
      <w:pPr>
        <w:spacing w:line="480" w:lineRule="auto"/>
      </w:pPr>
      <w:r w:rsidRPr="00BF25FC">
        <w:t>The 3-mL samples</w:t>
      </w:r>
      <w:r w:rsidR="009B3E4D" w:rsidRPr="00BF25FC">
        <w:t xml:space="preserve"> </w:t>
      </w:r>
      <w:r w:rsidR="000D5E0A">
        <w:t xml:space="preserve">were prepared with phosphate buffered saline </w:t>
      </w:r>
      <w:r w:rsidR="00C84E90">
        <w:t xml:space="preserve">(PBS; </w:t>
      </w:r>
      <w:r w:rsidR="00C84E90" w:rsidRPr="005B2036">
        <w:t>Teknova, Inc., Hollister, CA; Cat. No. P026</w:t>
      </w:r>
      <w:r w:rsidR="00C84E90">
        <w:t xml:space="preserve">1) </w:t>
      </w:r>
      <w:r w:rsidR="000D5E0A">
        <w:t xml:space="preserve">with or without challenge materials including </w:t>
      </w:r>
      <w:r w:rsidR="009C4BE7">
        <w:t>1</w:t>
      </w:r>
      <w:r w:rsidR="000D4C07">
        <w:t xml:space="preserve">) </w:t>
      </w:r>
      <w:r w:rsidR="000D5E0A" w:rsidRPr="000D5E0A">
        <w:t>4 mg/mL</w:t>
      </w:r>
      <w:r w:rsidR="000D5E0A">
        <w:t xml:space="preserve"> A</w:t>
      </w:r>
      <w:r w:rsidR="009F49DE">
        <w:t>rizona</w:t>
      </w:r>
      <w:r w:rsidR="000D5E0A">
        <w:t xml:space="preserve"> Test Dust (</w:t>
      </w:r>
      <w:r w:rsidR="009F49DE">
        <w:t xml:space="preserve">ATD; </w:t>
      </w:r>
      <w:r w:rsidR="0092392E" w:rsidRPr="0092392E">
        <w:t xml:space="preserve">ISO 12103-1, </w:t>
      </w:r>
      <w:r w:rsidR="000D5E0A" w:rsidRPr="000D5E0A">
        <w:t>A3 Medium Test Dust; Powder Technology, Arden Hills, MN</w:t>
      </w:r>
      <w:r w:rsidR="000D5E0A">
        <w:t>)</w:t>
      </w:r>
      <w:r w:rsidR="001615D1">
        <w:t xml:space="preserve"> shown to contain </w:t>
      </w:r>
      <w:r w:rsidR="001615D1" w:rsidRPr="005B2036">
        <w:t xml:space="preserve">~5 </w:t>
      </w:r>
      <w:r w:rsidR="00C84E90">
        <w:sym w:font="Symbol" w:char="F020"/>
      </w:r>
      <w:r w:rsidR="00C84E90">
        <w:sym w:font="Symbol" w:char="F0B4"/>
      </w:r>
      <w:r w:rsidR="001615D1" w:rsidRPr="005B2036">
        <w:t xml:space="preserve"> 10</w:t>
      </w:r>
      <w:r w:rsidR="001615D1" w:rsidRPr="005B2036">
        <w:rPr>
          <w:vertAlign w:val="superscript"/>
        </w:rPr>
        <w:t>4</w:t>
      </w:r>
      <w:r w:rsidR="001615D1" w:rsidRPr="005B2036">
        <w:t xml:space="preserve"> </w:t>
      </w:r>
      <w:r w:rsidR="004C01FE" w:rsidRPr="00BF317F">
        <w:rPr>
          <w:rFonts w:eastAsia="MS Mincho"/>
          <w:color w:val="000000"/>
        </w:rPr>
        <w:t>colony-forming units (CFU)</w:t>
      </w:r>
      <w:r w:rsidR="004C01FE">
        <w:t xml:space="preserve"> per </w:t>
      </w:r>
      <w:r w:rsidR="001615D1" w:rsidRPr="005B2036">
        <w:t>10 mg including fungi and bacterial spores (Rose et al., 2011)</w:t>
      </w:r>
      <w:r w:rsidR="000D5E0A" w:rsidRPr="001615D1">
        <w:t xml:space="preserve">, </w:t>
      </w:r>
      <w:r w:rsidR="009C4BE7">
        <w:t>2</w:t>
      </w:r>
      <w:r w:rsidR="000D4C07">
        <w:t xml:space="preserve">) </w:t>
      </w:r>
      <w:r w:rsidR="000D5E0A" w:rsidRPr="000D5E0A">
        <w:t>10 μg/mL Fe</w:t>
      </w:r>
      <w:r w:rsidR="000D5E0A" w:rsidRPr="005B2036">
        <w:rPr>
          <w:vertAlign w:val="superscript"/>
        </w:rPr>
        <w:t>2+</w:t>
      </w:r>
      <w:r w:rsidR="000D5E0A" w:rsidRPr="00BF25FC">
        <w:t xml:space="preserve"> </w:t>
      </w:r>
      <w:r w:rsidR="000D5E0A">
        <w:t xml:space="preserve">as </w:t>
      </w:r>
      <w:r w:rsidR="00C84E90">
        <w:rPr>
          <w:rFonts w:eastAsia="MS Mincho"/>
        </w:rPr>
        <w:t xml:space="preserve">iron sulfate heptahydrate </w:t>
      </w:r>
      <w:r w:rsidR="00C84E90" w:rsidRPr="00C84E90">
        <w:rPr>
          <w:rFonts w:eastAsia="MS Mincho"/>
        </w:rPr>
        <w:t xml:space="preserve">(Sigma-Aldrich, </w:t>
      </w:r>
      <w:r w:rsidR="007E390B" w:rsidRPr="007E390B">
        <w:rPr>
          <w:rFonts w:eastAsia="MS Mincho"/>
        </w:rPr>
        <w:t>St. Louis, MO</w:t>
      </w:r>
      <w:r w:rsidR="004D1C2F">
        <w:rPr>
          <w:rFonts w:eastAsia="MS Mincho"/>
        </w:rPr>
        <w:t>;</w:t>
      </w:r>
      <w:r w:rsidR="007E390B" w:rsidRPr="007E390B">
        <w:rPr>
          <w:rFonts w:eastAsia="MS Mincho"/>
        </w:rPr>
        <w:t xml:space="preserve"> </w:t>
      </w:r>
      <w:r w:rsidR="00C84E90" w:rsidRPr="00C84E90">
        <w:rPr>
          <w:rFonts w:eastAsia="MS Mincho"/>
        </w:rPr>
        <w:t>Cat. No. 215422)</w:t>
      </w:r>
      <w:r w:rsidR="000D5E0A">
        <w:rPr>
          <w:rFonts w:eastAsia="MS Mincho"/>
        </w:rPr>
        <w:t xml:space="preserve">, and </w:t>
      </w:r>
      <w:r w:rsidR="009C4BE7">
        <w:rPr>
          <w:rFonts w:eastAsia="MS Mincho"/>
        </w:rPr>
        <w:t>3</w:t>
      </w:r>
      <w:r w:rsidR="000D4C07">
        <w:rPr>
          <w:rFonts w:eastAsia="MS Mincho"/>
        </w:rPr>
        <w:t xml:space="preserve">) </w:t>
      </w:r>
      <w:r w:rsidR="000D5E0A" w:rsidRPr="000D5E0A">
        <w:rPr>
          <w:rFonts w:eastAsia="MS Mincho"/>
        </w:rPr>
        <w:t xml:space="preserve">50 μg/mL </w:t>
      </w:r>
      <w:r w:rsidR="000D5E0A">
        <w:rPr>
          <w:rFonts w:eastAsia="MS Mincho"/>
        </w:rPr>
        <w:t xml:space="preserve">humic acid </w:t>
      </w:r>
      <w:r w:rsidR="00C84E90" w:rsidRPr="005B2036">
        <w:t>(Sigma-Aldrich, Cat. No. 53680-10G)</w:t>
      </w:r>
      <w:r w:rsidR="00C84E90">
        <w:t xml:space="preserve"> </w:t>
      </w:r>
      <w:r w:rsidR="000D5E0A">
        <w:rPr>
          <w:rFonts w:eastAsia="MS Mincho"/>
        </w:rPr>
        <w:t xml:space="preserve">as a surrogate for natural organic matter. </w:t>
      </w:r>
      <w:r w:rsidR="00AB1C4F" w:rsidRPr="009061CE">
        <w:t xml:space="preserve">These </w:t>
      </w:r>
      <w:r w:rsidR="00AB1C4F">
        <w:t xml:space="preserve">iron and humic acid </w:t>
      </w:r>
      <w:r w:rsidR="00AB1C4F" w:rsidRPr="009061CE">
        <w:t xml:space="preserve">concentrations were at the upper end of the range of values expected for drinking water samples </w:t>
      </w:r>
      <w:r w:rsidR="00AB1C4F">
        <w:t xml:space="preserve">(Farrah et al., 1978; NRC, 1979; WHO, 1996; US EPA, 2005). </w:t>
      </w:r>
      <w:r w:rsidR="009F49DE" w:rsidRPr="009061CE">
        <w:t xml:space="preserve">PBS </w:t>
      </w:r>
      <w:r w:rsidR="009F49DE" w:rsidRPr="009061CE">
        <w:rPr>
          <w:lang w:bidi="en-US"/>
        </w:rPr>
        <w:t>was used as a substitute for water samples because it</w:t>
      </w:r>
      <w:r w:rsidR="009F49DE" w:rsidRPr="009061CE" w:rsidDel="00EF2787">
        <w:t xml:space="preserve"> </w:t>
      </w:r>
      <w:r w:rsidR="009F49DE" w:rsidRPr="009061CE">
        <w:t>maintained cell viability and represented a reproducible matrix</w:t>
      </w:r>
      <w:r w:rsidR="009F49DE">
        <w:t xml:space="preserve">; in addition, </w:t>
      </w:r>
      <w:r w:rsidR="00381498">
        <w:t xml:space="preserve">its use </w:t>
      </w:r>
      <w:r w:rsidR="009C4BE7">
        <w:t xml:space="preserve">is </w:t>
      </w:r>
      <w:r w:rsidR="00381498">
        <w:t xml:space="preserve">consistent with </w:t>
      </w:r>
      <w:r w:rsidR="009F49DE">
        <w:t>the EPA protocol for collection, concentration and resuspension of vegetative pathogens from large volume water samples (US EPA, 2017).</w:t>
      </w:r>
      <w:r w:rsidR="009F49DE" w:rsidRPr="009061CE">
        <w:t xml:space="preserve"> </w:t>
      </w:r>
      <w:r w:rsidR="009B3E4D" w:rsidRPr="00BF25FC">
        <w:rPr>
          <w:i/>
          <w:iCs/>
        </w:rPr>
        <w:t xml:space="preserve">F. tularensis </w:t>
      </w:r>
      <w:r w:rsidR="006328C8">
        <w:t xml:space="preserve">Schu S4 </w:t>
      </w:r>
      <w:r w:rsidR="009B3E4D" w:rsidRPr="00BF25FC">
        <w:t>cells</w:t>
      </w:r>
      <w:r w:rsidR="00B37B1B" w:rsidRPr="00BF25FC">
        <w:t xml:space="preserve"> were </w:t>
      </w:r>
      <w:r w:rsidR="000E2463">
        <w:t xml:space="preserve">grown in </w:t>
      </w:r>
      <w:r w:rsidR="000E2463" w:rsidRPr="005B2036">
        <w:t xml:space="preserve">BVFH medium </w:t>
      </w:r>
      <w:r w:rsidR="00381498">
        <w:t>at 37</w:t>
      </w:r>
      <w:r w:rsidR="00381498">
        <w:sym w:font="Symbol" w:char="F0B0"/>
      </w:r>
      <w:r w:rsidR="00381498">
        <w:t xml:space="preserve">C (180 rpm) </w:t>
      </w:r>
      <w:r w:rsidR="004C01FE" w:rsidRPr="005B2036">
        <w:rPr>
          <w:rFonts w:eastAsia="MS Mincho"/>
          <w:color w:val="000000"/>
        </w:rPr>
        <w:t>to an OD</w:t>
      </w:r>
      <w:r w:rsidR="004C01FE" w:rsidRPr="005B2036">
        <w:rPr>
          <w:rFonts w:eastAsia="MS Mincho"/>
          <w:color w:val="000000"/>
          <w:vertAlign w:val="subscript"/>
        </w:rPr>
        <w:t>600</w:t>
      </w:r>
      <w:r w:rsidR="004C01FE" w:rsidRPr="005B2036">
        <w:rPr>
          <w:rFonts w:eastAsia="MS Mincho"/>
          <w:color w:val="000000"/>
        </w:rPr>
        <w:t xml:space="preserve"> (</w:t>
      </w:r>
      <w:r w:rsidR="004C01FE" w:rsidRPr="005B2036">
        <w:t>optical density at 600 nm)</w:t>
      </w:r>
      <w:r w:rsidR="004C01FE" w:rsidRPr="005B2036">
        <w:rPr>
          <w:rFonts w:eastAsia="MS Mincho"/>
          <w:color w:val="000000"/>
        </w:rPr>
        <w:t xml:space="preserve"> of ~ 1.5 which was diluted 10-fold in BVFH </w:t>
      </w:r>
      <w:r w:rsidR="004C01FE">
        <w:rPr>
          <w:rFonts w:eastAsia="MS Mincho"/>
          <w:color w:val="000000"/>
        </w:rPr>
        <w:t xml:space="preserve">medium </w:t>
      </w:r>
      <w:r w:rsidR="004C01FE" w:rsidRPr="005B2036">
        <w:rPr>
          <w:rFonts w:eastAsia="MS Mincho"/>
          <w:color w:val="000000"/>
        </w:rPr>
        <w:t>(</w:t>
      </w:r>
      <w:r w:rsidR="004C01FE">
        <w:rPr>
          <w:rFonts w:eastAsia="MS Mincho"/>
          <w:color w:val="000000"/>
        </w:rPr>
        <w:t xml:space="preserve">to </w:t>
      </w:r>
      <w:r w:rsidR="004C01FE" w:rsidRPr="005B2036">
        <w:rPr>
          <w:rFonts w:eastAsia="MS Mincho"/>
          <w:color w:val="000000"/>
        </w:rPr>
        <w:t>~1 × 10</w:t>
      </w:r>
      <w:r w:rsidR="004C01FE" w:rsidRPr="005B2036">
        <w:rPr>
          <w:rFonts w:eastAsia="MS Mincho"/>
          <w:color w:val="000000"/>
          <w:vertAlign w:val="superscript"/>
        </w:rPr>
        <w:t>9</w:t>
      </w:r>
      <w:r w:rsidR="004C01FE" w:rsidRPr="005B2036">
        <w:rPr>
          <w:rFonts w:eastAsia="MS Mincho"/>
          <w:color w:val="000000"/>
        </w:rPr>
        <w:t xml:space="preserve"> CFU/mL), followed by centrifugation </w:t>
      </w:r>
      <w:r w:rsidR="004C01FE" w:rsidRPr="005B2036">
        <w:t xml:space="preserve">(3,000 × </w:t>
      </w:r>
      <w:r w:rsidR="004C01FE" w:rsidRPr="005B2036">
        <w:rPr>
          <w:i/>
        </w:rPr>
        <w:t>g</w:t>
      </w:r>
      <w:r w:rsidR="004C01FE" w:rsidRPr="005B2036">
        <w:t xml:space="preserve"> for 10 min at 4°C)</w:t>
      </w:r>
      <w:r w:rsidR="004C01FE" w:rsidRPr="005B2036">
        <w:rPr>
          <w:rFonts w:eastAsia="MS Mincho"/>
          <w:color w:val="000000"/>
        </w:rPr>
        <w:t xml:space="preserve">, washing one time in PBS buffer, and </w:t>
      </w:r>
      <w:r w:rsidR="00CD5222">
        <w:rPr>
          <w:rFonts w:eastAsia="MS Mincho"/>
          <w:color w:val="000000"/>
        </w:rPr>
        <w:t xml:space="preserve">repeated </w:t>
      </w:r>
      <w:r w:rsidR="004C01FE" w:rsidRPr="005B2036">
        <w:rPr>
          <w:rFonts w:eastAsia="MS Mincho"/>
          <w:color w:val="000000"/>
        </w:rPr>
        <w:t xml:space="preserve">centrifugation.  </w:t>
      </w:r>
      <w:r w:rsidR="004C01FE">
        <w:rPr>
          <w:rFonts w:eastAsia="MS Mincho"/>
          <w:color w:val="000000"/>
        </w:rPr>
        <w:t>T</w:t>
      </w:r>
      <w:r w:rsidR="004C01FE" w:rsidRPr="005B2036">
        <w:rPr>
          <w:rFonts w:eastAsia="MS Mincho"/>
          <w:color w:val="000000"/>
        </w:rPr>
        <w:t xml:space="preserve">he cell pellet was </w:t>
      </w:r>
      <w:r w:rsidR="004C01FE">
        <w:rPr>
          <w:rFonts w:eastAsia="MS Mincho"/>
          <w:color w:val="000000"/>
        </w:rPr>
        <w:t xml:space="preserve">then </w:t>
      </w:r>
      <w:r w:rsidR="004C01FE" w:rsidRPr="005B2036">
        <w:rPr>
          <w:rFonts w:eastAsia="MS Mincho"/>
          <w:color w:val="000000"/>
        </w:rPr>
        <w:t xml:space="preserve">suspended </w:t>
      </w:r>
      <w:r w:rsidR="004C01FE">
        <w:t>and diluted i</w:t>
      </w:r>
      <w:r w:rsidR="004C01FE" w:rsidRPr="005B2036">
        <w:t xml:space="preserve">n </w:t>
      </w:r>
      <w:r w:rsidR="004C01FE" w:rsidRPr="005B2036">
        <w:rPr>
          <w:rFonts w:eastAsia="MS Mincho"/>
          <w:color w:val="000000"/>
        </w:rPr>
        <w:t>PBS to obtain cell densit</w:t>
      </w:r>
      <w:r w:rsidR="004C01FE">
        <w:rPr>
          <w:rFonts w:eastAsia="MS Mincho"/>
          <w:color w:val="000000"/>
        </w:rPr>
        <w:t xml:space="preserve">ies from </w:t>
      </w:r>
      <w:r w:rsidR="004C01FE" w:rsidRPr="00BF25FC">
        <w:t>12-2500</w:t>
      </w:r>
      <w:r w:rsidR="004C01FE">
        <w:t xml:space="preserve"> CFU/3-mL</w:t>
      </w:r>
      <w:r w:rsidR="00480829">
        <w:t xml:space="preserve"> based on serial dilution and plating of the inoculum onto Chocolate Agar </w:t>
      </w:r>
      <w:r w:rsidR="00480829" w:rsidRPr="00480829">
        <w:rPr>
          <w:bCs/>
        </w:rPr>
        <w:t>(Hardy Diagnostics</w:t>
      </w:r>
      <w:r w:rsidR="007E390B">
        <w:rPr>
          <w:bCs/>
        </w:rPr>
        <w:t>,</w:t>
      </w:r>
      <w:r w:rsidR="00480829" w:rsidRPr="00480829">
        <w:rPr>
          <w:bCs/>
        </w:rPr>
        <w:t xml:space="preserve"> Santa Maria, CA</w:t>
      </w:r>
      <w:r w:rsidR="004D1C2F">
        <w:rPr>
          <w:bCs/>
        </w:rPr>
        <w:t>;</w:t>
      </w:r>
      <w:r w:rsidR="00480829" w:rsidRPr="00480829">
        <w:rPr>
          <w:bCs/>
        </w:rPr>
        <w:t xml:space="preserve"> Cat. No. E14</w:t>
      </w:r>
      <w:r w:rsidR="00480829">
        <w:rPr>
          <w:bCs/>
        </w:rPr>
        <w:t>)</w:t>
      </w:r>
      <w:r w:rsidR="00381498">
        <w:rPr>
          <w:bCs/>
        </w:rPr>
        <w:t xml:space="preserve"> with incubation at </w:t>
      </w:r>
      <w:r w:rsidR="00381498">
        <w:t>37</w:t>
      </w:r>
      <w:r w:rsidR="00381498">
        <w:sym w:font="Symbol" w:char="F0B0"/>
      </w:r>
      <w:r w:rsidR="00381498">
        <w:t>C for 3 days</w:t>
      </w:r>
      <w:r w:rsidR="004C01FE" w:rsidRPr="005B2036">
        <w:rPr>
          <w:rFonts w:eastAsia="MS Mincho"/>
          <w:color w:val="000000"/>
        </w:rPr>
        <w:t>.</w:t>
      </w:r>
      <w:r w:rsidR="0070237E">
        <w:rPr>
          <w:rFonts w:eastAsia="MS Mincho"/>
          <w:color w:val="000000"/>
        </w:rPr>
        <w:t xml:space="preserve"> </w:t>
      </w:r>
    </w:p>
    <w:p w14:paraId="2493C9B5" w14:textId="77777777" w:rsidR="0034117E" w:rsidRDefault="0034117E" w:rsidP="00BF25FC">
      <w:pPr>
        <w:spacing w:line="480" w:lineRule="auto"/>
      </w:pPr>
    </w:p>
    <w:p w14:paraId="2C47615E" w14:textId="5FBDC2B0" w:rsidR="0034117E" w:rsidRDefault="00046D43" w:rsidP="00BF25FC">
      <w:pPr>
        <w:spacing w:line="480" w:lineRule="auto"/>
      </w:pPr>
      <w:r w:rsidRPr="00980B6E">
        <w:lastRenderedPageBreak/>
        <w:t xml:space="preserve">The 6X BVFH medium was prepared as follows: 1) </w:t>
      </w:r>
      <w:r w:rsidR="000E22FA">
        <w:t xml:space="preserve">22.2 g </w:t>
      </w:r>
      <w:r w:rsidR="000E22FA" w:rsidRPr="000E22FA">
        <w:t>Bacto</w:t>
      </w:r>
      <w:r w:rsidR="000E22FA" w:rsidRPr="000E22FA">
        <w:rPr>
          <w:vertAlign w:val="superscript"/>
        </w:rPr>
        <w:t>TM</w:t>
      </w:r>
      <w:r w:rsidR="000E22FA" w:rsidRPr="000E22FA">
        <w:t xml:space="preserve"> Brain Heart Infusion Broth Base powder </w:t>
      </w:r>
      <w:r w:rsidR="000E22FA" w:rsidRPr="00215E22">
        <w:t>(BD Biosciences, Franklin Lakes, NJ</w:t>
      </w:r>
      <w:r w:rsidR="004D1C2F">
        <w:t>;</w:t>
      </w:r>
      <w:r w:rsidR="000E22FA" w:rsidRPr="00215E22">
        <w:t xml:space="preserve"> Cat. No. 237500)</w:t>
      </w:r>
      <w:r w:rsidR="000E22FA">
        <w:t xml:space="preserve"> </w:t>
      </w:r>
      <w:r w:rsidRPr="00980B6E">
        <w:t xml:space="preserve">and </w:t>
      </w:r>
      <w:r w:rsidR="000E22FA" w:rsidRPr="000E22FA">
        <w:t xml:space="preserve">0.6 g </w:t>
      </w:r>
      <w:r w:rsidRPr="00980B6E">
        <w:t>L-histidine</w:t>
      </w:r>
      <w:r w:rsidR="000E22FA">
        <w:t xml:space="preserve"> </w:t>
      </w:r>
      <w:r w:rsidR="000E22FA" w:rsidRPr="000E22FA">
        <w:t>(Sigma-Aldrich</w:t>
      </w:r>
      <w:r w:rsidR="007E390B">
        <w:t>,</w:t>
      </w:r>
      <w:r w:rsidR="000E22FA" w:rsidRPr="000E22FA">
        <w:t xml:space="preserve"> Cat. No. H8000-5G)</w:t>
      </w:r>
      <w:r w:rsidRPr="00980B6E">
        <w:t xml:space="preserve"> were dissolved in 28 mL Millipore water and brought to boiling for 1 minute followed by cooling the solution</w:t>
      </w:r>
      <w:r w:rsidR="000D4C07">
        <w:t>;</w:t>
      </w:r>
      <w:r w:rsidRPr="00980B6E">
        <w:t xml:space="preserve"> 2) 12 mL of sterile Vitox Supplement </w:t>
      </w:r>
      <w:r w:rsidR="000E22FA" w:rsidRPr="000E22FA">
        <w:t>(Thermo Fisher Scientific</w:t>
      </w:r>
      <w:r w:rsidR="007E390B">
        <w:t>,</w:t>
      </w:r>
      <w:r w:rsidR="000E22FA" w:rsidRPr="000E22FA">
        <w:t xml:space="preserve"> </w:t>
      </w:r>
      <w:r w:rsidR="007E390B" w:rsidRPr="007E390B">
        <w:t>Waltham, MA</w:t>
      </w:r>
      <w:r w:rsidR="004D1C2F">
        <w:t xml:space="preserve">; </w:t>
      </w:r>
      <w:r w:rsidR="000E22FA" w:rsidRPr="000E22FA">
        <w:t>Cat. No. SR0090A)</w:t>
      </w:r>
      <w:r w:rsidR="000E22FA">
        <w:t xml:space="preserve"> </w:t>
      </w:r>
      <w:r w:rsidRPr="00980B6E">
        <w:t xml:space="preserve">was added, 3) 60 mL of sterile Fildes Enrichment </w:t>
      </w:r>
      <w:r w:rsidR="000E22FA" w:rsidRPr="000E22FA">
        <w:t>(Thermo Fisher Scientific</w:t>
      </w:r>
      <w:r w:rsidR="007E390B">
        <w:t>,</w:t>
      </w:r>
      <w:r w:rsidR="000E22FA" w:rsidRPr="000E22FA">
        <w:t xml:space="preserve"> Cat. No. R45037)</w:t>
      </w:r>
      <w:r w:rsidR="000E22FA">
        <w:t xml:space="preserve"> </w:t>
      </w:r>
      <w:r w:rsidRPr="00980B6E">
        <w:t xml:space="preserve">was added, and 4) the solution was filter-sterilized with a disposable filtration system. The 6X solution was stored at 4°C </w:t>
      </w:r>
      <w:r w:rsidR="00C1479F">
        <w:t>and brought to room temperature before</w:t>
      </w:r>
      <w:r w:rsidRPr="00980B6E">
        <w:t xml:space="preserve"> use. </w:t>
      </w:r>
      <w:r w:rsidR="00600F58">
        <w:t>The 6X BVFH was mixed</w:t>
      </w:r>
      <w:r w:rsidR="00C1479F">
        <w:t xml:space="preserve"> with the water sample (PBS)</w:t>
      </w:r>
      <w:r w:rsidR="00600F58">
        <w:t xml:space="preserve"> by pipettor</w:t>
      </w:r>
      <w:r w:rsidR="00C1479F">
        <w:t xml:space="preserve">, </w:t>
      </w:r>
      <w:r w:rsidR="00600F58">
        <w:t>0.5-mL aliquots were removed</w:t>
      </w:r>
      <w:r w:rsidR="00F40968">
        <w:t xml:space="preserve"> before </w:t>
      </w:r>
      <w:r w:rsidR="002C5E0C">
        <w:t>(T</w:t>
      </w:r>
      <w:r w:rsidR="002C5E0C" w:rsidRPr="00215E22">
        <w:rPr>
          <w:vertAlign w:val="subscript"/>
        </w:rPr>
        <w:t>0</w:t>
      </w:r>
      <w:r w:rsidR="002C5E0C">
        <w:t xml:space="preserve"> aliquot) </w:t>
      </w:r>
      <w:r w:rsidR="00F40968">
        <w:t>and after sample incubation</w:t>
      </w:r>
      <w:r w:rsidR="00225F62">
        <w:t xml:space="preserve"> </w:t>
      </w:r>
      <w:r w:rsidR="00600F58">
        <w:t>at 37</w:t>
      </w:r>
      <w:r w:rsidR="00600F58">
        <w:sym w:font="Symbol" w:char="F0B0"/>
      </w:r>
      <w:r w:rsidR="00600F58">
        <w:t xml:space="preserve">C </w:t>
      </w:r>
      <w:r w:rsidR="00600F58" w:rsidRPr="00980B6E">
        <w:t>with shaking at 180 rpm</w:t>
      </w:r>
      <w:r w:rsidR="00225F62">
        <w:t xml:space="preserve"> for 30-h</w:t>
      </w:r>
      <w:r w:rsidR="002C5E0C">
        <w:t xml:space="preserve"> (T</w:t>
      </w:r>
      <w:r w:rsidR="002C5E0C" w:rsidRPr="00215E22">
        <w:rPr>
          <w:vertAlign w:val="subscript"/>
        </w:rPr>
        <w:t>30</w:t>
      </w:r>
      <w:r w:rsidR="002C5E0C">
        <w:t xml:space="preserve"> aliquot)</w:t>
      </w:r>
      <w:r w:rsidR="00600F58">
        <w:t xml:space="preserve">. </w:t>
      </w:r>
      <w:r w:rsidR="00600F58" w:rsidRPr="00980B6E">
        <w:t>The 48-well plate was sealed with a sterile AeraSeal</w:t>
      </w:r>
      <w:r w:rsidR="00600F58" w:rsidRPr="00215E22">
        <w:rPr>
          <w:vertAlign w:val="superscript"/>
        </w:rPr>
        <w:t>TM</w:t>
      </w:r>
      <w:r w:rsidR="00600F58" w:rsidRPr="00215E22">
        <w:rPr>
          <w:sz w:val="16"/>
          <w:szCs w:val="16"/>
        </w:rPr>
        <w:t xml:space="preserve"> </w:t>
      </w:r>
      <w:r w:rsidR="00600F58" w:rsidRPr="00980B6E">
        <w:t>breathable adhesive seal (Excel Scientific, Victorville, CA; Cat. No. BS-25)</w:t>
      </w:r>
      <w:r w:rsidR="00600F58">
        <w:t xml:space="preserve"> during incubation. The aliquots were processed as previously described (Kane et al., </w:t>
      </w:r>
      <w:r w:rsidR="00853D94">
        <w:t>2019</w:t>
      </w:r>
      <w:r w:rsidR="00600F58">
        <w:t xml:space="preserve">) </w:t>
      </w:r>
      <w:r w:rsidR="00084E68">
        <w:t>using</w:t>
      </w:r>
      <w:r w:rsidR="00B31E21">
        <w:t xml:space="preserve"> a modified </w:t>
      </w:r>
      <w:r w:rsidR="00600F58" w:rsidRPr="00600F58">
        <w:t xml:space="preserve">Promega paramagnetic particle (PMP)-based </w:t>
      </w:r>
      <w:r w:rsidR="00225F62">
        <w:t xml:space="preserve">DNA extraction </w:t>
      </w:r>
      <w:r w:rsidR="00B31E21">
        <w:t xml:space="preserve">protocol </w:t>
      </w:r>
      <w:r w:rsidR="00600F58" w:rsidRPr="00600F58">
        <w:t>(MagneSil</w:t>
      </w:r>
      <w:r w:rsidR="00600F58" w:rsidRPr="00600F58">
        <w:rPr>
          <w:vertAlign w:val="superscript"/>
        </w:rPr>
        <w:t>®</w:t>
      </w:r>
      <w:r w:rsidR="00600F58" w:rsidRPr="00600F58">
        <w:t xml:space="preserve"> Blood Genomic, Max Yield System; Promega, Madison, WI; Cat. No. MD1360)</w:t>
      </w:r>
      <w:r w:rsidR="00225F62">
        <w:t xml:space="preserve"> yielding T</w:t>
      </w:r>
      <w:r w:rsidR="00225F62" w:rsidRPr="00980B6E">
        <w:rPr>
          <w:vertAlign w:val="subscript"/>
        </w:rPr>
        <w:t>0</w:t>
      </w:r>
      <w:r w:rsidR="00225F62">
        <w:t xml:space="preserve"> and T</w:t>
      </w:r>
      <w:r w:rsidR="00225F62" w:rsidRPr="00980B6E">
        <w:rPr>
          <w:vertAlign w:val="subscript"/>
        </w:rPr>
        <w:t>30</w:t>
      </w:r>
      <w:r w:rsidR="00225F62">
        <w:t xml:space="preserve"> DNA extracts for PCR analysis. </w:t>
      </w:r>
    </w:p>
    <w:p w14:paraId="4488EC59" w14:textId="77777777" w:rsidR="0034117E" w:rsidRDefault="0034117E" w:rsidP="00BF25FC">
      <w:pPr>
        <w:spacing w:line="480" w:lineRule="auto"/>
      </w:pPr>
    </w:p>
    <w:p w14:paraId="65A474E5" w14:textId="0DD3D895" w:rsidR="000A767D" w:rsidRPr="00225F62" w:rsidRDefault="00225F62" w:rsidP="00BF25FC">
      <w:pPr>
        <w:spacing w:line="480" w:lineRule="auto"/>
      </w:pPr>
      <w:r>
        <w:t xml:space="preserve">In some cases, a duplicate aliquot was removed and processed using an </w:t>
      </w:r>
      <w:r w:rsidRPr="00980B6E">
        <w:t>automated Roche MagNA Pure Compact</w:t>
      </w:r>
      <w:r>
        <w:t xml:space="preserve"> </w:t>
      </w:r>
      <w:r w:rsidR="00B31E21">
        <w:t xml:space="preserve">instrument with </w:t>
      </w:r>
      <w:r w:rsidR="00B31E21" w:rsidRPr="00B31E21">
        <w:t>Nucleic Acid Isolation Kit I (Roche, Indianapolis, IN; Cat. No. 03730964001)</w:t>
      </w:r>
      <w:r w:rsidR="00B31E21">
        <w:t xml:space="preserve"> </w:t>
      </w:r>
      <w:r>
        <w:t xml:space="preserve">protocol for comparison purposes. </w:t>
      </w:r>
      <w:r w:rsidR="004B3C73">
        <w:t xml:space="preserve">Briefly, </w:t>
      </w:r>
      <w:r w:rsidR="00B31E21">
        <w:t>t</w:t>
      </w:r>
      <w:r w:rsidR="00B31E21" w:rsidRPr="00B31E21">
        <w:t xml:space="preserve">he </w:t>
      </w:r>
      <w:r w:rsidR="00B31E21">
        <w:t xml:space="preserve">sample aliquots </w:t>
      </w:r>
      <w:r w:rsidR="00B31E21" w:rsidRPr="00B31E21">
        <w:t>were treated by heat lysis at 70°C for 10 min</w:t>
      </w:r>
      <w:r w:rsidR="00B31E21">
        <w:t>, cooling</w:t>
      </w:r>
      <w:r w:rsidR="00B31E21" w:rsidRPr="00B31E21">
        <w:t xml:space="preserve"> for </w:t>
      </w:r>
      <w:r w:rsidR="00AF171F">
        <w:t>3 min</w:t>
      </w:r>
      <w:r w:rsidR="00B31E21">
        <w:t xml:space="preserve">, addition of </w:t>
      </w:r>
      <w:r w:rsidR="00B31E21" w:rsidRPr="00B31E21">
        <w:t xml:space="preserve">300 </w:t>
      </w:r>
      <w:r w:rsidR="00B31E21" w:rsidRPr="00B31E21">
        <w:sym w:font="Symbol" w:char="006D"/>
      </w:r>
      <w:r w:rsidR="00B31E21" w:rsidRPr="00B31E21">
        <w:t>L Roche chemical lysis buffer, followed by vortexing tubes for 10 sec at 1,800-2,000 rpm, and incubation at 22–25°C for 30 min</w:t>
      </w:r>
      <w:r w:rsidR="00B31E21">
        <w:t xml:space="preserve"> (with 3-5 sec</w:t>
      </w:r>
      <w:r w:rsidR="00B31E21" w:rsidRPr="00B31E21">
        <w:t xml:space="preserve"> vortex</w:t>
      </w:r>
      <w:r w:rsidR="00B31E21">
        <w:t>ing</w:t>
      </w:r>
      <w:r w:rsidR="00B31E21" w:rsidRPr="00B31E21">
        <w:t xml:space="preserve"> every 5 min</w:t>
      </w:r>
      <w:r w:rsidR="00B31E21">
        <w:t>)</w:t>
      </w:r>
      <w:r w:rsidR="00B31E21" w:rsidRPr="00B31E21">
        <w:t>.</w:t>
      </w:r>
      <w:r w:rsidR="00B31E21">
        <w:t xml:space="preserve"> </w:t>
      </w:r>
      <w:r w:rsidR="004D08BB">
        <w:t xml:space="preserve">These crude sample lysates </w:t>
      </w:r>
      <w:r w:rsidR="00B31E21" w:rsidRPr="00B31E21">
        <w:t xml:space="preserve">were </w:t>
      </w:r>
      <w:r w:rsidR="00B31E21">
        <w:t xml:space="preserve">then </w:t>
      </w:r>
      <w:r w:rsidR="00B31E21" w:rsidRPr="00B31E21">
        <w:t xml:space="preserve">processed on </w:t>
      </w:r>
      <w:r w:rsidR="00AF171F">
        <w:t xml:space="preserve">the </w:t>
      </w:r>
      <w:r w:rsidR="004D08BB">
        <w:t xml:space="preserve">Roche </w:t>
      </w:r>
      <w:r w:rsidR="00AF171F">
        <w:t>instrument using</w:t>
      </w:r>
      <w:r w:rsidR="00B31E21" w:rsidRPr="00B31E21">
        <w:t xml:space="preserve"> </w:t>
      </w:r>
      <w:r w:rsidR="00AF171F">
        <w:t>the</w:t>
      </w:r>
      <w:r w:rsidR="00B31E21" w:rsidRPr="00B31E21">
        <w:t xml:space="preserve"> </w:t>
      </w:r>
      <w:r w:rsidR="00AF171F">
        <w:t xml:space="preserve">pre-programmed </w:t>
      </w:r>
      <w:r w:rsidR="00B31E21" w:rsidRPr="00B31E21">
        <w:t xml:space="preserve">DNA-Bacteria Purification </w:t>
      </w:r>
      <w:r w:rsidR="00B31E21" w:rsidRPr="00B31E21">
        <w:lastRenderedPageBreak/>
        <w:t>Protocol</w:t>
      </w:r>
      <w:r w:rsidR="00B31E21">
        <w:t xml:space="preserve"> </w:t>
      </w:r>
      <w:r w:rsidR="00AF171F">
        <w:t xml:space="preserve">yielding 100 </w:t>
      </w:r>
      <w:r w:rsidR="00AF171F" w:rsidRPr="00B31E21">
        <w:sym w:font="Symbol" w:char="006D"/>
      </w:r>
      <w:r w:rsidR="00AF171F" w:rsidRPr="00B31E21">
        <w:t>L</w:t>
      </w:r>
      <w:r w:rsidR="00AF171F">
        <w:t xml:space="preserve"> </w:t>
      </w:r>
      <w:r w:rsidR="004D08BB">
        <w:t xml:space="preserve">purified </w:t>
      </w:r>
      <w:r w:rsidR="00AF171F">
        <w:t xml:space="preserve">DNA extracts. </w:t>
      </w:r>
      <w:r w:rsidR="004D08BB">
        <w:t xml:space="preserve">A </w:t>
      </w:r>
      <w:r w:rsidR="00E30B2C">
        <w:t xml:space="preserve">validated </w:t>
      </w:r>
      <w:r w:rsidR="004D08BB">
        <w:t xml:space="preserve">inactivation </w:t>
      </w:r>
      <w:r w:rsidR="00E30B2C">
        <w:t xml:space="preserve">procedure per the </w:t>
      </w:r>
      <w:r w:rsidR="00A75BAA" w:rsidRPr="00084E68">
        <w:t>Centers for Disease Control and Prevention</w:t>
      </w:r>
      <w:r w:rsidR="00A75BAA">
        <w:t xml:space="preserve"> (CDC) </w:t>
      </w:r>
      <w:r w:rsidR="00E30B2C">
        <w:t xml:space="preserve">select agent regulations </w:t>
      </w:r>
      <w:r w:rsidR="00991175">
        <w:t>(CDC and USDA, 201</w:t>
      </w:r>
      <w:r w:rsidR="00FD604D">
        <w:t>8</w:t>
      </w:r>
      <w:r w:rsidR="00991175">
        <w:t>)</w:t>
      </w:r>
      <w:r w:rsidR="00A75BAA">
        <w:t xml:space="preserve"> </w:t>
      </w:r>
      <w:r w:rsidR="00E30B2C">
        <w:t xml:space="preserve">was </w:t>
      </w:r>
      <w:r w:rsidR="00A75BAA">
        <w:t xml:space="preserve">approved </w:t>
      </w:r>
      <w:r w:rsidR="0024022D">
        <w:t>via</w:t>
      </w:r>
      <w:r w:rsidR="00E30B2C">
        <w:t xml:space="preserve"> </w:t>
      </w:r>
      <w:r w:rsidR="00A75BAA">
        <w:t xml:space="preserve">LLNL Institutional Biosafety Committee review prior to transfer of crude </w:t>
      </w:r>
      <w:r w:rsidR="0024022D">
        <w:t xml:space="preserve">sample </w:t>
      </w:r>
      <w:r w:rsidR="00A75BAA">
        <w:t xml:space="preserve">lysates to the robot </w:t>
      </w:r>
      <w:r w:rsidR="0024022D">
        <w:t xml:space="preserve">(within the same laboratory) </w:t>
      </w:r>
      <w:r w:rsidR="00A75BAA">
        <w:t>for subsequent extraction and DNA purification.</w:t>
      </w:r>
    </w:p>
    <w:p w14:paraId="6FD8962D" w14:textId="77777777" w:rsidR="000203C9" w:rsidRDefault="000203C9" w:rsidP="00BF25FC">
      <w:pPr>
        <w:spacing w:line="480" w:lineRule="auto"/>
      </w:pPr>
    </w:p>
    <w:p w14:paraId="452E24A1" w14:textId="13287FC2" w:rsidR="00C1479F" w:rsidRDefault="00084E68" w:rsidP="00BF25FC">
      <w:pPr>
        <w:spacing w:line="480" w:lineRule="auto"/>
      </w:pPr>
      <w:r>
        <w:t xml:space="preserve">Two </w:t>
      </w:r>
      <w:r w:rsidR="00FE13FB">
        <w:t xml:space="preserve">real-time PCR </w:t>
      </w:r>
      <w:r w:rsidRPr="00084E68">
        <w:t>assays target</w:t>
      </w:r>
      <w:r>
        <w:t>ing</w:t>
      </w:r>
      <w:r w:rsidRPr="00084E68">
        <w:t xml:space="preserve"> the </w:t>
      </w:r>
      <w:r w:rsidRPr="00084E68">
        <w:rPr>
          <w:i/>
        </w:rPr>
        <w:t>pdp</w:t>
      </w:r>
      <w:r w:rsidRPr="00084E68">
        <w:t xml:space="preserve">D, pathogenicity determinant protein D unique to Type A </w:t>
      </w:r>
      <w:r w:rsidRPr="00084E68">
        <w:rPr>
          <w:i/>
        </w:rPr>
        <w:t>F. tularensis</w:t>
      </w:r>
      <w:r w:rsidRPr="00084E68">
        <w:t xml:space="preserve"> </w:t>
      </w:r>
      <w:r>
        <w:t xml:space="preserve">were used (Table 1) including </w:t>
      </w:r>
      <w:r w:rsidRPr="00084E68">
        <w:t xml:space="preserve">the F4 assay designed at LLNL and </w:t>
      </w:r>
      <w:r w:rsidR="00F33BDF">
        <w:t xml:space="preserve">an </w:t>
      </w:r>
      <w:r w:rsidRPr="00084E68">
        <w:t>assay</w:t>
      </w:r>
      <w:r w:rsidR="00991175">
        <w:t xml:space="preserve"> designed at the CDC </w:t>
      </w:r>
      <w:r w:rsidRPr="00084E68">
        <w:t>(Kugeler et al., 2006)</w:t>
      </w:r>
      <w:r w:rsidR="00F33BDF">
        <w:t xml:space="preserve">, </w:t>
      </w:r>
      <w:proofErr w:type="spellStart"/>
      <w:r w:rsidR="00F33BDF">
        <w:t>refered</w:t>
      </w:r>
      <w:proofErr w:type="spellEnd"/>
      <w:r w:rsidR="00F33BDF">
        <w:t xml:space="preserve"> to </w:t>
      </w:r>
      <w:r w:rsidR="002C5E0C">
        <w:t xml:space="preserve">here </w:t>
      </w:r>
      <w:r w:rsidR="00F33BDF">
        <w:t>as F5</w:t>
      </w:r>
      <w:r w:rsidRPr="00084E68">
        <w:t>.</w:t>
      </w:r>
      <w:r w:rsidR="00FE13FB">
        <w:t xml:space="preserve"> Real-time PCR analysis was conducted using an</w:t>
      </w:r>
      <w:r w:rsidRPr="00084E68">
        <w:t xml:space="preserve"> Applied Biosystems</w:t>
      </w:r>
      <w:r w:rsidRPr="00084E68">
        <w:rPr>
          <w:vertAlign w:val="superscript"/>
        </w:rPr>
        <w:t xml:space="preserve">® </w:t>
      </w:r>
      <w:r w:rsidRPr="00084E68">
        <w:t xml:space="preserve">7500 Fast Real-Time PCR System (Foster City, CA) </w:t>
      </w:r>
      <w:r w:rsidR="00FE13FB">
        <w:t xml:space="preserve">as previously described (Kane et al., </w:t>
      </w:r>
      <w:r w:rsidR="007B4135">
        <w:t>2019</w:t>
      </w:r>
      <w:r w:rsidR="00FE13FB">
        <w:t>). In addition</w:t>
      </w:r>
      <w:r w:rsidRPr="00084E68">
        <w:t>, Platinum™ Taq DNA Polymerase (</w:t>
      </w:r>
      <w:r w:rsidR="007B4135">
        <w:t xml:space="preserve">Plat Taq; </w:t>
      </w:r>
      <w:r w:rsidRPr="00084E68">
        <w:t xml:space="preserve">Invitrogen, </w:t>
      </w:r>
      <w:r w:rsidR="00AA5983">
        <w:t xml:space="preserve">Carlsbad, CA; </w:t>
      </w:r>
      <w:r w:rsidRPr="00084E68">
        <w:t xml:space="preserve">Cat. No. 10966026) was </w:t>
      </w:r>
      <w:r w:rsidR="00FE13FB">
        <w:t>included</w:t>
      </w:r>
      <w:r w:rsidRPr="00084E68">
        <w:t xml:space="preserve"> at 0.25 µL per reaction (1.25 U) </w:t>
      </w:r>
      <w:r w:rsidR="00FE13FB">
        <w:t>to determine its effect on</w:t>
      </w:r>
      <w:r w:rsidRPr="00084E68">
        <w:t xml:space="preserve"> assay sensitivity. Three replicate samples were analyzed per experimental condition, and three replicate PCR analyses were conducted per sample replicate. DNA extracts from </w:t>
      </w:r>
      <w:r w:rsidR="00991175">
        <w:t>T</w:t>
      </w:r>
      <w:r w:rsidR="00991175" w:rsidRPr="002B106A">
        <w:rPr>
          <w:vertAlign w:val="subscript"/>
        </w:rPr>
        <w:t>0</w:t>
      </w:r>
      <w:r w:rsidR="00991175">
        <w:t xml:space="preserve"> and T</w:t>
      </w:r>
      <w:r w:rsidR="00991175" w:rsidRPr="002B106A">
        <w:rPr>
          <w:vertAlign w:val="subscript"/>
        </w:rPr>
        <w:t>30</w:t>
      </w:r>
      <w:r w:rsidRPr="00084E68">
        <w:t xml:space="preserve"> from the same samples were analyzed on the same plate to standardize the analysis conditions. </w:t>
      </w:r>
      <w:r w:rsidR="00B56B3D" w:rsidRPr="00B56B3D">
        <w:t>Both undiluted and 10-fold-diluted DNA extracts (prepared in PCR water) for both T</w:t>
      </w:r>
      <w:r w:rsidR="00B56B3D" w:rsidRPr="00B56B3D">
        <w:rPr>
          <w:vertAlign w:val="subscript"/>
        </w:rPr>
        <w:t>0</w:t>
      </w:r>
      <w:r w:rsidR="00B56B3D" w:rsidRPr="00B56B3D">
        <w:t xml:space="preserve"> and </w:t>
      </w:r>
      <w:r w:rsidR="00B56B3D">
        <w:t>T</w:t>
      </w:r>
      <w:r w:rsidR="00B56B3D" w:rsidRPr="00980B6E">
        <w:rPr>
          <w:vertAlign w:val="subscript"/>
        </w:rPr>
        <w:t>30</w:t>
      </w:r>
      <w:r w:rsidR="00B56B3D" w:rsidRPr="00B56B3D">
        <w:t xml:space="preserve"> were analyzed to check for PCR inhibition (i.e., if the difference between C</w:t>
      </w:r>
      <w:r w:rsidR="00B56B3D" w:rsidRPr="00B56B3D">
        <w:rPr>
          <w:vertAlign w:val="subscript"/>
        </w:rPr>
        <w:t>T</w:t>
      </w:r>
      <w:r w:rsidR="00B56B3D" w:rsidRPr="00B56B3D">
        <w:t xml:space="preserve"> values for 10-fold diluted and undiluted extracts is negative and/or significantly less than three).</w:t>
      </w:r>
    </w:p>
    <w:p w14:paraId="303D2EDA" w14:textId="77777777" w:rsidR="00FD604D" w:rsidRDefault="00FD604D" w:rsidP="00BF25FC">
      <w:pPr>
        <w:spacing w:line="480" w:lineRule="auto"/>
      </w:pPr>
    </w:p>
    <w:p w14:paraId="137B41A0" w14:textId="3C04C3FA" w:rsidR="00FE13FB" w:rsidRDefault="00FE13FB" w:rsidP="00FE13FB">
      <w:pPr>
        <w:spacing w:line="480" w:lineRule="auto"/>
      </w:pPr>
      <w:r w:rsidRPr="00FE13FB">
        <w:t>For cases where no PCR response was obtained (non-detect [NDT] results), the C</w:t>
      </w:r>
      <w:r w:rsidRPr="00FE13FB">
        <w:rPr>
          <w:vertAlign w:val="subscript"/>
        </w:rPr>
        <w:t>T</w:t>
      </w:r>
      <w:r w:rsidRPr="00FE13FB">
        <w:t xml:space="preserve"> values were set to 45 (since 45 PCR cycles were used), to calculate ∆C</w:t>
      </w:r>
      <w:r w:rsidRPr="00FE13FB">
        <w:rPr>
          <w:vertAlign w:val="subscript"/>
        </w:rPr>
        <w:t>T</w:t>
      </w:r>
      <w:r w:rsidRPr="00FE13FB">
        <w:t>. A ∆C</w:t>
      </w:r>
      <w:r w:rsidRPr="00FE13FB">
        <w:rPr>
          <w:vertAlign w:val="subscript"/>
        </w:rPr>
        <w:t>T</w:t>
      </w:r>
      <w:r w:rsidRPr="00FE13FB">
        <w:t xml:space="preserve"> ≥ 6 represented an increase in DNA concentration of approximately 2-log (100-fold</w:t>
      </w:r>
      <w:r w:rsidR="005C5FC6">
        <w:t>)</w:t>
      </w:r>
      <w:r>
        <w:t xml:space="preserve"> </w:t>
      </w:r>
      <w:r w:rsidRPr="00FE13FB">
        <w:t xml:space="preserve">because of the presence of viable cells </w:t>
      </w:r>
      <w:r w:rsidRPr="00FE13FB">
        <w:lastRenderedPageBreak/>
        <w:t>in the original sample that propagated during incubation. For individual replicates within an experiment, the RV-PCR result was considered positive when at least two of three replicates met the algorithm requirement. Specifically, if two or three of three PCR replicates were NDT, then a C</w:t>
      </w:r>
      <w:r w:rsidRPr="00FE13FB">
        <w:rPr>
          <w:vertAlign w:val="subscript"/>
        </w:rPr>
        <w:t>T</w:t>
      </w:r>
      <w:r w:rsidRPr="00FE13FB">
        <w:t xml:space="preserve"> value of 45 was assigned as the average T</w:t>
      </w:r>
      <w:r w:rsidRPr="00FE13FB">
        <w:rPr>
          <w:vertAlign w:val="subscript"/>
        </w:rPr>
        <w:t>0</w:t>
      </w:r>
      <w:r w:rsidRPr="00FE13FB">
        <w:t xml:space="preserve"> C</w:t>
      </w:r>
      <w:r w:rsidRPr="00FE13FB">
        <w:rPr>
          <w:vertAlign w:val="subscript"/>
        </w:rPr>
        <w:t>T</w:t>
      </w:r>
      <w:r w:rsidRPr="00FE13FB">
        <w:t xml:space="preserve"> or </w:t>
      </w:r>
      <w:r w:rsidR="002C5E0C" w:rsidRPr="00FE13FB">
        <w:t>T</w:t>
      </w:r>
      <w:r w:rsidR="002C5E0C">
        <w:rPr>
          <w:vertAlign w:val="subscript"/>
        </w:rPr>
        <w:t>30</w:t>
      </w:r>
      <w:r w:rsidR="002C5E0C" w:rsidRPr="00FE13FB">
        <w:t xml:space="preserve"> </w:t>
      </w:r>
      <w:r w:rsidRPr="00FE13FB">
        <w:t>C</w:t>
      </w:r>
      <w:r w:rsidRPr="00FE13FB">
        <w:rPr>
          <w:vertAlign w:val="subscript"/>
        </w:rPr>
        <w:t>T</w:t>
      </w:r>
      <w:r w:rsidRPr="00FE13FB">
        <w:t xml:space="preserve"> (as appropriate) to calculate </w:t>
      </w:r>
      <w:r w:rsidRPr="00FE13FB">
        <w:sym w:font="Symbol" w:char="F044"/>
      </w:r>
      <w:r w:rsidRPr="00FE13FB">
        <w:t>C</w:t>
      </w:r>
      <w:r w:rsidRPr="00FE13FB">
        <w:rPr>
          <w:vertAlign w:val="subscript"/>
        </w:rPr>
        <w:t>T</w:t>
      </w:r>
      <w:r w:rsidRPr="00FE13FB">
        <w:t>; whereas, if two or three of three replicates showed positive C</w:t>
      </w:r>
      <w:r w:rsidRPr="00FE13FB">
        <w:rPr>
          <w:vertAlign w:val="subscript"/>
        </w:rPr>
        <w:t>T</w:t>
      </w:r>
      <w:r w:rsidRPr="00FE13FB">
        <w:t xml:space="preserve"> values, the average of the positive C</w:t>
      </w:r>
      <w:r w:rsidRPr="00FE13FB">
        <w:rPr>
          <w:vertAlign w:val="subscript"/>
        </w:rPr>
        <w:t>T</w:t>
      </w:r>
      <w:r w:rsidRPr="00FE13FB">
        <w:t xml:space="preserve"> values was used to calculate </w:t>
      </w:r>
      <w:r w:rsidRPr="00FE13FB">
        <w:sym w:font="Symbol" w:char="F044"/>
      </w:r>
      <w:r w:rsidRPr="00FE13FB">
        <w:t>C</w:t>
      </w:r>
      <w:r w:rsidRPr="00FE13FB">
        <w:rPr>
          <w:vertAlign w:val="subscript"/>
        </w:rPr>
        <w:t>T</w:t>
      </w:r>
      <w:r w:rsidRPr="00FE13FB">
        <w:t>.</w:t>
      </w:r>
      <w:r w:rsidR="002C5E0C">
        <w:t xml:space="preserve"> </w:t>
      </w:r>
      <w:r w:rsidRPr="00FE13FB">
        <w:t xml:space="preserve">The RV-PCR method sensitivity of detection was equivalent to the </w:t>
      </w:r>
      <w:r w:rsidRPr="00FE13FB">
        <w:rPr>
          <w:i/>
        </w:rPr>
        <w:t>F. tularensis</w:t>
      </w:r>
      <w:r w:rsidRPr="00FE13FB">
        <w:t xml:space="preserve"> cell level where 100% of the spiked samples had ∆C</w:t>
      </w:r>
      <w:r w:rsidRPr="00FE13FB">
        <w:rPr>
          <w:vertAlign w:val="subscript"/>
        </w:rPr>
        <w:t>T</w:t>
      </w:r>
      <w:r w:rsidRPr="00FE13FB">
        <w:t xml:space="preserve"> ≥ 6. This value was essentially an analytical sensitivity of detection for the RV-PCR method and did not account for any losses that could occur from sampling and sample handling prior to RV-PCR analysis.</w:t>
      </w:r>
    </w:p>
    <w:p w14:paraId="26BE3140" w14:textId="7B2AC52D" w:rsidR="00084E68" w:rsidRPr="00084E68" w:rsidRDefault="00084E68" w:rsidP="00084E68">
      <w:pPr>
        <w:keepNext/>
        <w:spacing w:before="120" w:after="120"/>
        <w:rPr>
          <w:rFonts w:eastAsia="Calibri"/>
          <w:b/>
          <w:bCs/>
          <w:color w:val="000000"/>
        </w:rPr>
      </w:pPr>
      <w:bookmarkStart w:id="1" w:name="_Ref426117622"/>
      <w:bookmarkStart w:id="2" w:name="_Toc522699371"/>
      <w:bookmarkStart w:id="3" w:name="_Toc530162607"/>
      <w:r w:rsidRPr="00084E68">
        <w:rPr>
          <w:rFonts w:eastAsia="Calibri"/>
          <w:b/>
          <w:bCs/>
          <w:color w:val="000000"/>
        </w:rPr>
        <w:t xml:space="preserve">Table </w:t>
      </w:r>
      <w:r w:rsidRPr="00084E68">
        <w:rPr>
          <w:rFonts w:eastAsia="Calibri"/>
          <w:b/>
          <w:bCs/>
          <w:noProof/>
          <w:color w:val="000000"/>
        </w:rPr>
        <w:fldChar w:fldCharType="begin"/>
      </w:r>
      <w:r w:rsidRPr="00084E68">
        <w:rPr>
          <w:rFonts w:eastAsia="Calibri"/>
          <w:b/>
          <w:bCs/>
          <w:noProof/>
          <w:color w:val="000000"/>
        </w:rPr>
        <w:instrText xml:space="preserve"> SEQ Table \* ARABIC </w:instrText>
      </w:r>
      <w:r w:rsidRPr="00084E68">
        <w:rPr>
          <w:rFonts w:eastAsia="Calibri"/>
          <w:b/>
          <w:bCs/>
          <w:noProof/>
          <w:color w:val="000000"/>
        </w:rPr>
        <w:fldChar w:fldCharType="separate"/>
      </w:r>
      <w:r w:rsidR="004635B0">
        <w:rPr>
          <w:rFonts w:eastAsia="Calibri"/>
          <w:b/>
          <w:bCs/>
          <w:noProof/>
          <w:color w:val="000000"/>
        </w:rPr>
        <w:t>1</w:t>
      </w:r>
      <w:r w:rsidRPr="00084E68">
        <w:rPr>
          <w:rFonts w:eastAsia="Calibri"/>
          <w:b/>
          <w:bCs/>
          <w:noProof/>
          <w:color w:val="000000"/>
        </w:rPr>
        <w:fldChar w:fldCharType="end"/>
      </w:r>
      <w:bookmarkEnd w:id="1"/>
      <w:r w:rsidRPr="00084E68">
        <w:rPr>
          <w:rFonts w:eastAsia="Calibri"/>
          <w:b/>
          <w:bCs/>
          <w:noProof/>
          <w:color w:val="000000"/>
        </w:rPr>
        <w:t>.</w:t>
      </w:r>
      <w:r w:rsidRPr="00084E68">
        <w:rPr>
          <w:rFonts w:eastAsia="Calibri"/>
          <w:b/>
          <w:bCs/>
          <w:color w:val="000000"/>
        </w:rPr>
        <w:t xml:space="preserve"> Nucleotide Sequences of the Primer/Probe Sets Used for </w:t>
      </w:r>
      <w:r w:rsidRPr="00084E68">
        <w:rPr>
          <w:rFonts w:eastAsia="Calibri"/>
          <w:b/>
          <w:bCs/>
          <w:i/>
          <w:color w:val="000000"/>
        </w:rPr>
        <w:t>Francisella tularensis</w:t>
      </w:r>
      <w:r w:rsidRPr="00084E68">
        <w:rPr>
          <w:rFonts w:eastAsia="Calibri"/>
          <w:b/>
          <w:bCs/>
          <w:color w:val="000000"/>
        </w:rPr>
        <w:t xml:space="preserve"> RV-PCR Analysis</w:t>
      </w:r>
      <w:bookmarkEnd w:id="2"/>
      <w:bookmarkEnd w:id="3"/>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979"/>
        <w:gridCol w:w="1890"/>
        <w:gridCol w:w="2246"/>
        <w:gridCol w:w="1455"/>
        <w:gridCol w:w="1278"/>
      </w:tblGrid>
      <w:tr w:rsidR="00E425DA" w:rsidRPr="00084E68" w14:paraId="52C0069D" w14:textId="49C193F3" w:rsidTr="002B106A">
        <w:trPr>
          <w:tblHeader/>
          <w:jc w:val="center"/>
        </w:trPr>
        <w:tc>
          <w:tcPr>
            <w:tcW w:w="1080" w:type="dxa"/>
            <w:shd w:val="clear" w:color="auto" w:fill="D9D9D9"/>
            <w:vAlign w:val="center"/>
          </w:tcPr>
          <w:p w14:paraId="697429EE" w14:textId="2DF0A21A" w:rsidR="00E425DA" w:rsidRPr="00084E68" w:rsidRDefault="00E425DA" w:rsidP="00084E68">
            <w:pPr>
              <w:spacing w:before="120" w:after="240"/>
              <w:jc w:val="center"/>
              <w:rPr>
                <w:rFonts w:eastAsia="MS Mincho"/>
                <w:b/>
                <w:sz w:val="22"/>
                <w:szCs w:val="22"/>
              </w:rPr>
            </w:pPr>
            <w:r w:rsidRPr="00084E68">
              <w:rPr>
                <w:rFonts w:eastAsia="MS Mincho"/>
                <w:b/>
                <w:sz w:val="22"/>
                <w:szCs w:val="22"/>
              </w:rPr>
              <w:t>Assay</w:t>
            </w:r>
            <w:r w:rsidR="00F33BDF">
              <w:rPr>
                <w:rFonts w:eastAsia="MS Mincho"/>
                <w:b/>
                <w:sz w:val="22"/>
                <w:szCs w:val="22"/>
              </w:rPr>
              <w:t xml:space="preserve"> ID</w:t>
            </w:r>
          </w:p>
        </w:tc>
        <w:tc>
          <w:tcPr>
            <w:tcW w:w="1979" w:type="dxa"/>
            <w:shd w:val="clear" w:color="auto" w:fill="D9D9D9"/>
            <w:vAlign w:val="center"/>
          </w:tcPr>
          <w:p w14:paraId="28798CD1" w14:textId="77777777" w:rsidR="00E425DA" w:rsidRPr="00084E68" w:rsidRDefault="00E425DA" w:rsidP="00084E68">
            <w:pPr>
              <w:spacing w:before="120" w:after="240"/>
              <w:jc w:val="center"/>
              <w:rPr>
                <w:rFonts w:eastAsia="MS Mincho"/>
                <w:b/>
                <w:sz w:val="22"/>
                <w:szCs w:val="22"/>
              </w:rPr>
            </w:pPr>
            <w:r w:rsidRPr="00084E68">
              <w:rPr>
                <w:rFonts w:eastAsia="MS Mincho"/>
                <w:b/>
                <w:sz w:val="22"/>
                <w:szCs w:val="22"/>
              </w:rPr>
              <w:t>Forward Primer*</w:t>
            </w:r>
          </w:p>
        </w:tc>
        <w:tc>
          <w:tcPr>
            <w:tcW w:w="1890" w:type="dxa"/>
            <w:shd w:val="clear" w:color="auto" w:fill="D9D9D9"/>
            <w:vAlign w:val="center"/>
          </w:tcPr>
          <w:p w14:paraId="5A1C0358" w14:textId="77777777" w:rsidR="00E425DA" w:rsidRPr="00084E68" w:rsidRDefault="00E425DA" w:rsidP="00084E68">
            <w:pPr>
              <w:spacing w:before="120" w:after="240"/>
              <w:jc w:val="center"/>
              <w:rPr>
                <w:rFonts w:eastAsia="MS Mincho"/>
                <w:b/>
                <w:sz w:val="22"/>
                <w:szCs w:val="22"/>
              </w:rPr>
            </w:pPr>
            <w:r w:rsidRPr="00084E68">
              <w:rPr>
                <w:rFonts w:eastAsia="MS Mincho"/>
                <w:b/>
                <w:sz w:val="22"/>
                <w:szCs w:val="22"/>
              </w:rPr>
              <w:t>Reverse Primer*</w:t>
            </w:r>
          </w:p>
        </w:tc>
        <w:tc>
          <w:tcPr>
            <w:tcW w:w="2246" w:type="dxa"/>
            <w:shd w:val="clear" w:color="auto" w:fill="D9D9D9"/>
            <w:vAlign w:val="center"/>
          </w:tcPr>
          <w:p w14:paraId="7FB92380" w14:textId="77777777" w:rsidR="00E425DA" w:rsidRPr="00084E68" w:rsidRDefault="00E425DA" w:rsidP="00084E68">
            <w:pPr>
              <w:spacing w:before="120" w:after="240"/>
              <w:jc w:val="center"/>
              <w:rPr>
                <w:rFonts w:eastAsia="MS Mincho"/>
                <w:b/>
                <w:sz w:val="22"/>
                <w:szCs w:val="22"/>
              </w:rPr>
            </w:pPr>
            <w:r w:rsidRPr="00084E68">
              <w:rPr>
                <w:rFonts w:eastAsia="MS Mincho"/>
                <w:b/>
                <w:sz w:val="22"/>
                <w:szCs w:val="22"/>
              </w:rPr>
              <w:t>Probe*</w:t>
            </w:r>
          </w:p>
        </w:tc>
        <w:tc>
          <w:tcPr>
            <w:tcW w:w="1455" w:type="dxa"/>
            <w:shd w:val="clear" w:color="auto" w:fill="D9D9D9"/>
            <w:vAlign w:val="center"/>
          </w:tcPr>
          <w:p w14:paraId="7C93F236" w14:textId="77777777" w:rsidR="00E425DA" w:rsidRPr="00084E68" w:rsidRDefault="00E425DA" w:rsidP="00084E68">
            <w:pPr>
              <w:spacing w:before="120" w:after="240"/>
              <w:jc w:val="center"/>
              <w:rPr>
                <w:rFonts w:eastAsia="MS Mincho"/>
                <w:b/>
                <w:sz w:val="22"/>
                <w:szCs w:val="22"/>
              </w:rPr>
            </w:pPr>
            <w:r w:rsidRPr="00084E68">
              <w:rPr>
                <w:rFonts w:eastAsia="MS Mincho"/>
                <w:b/>
                <w:sz w:val="22"/>
                <w:szCs w:val="22"/>
              </w:rPr>
              <w:t>Amplicon Length (bp)</w:t>
            </w:r>
          </w:p>
        </w:tc>
        <w:tc>
          <w:tcPr>
            <w:tcW w:w="1278" w:type="dxa"/>
            <w:shd w:val="clear" w:color="auto" w:fill="D9D9D9"/>
            <w:vAlign w:val="center"/>
          </w:tcPr>
          <w:p w14:paraId="2255ACB1" w14:textId="785FA2ED" w:rsidR="00E425DA" w:rsidRPr="00084E68" w:rsidRDefault="00E425DA">
            <w:pPr>
              <w:spacing w:before="120" w:after="240"/>
              <w:jc w:val="center"/>
              <w:rPr>
                <w:rFonts w:eastAsia="MS Mincho"/>
                <w:b/>
                <w:sz w:val="22"/>
                <w:szCs w:val="22"/>
              </w:rPr>
            </w:pPr>
            <w:r>
              <w:rPr>
                <w:rFonts w:eastAsia="MS Mincho"/>
                <w:b/>
                <w:sz w:val="22"/>
                <w:szCs w:val="22"/>
              </w:rPr>
              <w:t>Reference</w:t>
            </w:r>
          </w:p>
        </w:tc>
      </w:tr>
      <w:tr w:rsidR="00E425DA" w:rsidRPr="00084E68" w14:paraId="19BE229F" w14:textId="4BCECCDB" w:rsidTr="002B106A">
        <w:trPr>
          <w:trHeight w:val="1151"/>
          <w:jc w:val="center"/>
        </w:trPr>
        <w:tc>
          <w:tcPr>
            <w:tcW w:w="1080" w:type="dxa"/>
            <w:vAlign w:val="center"/>
          </w:tcPr>
          <w:p w14:paraId="2BCA9EC3" w14:textId="77777777" w:rsidR="00E425DA" w:rsidRPr="00084E68" w:rsidRDefault="00E425DA" w:rsidP="002B106A">
            <w:pPr>
              <w:spacing w:before="40" w:after="80"/>
              <w:jc w:val="center"/>
              <w:rPr>
                <w:rFonts w:eastAsia="MS Mincho"/>
                <w:b/>
                <w:sz w:val="22"/>
                <w:szCs w:val="22"/>
              </w:rPr>
            </w:pPr>
            <w:r w:rsidRPr="00084E68">
              <w:rPr>
                <w:rFonts w:eastAsia="MS Mincho"/>
                <w:b/>
                <w:sz w:val="22"/>
                <w:szCs w:val="22"/>
              </w:rPr>
              <w:t>F4</w:t>
            </w:r>
          </w:p>
        </w:tc>
        <w:tc>
          <w:tcPr>
            <w:tcW w:w="1979" w:type="dxa"/>
            <w:vAlign w:val="center"/>
          </w:tcPr>
          <w:p w14:paraId="17395DA2" w14:textId="77777777" w:rsidR="00E425DA" w:rsidRPr="00084E68" w:rsidRDefault="00E425DA" w:rsidP="002B106A">
            <w:pPr>
              <w:spacing w:before="40" w:after="80"/>
              <w:ind w:right="-108"/>
              <w:rPr>
                <w:rFonts w:eastAsia="MS Mincho"/>
                <w:sz w:val="22"/>
                <w:szCs w:val="22"/>
              </w:rPr>
            </w:pPr>
            <w:r w:rsidRPr="00084E68">
              <w:rPr>
                <w:caps/>
                <w:sz w:val="22"/>
                <w:szCs w:val="22"/>
              </w:rPr>
              <w:t>TTGCTCCAGTAGCTGCAAGATT</w:t>
            </w:r>
          </w:p>
        </w:tc>
        <w:tc>
          <w:tcPr>
            <w:tcW w:w="1890" w:type="dxa"/>
            <w:vAlign w:val="center"/>
          </w:tcPr>
          <w:p w14:paraId="0EC9CB93" w14:textId="77777777" w:rsidR="00E425DA" w:rsidRPr="00084E68" w:rsidRDefault="00E425DA" w:rsidP="002B106A">
            <w:pPr>
              <w:spacing w:before="40" w:after="80"/>
              <w:ind w:right="69"/>
              <w:rPr>
                <w:rFonts w:eastAsia="MS Mincho"/>
                <w:sz w:val="22"/>
                <w:szCs w:val="22"/>
              </w:rPr>
            </w:pPr>
            <w:r w:rsidRPr="00084E68">
              <w:rPr>
                <w:caps/>
                <w:sz w:val="22"/>
                <w:szCs w:val="22"/>
              </w:rPr>
              <w:t>CCAAGTGCTTGGTGGTGGTA</w:t>
            </w:r>
          </w:p>
        </w:tc>
        <w:tc>
          <w:tcPr>
            <w:tcW w:w="2246" w:type="dxa"/>
            <w:vAlign w:val="center"/>
          </w:tcPr>
          <w:p w14:paraId="6E9370F6" w14:textId="77777777" w:rsidR="00E425DA" w:rsidRPr="00084E68" w:rsidRDefault="00E425DA" w:rsidP="002B106A">
            <w:pPr>
              <w:spacing w:before="40" w:after="80"/>
              <w:ind w:right="-38"/>
              <w:rPr>
                <w:rFonts w:eastAsia="MS Mincho"/>
                <w:sz w:val="22"/>
                <w:szCs w:val="22"/>
              </w:rPr>
            </w:pPr>
            <w:r w:rsidRPr="00084E68">
              <w:rPr>
                <w:sz w:val="22"/>
                <w:szCs w:val="22"/>
              </w:rPr>
              <w:t>FAM-</w:t>
            </w:r>
            <w:r w:rsidRPr="00084E68">
              <w:rPr>
                <w:caps/>
                <w:sz w:val="22"/>
                <w:szCs w:val="22"/>
              </w:rPr>
              <w:t>TGCTGCCGAGATGTTTTCATTATTAACTGATGC</w:t>
            </w:r>
            <w:r w:rsidRPr="00084E68">
              <w:rPr>
                <w:sz w:val="22"/>
                <w:szCs w:val="22"/>
              </w:rPr>
              <w:t>-BHQ</w:t>
            </w:r>
          </w:p>
        </w:tc>
        <w:tc>
          <w:tcPr>
            <w:tcW w:w="1455" w:type="dxa"/>
            <w:vAlign w:val="center"/>
          </w:tcPr>
          <w:p w14:paraId="29616DCD" w14:textId="77777777" w:rsidR="00E425DA" w:rsidRPr="00084E68" w:rsidRDefault="00E425DA" w:rsidP="002B106A">
            <w:pPr>
              <w:spacing w:before="40" w:after="80"/>
              <w:jc w:val="center"/>
              <w:rPr>
                <w:rFonts w:eastAsia="MS Mincho"/>
                <w:sz w:val="22"/>
                <w:szCs w:val="22"/>
              </w:rPr>
            </w:pPr>
            <w:r w:rsidRPr="00084E68">
              <w:rPr>
                <w:rFonts w:eastAsia="MS Mincho"/>
                <w:sz w:val="22"/>
                <w:szCs w:val="22"/>
              </w:rPr>
              <w:t>125</w:t>
            </w:r>
          </w:p>
        </w:tc>
        <w:tc>
          <w:tcPr>
            <w:tcW w:w="1278" w:type="dxa"/>
            <w:vAlign w:val="center"/>
          </w:tcPr>
          <w:p w14:paraId="5795BD22" w14:textId="11D96C9E" w:rsidR="00E425DA" w:rsidRPr="00E425DA" w:rsidRDefault="00033021" w:rsidP="002B106A">
            <w:pPr>
              <w:spacing w:before="40" w:after="80"/>
              <w:jc w:val="center"/>
              <w:rPr>
                <w:rFonts w:eastAsia="MS Mincho"/>
                <w:sz w:val="22"/>
                <w:szCs w:val="22"/>
              </w:rPr>
            </w:pPr>
            <w:r>
              <w:rPr>
                <w:rFonts w:eastAsia="MS Mincho"/>
                <w:sz w:val="22"/>
                <w:szCs w:val="22"/>
              </w:rPr>
              <w:t>This study</w:t>
            </w:r>
            <w:r w:rsidRPr="00EE32D7">
              <w:rPr>
                <w:sz w:val="22"/>
                <w:szCs w:val="22"/>
              </w:rPr>
              <w:t xml:space="preserve"> </w:t>
            </w:r>
          </w:p>
        </w:tc>
      </w:tr>
      <w:tr w:rsidR="00E425DA" w:rsidRPr="00084E68" w14:paraId="2DBF3124" w14:textId="26859772" w:rsidTr="002B106A">
        <w:trPr>
          <w:trHeight w:val="818"/>
          <w:jc w:val="center"/>
        </w:trPr>
        <w:tc>
          <w:tcPr>
            <w:tcW w:w="1080" w:type="dxa"/>
            <w:vAlign w:val="center"/>
          </w:tcPr>
          <w:p w14:paraId="2E42FCBD" w14:textId="77777777" w:rsidR="00E425DA" w:rsidRPr="00084E68" w:rsidRDefault="00E425DA" w:rsidP="002B106A">
            <w:pPr>
              <w:spacing w:before="40" w:after="80"/>
              <w:jc w:val="center"/>
              <w:rPr>
                <w:rFonts w:eastAsia="MS Mincho"/>
                <w:b/>
                <w:sz w:val="22"/>
                <w:szCs w:val="22"/>
              </w:rPr>
            </w:pPr>
            <w:r w:rsidRPr="00084E68">
              <w:rPr>
                <w:rFonts w:eastAsia="MS Mincho"/>
                <w:b/>
                <w:sz w:val="22"/>
                <w:szCs w:val="22"/>
              </w:rPr>
              <w:t>F5</w:t>
            </w:r>
          </w:p>
        </w:tc>
        <w:tc>
          <w:tcPr>
            <w:tcW w:w="1979" w:type="dxa"/>
            <w:vAlign w:val="center"/>
          </w:tcPr>
          <w:p w14:paraId="5AE6A35E" w14:textId="77777777" w:rsidR="00E425DA" w:rsidRPr="00084E68" w:rsidRDefault="00E425DA" w:rsidP="002B106A">
            <w:pPr>
              <w:spacing w:before="40" w:after="80"/>
              <w:ind w:right="-108"/>
              <w:rPr>
                <w:rFonts w:eastAsia="MS Mincho"/>
                <w:sz w:val="22"/>
                <w:szCs w:val="22"/>
              </w:rPr>
            </w:pPr>
            <w:r w:rsidRPr="00084E68">
              <w:rPr>
                <w:caps/>
                <w:sz w:val="22"/>
                <w:szCs w:val="22"/>
              </w:rPr>
              <w:t>GAGACATCAATTAAAAGAAGCAATACCTT</w:t>
            </w:r>
          </w:p>
        </w:tc>
        <w:tc>
          <w:tcPr>
            <w:tcW w:w="1890" w:type="dxa"/>
            <w:vAlign w:val="center"/>
          </w:tcPr>
          <w:p w14:paraId="5D163CA4" w14:textId="77777777" w:rsidR="00E425DA" w:rsidRPr="00084E68" w:rsidRDefault="00E425DA" w:rsidP="002B106A">
            <w:pPr>
              <w:spacing w:before="40" w:after="80"/>
              <w:ind w:right="69"/>
              <w:rPr>
                <w:rFonts w:eastAsia="MS Mincho"/>
                <w:sz w:val="22"/>
                <w:szCs w:val="22"/>
              </w:rPr>
            </w:pPr>
            <w:r w:rsidRPr="00084E68">
              <w:rPr>
                <w:caps/>
                <w:sz w:val="22"/>
                <w:szCs w:val="22"/>
              </w:rPr>
              <w:t>CCAAGAGTACTATTTCCGGTTGGT</w:t>
            </w:r>
          </w:p>
        </w:tc>
        <w:tc>
          <w:tcPr>
            <w:tcW w:w="2246" w:type="dxa"/>
            <w:vAlign w:val="center"/>
          </w:tcPr>
          <w:p w14:paraId="39214435" w14:textId="77777777" w:rsidR="00E425DA" w:rsidRPr="00084E68" w:rsidRDefault="00E425DA" w:rsidP="002B106A">
            <w:pPr>
              <w:spacing w:before="40" w:after="80"/>
              <w:ind w:right="-38"/>
              <w:rPr>
                <w:caps/>
                <w:sz w:val="22"/>
                <w:szCs w:val="22"/>
              </w:rPr>
            </w:pPr>
            <w:r w:rsidRPr="00084E68">
              <w:rPr>
                <w:sz w:val="22"/>
                <w:szCs w:val="22"/>
              </w:rPr>
              <w:t>FAM-</w:t>
            </w:r>
            <w:r w:rsidRPr="00084E68">
              <w:rPr>
                <w:caps/>
                <w:sz w:val="22"/>
                <w:szCs w:val="22"/>
              </w:rPr>
              <w:t>AAAATTCTGCTCAGCAGGATTTTGATTTGGTT</w:t>
            </w:r>
            <w:r w:rsidRPr="00084E68">
              <w:rPr>
                <w:sz w:val="22"/>
                <w:szCs w:val="22"/>
              </w:rPr>
              <w:t>-BHQ</w:t>
            </w:r>
          </w:p>
        </w:tc>
        <w:tc>
          <w:tcPr>
            <w:tcW w:w="1455" w:type="dxa"/>
            <w:vAlign w:val="center"/>
          </w:tcPr>
          <w:p w14:paraId="4C427CEB" w14:textId="77777777" w:rsidR="00E425DA" w:rsidRPr="00084E68" w:rsidRDefault="00E425DA" w:rsidP="002B106A">
            <w:pPr>
              <w:spacing w:before="40" w:after="80"/>
              <w:jc w:val="center"/>
              <w:rPr>
                <w:rFonts w:eastAsia="MS Mincho"/>
                <w:sz w:val="22"/>
                <w:szCs w:val="22"/>
              </w:rPr>
            </w:pPr>
            <w:r w:rsidRPr="00084E68">
              <w:rPr>
                <w:rFonts w:eastAsia="MS Mincho"/>
                <w:sz w:val="22"/>
                <w:szCs w:val="22"/>
              </w:rPr>
              <w:t>105</w:t>
            </w:r>
          </w:p>
        </w:tc>
        <w:tc>
          <w:tcPr>
            <w:tcW w:w="1278" w:type="dxa"/>
            <w:vAlign w:val="center"/>
          </w:tcPr>
          <w:p w14:paraId="6E0FBEF0" w14:textId="5D28A87D" w:rsidR="00E425DA" w:rsidRPr="00E425DA" w:rsidRDefault="00033021" w:rsidP="002B106A">
            <w:pPr>
              <w:spacing w:before="40" w:after="80"/>
              <w:jc w:val="center"/>
              <w:rPr>
                <w:rFonts w:eastAsia="MS Mincho"/>
                <w:sz w:val="22"/>
                <w:szCs w:val="22"/>
              </w:rPr>
            </w:pPr>
            <w:r w:rsidRPr="00E833F3">
              <w:rPr>
                <w:sz w:val="22"/>
                <w:szCs w:val="22"/>
              </w:rPr>
              <w:t xml:space="preserve">Kugeler et al. </w:t>
            </w:r>
            <w:r>
              <w:rPr>
                <w:sz w:val="22"/>
                <w:szCs w:val="22"/>
              </w:rPr>
              <w:t>(</w:t>
            </w:r>
            <w:r w:rsidRPr="00E833F3">
              <w:rPr>
                <w:sz w:val="22"/>
                <w:szCs w:val="22"/>
              </w:rPr>
              <w:t>2006</w:t>
            </w:r>
            <w:r>
              <w:rPr>
                <w:sz w:val="22"/>
                <w:szCs w:val="22"/>
              </w:rPr>
              <w:t>)</w:t>
            </w:r>
          </w:p>
        </w:tc>
      </w:tr>
    </w:tbl>
    <w:p w14:paraId="1ACD0FE4" w14:textId="1DDF31DA" w:rsidR="00084E68" w:rsidRPr="00084E68" w:rsidRDefault="00084E68" w:rsidP="00084E68">
      <w:pPr>
        <w:rPr>
          <w:rFonts w:eastAsia="MS Mincho"/>
          <w:sz w:val="18"/>
          <w:szCs w:val="18"/>
        </w:rPr>
      </w:pPr>
      <w:r w:rsidRPr="00084E68">
        <w:rPr>
          <w:rFonts w:eastAsia="MS Mincho"/>
          <w:sz w:val="20"/>
          <w:szCs w:val="20"/>
        </w:rPr>
        <w:t xml:space="preserve">* Sequences are listed in 5’ to 3’ orientation.  Acronyms: </w:t>
      </w:r>
      <w:r w:rsidR="00D929F3">
        <w:rPr>
          <w:rFonts w:eastAsia="MS Mincho"/>
          <w:sz w:val="20"/>
          <w:szCs w:val="20"/>
        </w:rPr>
        <w:t>b</w:t>
      </w:r>
      <w:r w:rsidRPr="00084E68">
        <w:rPr>
          <w:rFonts w:eastAsia="MS Mincho"/>
          <w:sz w:val="20"/>
          <w:szCs w:val="20"/>
        </w:rPr>
        <w:t xml:space="preserve">p, base pair; </w:t>
      </w:r>
      <w:r w:rsidRPr="00084E68">
        <w:rPr>
          <w:rFonts w:eastAsia="MS Mincho"/>
          <w:sz w:val="18"/>
          <w:szCs w:val="18"/>
        </w:rPr>
        <w:t>FAM, fluorescein; BHQ, Black Hole Quencher</w:t>
      </w:r>
    </w:p>
    <w:p w14:paraId="672D13E8" w14:textId="77777777" w:rsidR="00084E68" w:rsidRDefault="00084E68" w:rsidP="00BF25FC">
      <w:pPr>
        <w:spacing w:line="480" w:lineRule="auto"/>
      </w:pPr>
    </w:p>
    <w:p w14:paraId="158F9FBE" w14:textId="51027208" w:rsidR="0071722F" w:rsidRPr="00BF25FC" w:rsidRDefault="004A3483" w:rsidP="00BF25FC">
      <w:pPr>
        <w:spacing w:line="480" w:lineRule="auto"/>
      </w:pPr>
      <w:r w:rsidRPr="00BF25FC">
        <w:t>R</w:t>
      </w:r>
      <w:r w:rsidR="00A76213" w:rsidRPr="00BF25FC">
        <w:t xml:space="preserve">eal-time PCR assay optimization showed that addition of 1.25 U </w:t>
      </w:r>
      <w:r w:rsidR="00D67B7D">
        <w:t>Plat Taq</w:t>
      </w:r>
      <w:r w:rsidR="00A76213" w:rsidRPr="00BF25FC">
        <w:t xml:space="preserve"> </w:t>
      </w:r>
      <w:r w:rsidR="00C20FF3">
        <w:t>per</w:t>
      </w:r>
      <w:r w:rsidR="00A76213" w:rsidRPr="00BF25FC">
        <w:t xml:space="preserve"> reaction resulted in better sensitivity</w:t>
      </w:r>
      <w:r w:rsidR="00D67B7D">
        <w:t>,</w:t>
      </w:r>
      <w:r w:rsidR="00A76213" w:rsidRPr="00BF25FC">
        <w:t xml:space="preserve"> with average C</w:t>
      </w:r>
      <w:r w:rsidR="00A76213" w:rsidRPr="00BF25FC">
        <w:rPr>
          <w:vertAlign w:val="subscript"/>
        </w:rPr>
        <w:t>T</w:t>
      </w:r>
      <w:r w:rsidR="00A76213" w:rsidRPr="00BF25FC">
        <w:t xml:space="preserve"> values reduced with the enzyme addition by an average 9.8 and 8.9 C</w:t>
      </w:r>
      <w:r w:rsidR="00A76213" w:rsidRPr="00BF25FC">
        <w:rPr>
          <w:vertAlign w:val="subscript"/>
        </w:rPr>
        <w:t>T</w:t>
      </w:r>
      <w:r w:rsidR="00A76213" w:rsidRPr="00BF25FC">
        <w:t xml:space="preserve"> units for F4 and F5 assays, respectively. </w:t>
      </w:r>
      <w:r w:rsidR="007029D4">
        <w:t xml:space="preserve">Both assays showed detection of 5 fg Schu S4 genomic DNA with </w:t>
      </w:r>
      <w:r w:rsidR="00D67B7D">
        <w:t>Plat Taq</w:t>
      </w:r>
      <w:r w:rsidR="007029D4">
        <w:t xml:space="preserve"> added; t</w:t>
      </w:r>
      <w:r w:rsidR="00A76213" w:rsidRPr="00BF25FC">
        <w:t xml:space="preserve">herefore, </w:t>
      </w:r>
      <w:r w:rsidR="007029D4">
        <w:t xml:space="preserve">it </w:t>
      </w:r>
      <w:r w:rsidR="00A76213" w:rsidRPr="00BF25FC">
        <w:t>was included along with the AmpliTaq Gold</w:t>
      </w:r>
      <w:r w:rsidR="00A76213" w:rsidRPr="00BF25FC">
        <w:rPr>
          <w:vertAlign w:val="superscript"/>
        </w:rPr>
        <w:t>®</w:t>
      </w:r>
      <w:r w:rsidR="00A76213" w:rsidRPr="00BF25FC">
        <w:t xml:space="preserve"> DNA polymerase from the MasterMix. </w:t>
      </w:r>
      <w:r w:rsidR="00033021">
        <w:rPr>
          <w:color w:val="000000"/>
        </w:rPr>
        <w:t>In addition</w:t>
      </w:r>
      <w:r w:rsidR="0071722F" w:rsidRPr="00BF25FC">
        <w:rPr>
          <w:color w:val="000000"/>
        </w:rPr>
        <w:t xml:space="preserve">, DNA extracts from the </w:t>
      </w:r>
      <w:r w:rsidR="00033021">
        <w:rPr>
          <w:color w:val="000000"/>
        </w:rPr>
        <w:t xml:space="preserve">automated </w:t>
      </w:r>
      <w:r w:rsidR="0071722F" w:rsidRPr="00BF25FC">
        <w:rPr>
          <w:color w:val="000000"/>
        </w:rPr>
        <w:lastRenderedPageBreak/>
        <w:t>Roche MagNA Pure</w:t>
      </w:r>
      <w:r w:rsidR="0071722F" w:rsidRPr="00BF25FC">
        <w:rPr>
          <w:color w:val="000000"/>
          <w:vertAlign w:val="superscript"/>
        </w:rPr>
        <w:t>®</w:t>
      </w:r>
      <w:r w:rsidR="0071722F" w:rsidRPr="00BF25FC">
        <w:rPr>
          <w:color w:val="000000"/>
        </w:rPr>
        <w:t xml:space="preserve"> Compact</w:t>
      </w:r>
      <w:r w:rsidR="00753DD4" w:rsidRPr="00BF25FC">
        <w:rPr>
          <w:color w:val="000000"/>
        </w:rPr>
        <w:t xml:space="preserve"> </w:t>
      </w:r>
      <w:r w:rsidR="0071722F" w:rsidRPr="00BF25FC">
        <w:rPr>
          <w:color w:val="000000"/>
        </w:rPr>
        <w:t>showed an average 1.8 ± 0.9 lower C</w:t>
      </w:r>
      <w:r w:rsidR="0071722F" w:rsidRPr="00BF25FC">
        <w:rPr>
          <w:color w:val="000000"/>
          <w:vertAlign w:val="subscript"/>
        </w:rPr>
        <w:t>T</w:t>
      </w:r>
      <w:r w:rsidR="0071722F" w:rsidRPr="00BF25FC">
        <w:rPr>
          <w:color w:val="000000"/>
        </w:rPr>
        <w:t xml:space="preserve"> values than the manual Promega MagneSil</w:t>
      </w:r>
      <w:r w:rsidR="0071722F" w:rsidRPr="00BF25FC">
        <w:rPr>
          <w:color w:val="000000"/>
          <w:vertAlign w:val="superscript"/>
        </w:rPr>
        <w:t>®</w:t>
      </w:r>
      <w:r w:rsidR="0071722F" w:rsidRPr="00BF25FC">
        <w:rPr>
          <w:color w:val="000000"/>
        </w:rPr>
        <w:t xml:space="preserve"> DNA </w:t>
      </w:r>
      <w:r w:rsidR="00B27064" w:rsidRPr="00BF25FC">
        <w:rPr>
          <w:color w:val="000000"/>
        </w:rPr>
        <w:t xml:space="preserve">kit </w:t>
      </w:r>
      <w:r w:rsidR="0071722F" w:rsidRPr="00BF25FC">
        <w:rPr>
          <w:color w:val="000000"/>
        </w:rPr>
        <w:t>extracts</w:t>
      </w:r>
      <w:r w:rsidR="00033021">
        <w:t>.</w:t>
      </w:r>
      <w:r w:rsidR="0071722F" w:rsidRPr="00BF25FC">
        <w:rPr>
          <w:color w:val="000000"/>
        </w:rPr>
        <w:t xml:space="preserve"> </w:t>
      </w:r>
      <w:r w:rsidR="007029D4">
        <w:t>Although b</w:t>
      </w:r>
      <w:r w:rsidR="0070237E">
        <w:t>oth</w:t>
      </w:r>
      <w:r w:rsidR="0070237E" w:rsidRPr="00BF25FC">
        <w:t xml:space="preserve"> </w:t>
      </w:r>
      <w:r w:rsidR="0071722F" w:rsidRPr="00BF25FC">
        <w:t xml:space="preserve">assays consistently demonstrated &lt; 30 genome equivalent sensitivity, other </w:t>
      </w:r>
      <w:r w:rsidR="007029D4" w:rsidRPr="00BF25FC">
        <w:rPr>
          <w:i/>
        </w:rPr>
        <w:t>F. tularensis</w:t>
      </w:r>
      <w:r w:rsidR="007029D4" w:rsidRPr="00BF25FC">
        <w:t xml:space="preserve"> </w:t>
      </w:r>
      <w:r w:rsidR="0071722F" w:rsidRPr="00BF25FC">
        <w:t>assays could readily be integrated into the RV-PCR method</w:t>
      </w:r>
      <w:r w:rsidR="00D67B7D">
        <w:t>, as well</w:t>
      </w:r>
      <w:r w:rsidR="0071722F" w:rsidRPr="00BF25FC">
        <w:t>.</w:t>
      </w:r>
    </w:p>
    <w:p w14:paraId="41EFE935" w14:textId="77777777" w:rsidR="000A767D" w:rsidRPr="00BF25FC" w:rsidRDefault="000A767D" w:rsidP="00BF25FC">
      <w:pPr>
        <w:spacing w:line="480" w:lineRule="auto"/>
      </w:pPr>
    </w:p>
    <w:p w14:paraId="2E3E5643" w14:textId="242BE870" w:rsidR="00597416" w:rsidRDefault="0049658E">
      <w:pPr>
        <w:spacing w:line="480" w:lineRule="auto"/>
      </w:pPr>
      <w:r w:rsidRPr="002B106A">
        <w:rPr>
          <w:szCs w:val="22"/>
        </w:rPr>
        <w:t xml:space="preserve">Concentration of the </w:t>
      </w:r>
      <w:r>
        <w:rPr>
          <w:szCs w:val="22"/>
        </w:rPr>
        <w:t xml:space="preserve">growth </w:t>
      </w:r>
      <w:r w:rsidRPr="002B106A">
        <w:rPr>
          <w:szCs w:val="22"/>
        </w:rPr>
        <w:t>medium enabled use of a larger volume water sample (3-mL plus 0.6 mL 6X BVFH medium per 5-mL well) and demonstrated reproducible growth even at low inoculum levels</w:t>
      </w:r>
      <w:r>
        <w:rPr>
          <w:szCs w:val="22"/>
        </w:rPr>
        <w:t xml:space="preserve">, </w:t>
      </w:r>
      <w:r w:rsidRPr="002B106A">
        <w:rPr>
          <w:szCs w:val="22"/>
        </w:rPr>
        <w:t>10</w:t>
      </w:r>
      <w:r w:rsidRPr="002B106A">
        <w:rPr>
          <w:szCs w:val="22"/>
          <w:vertAlign w:val="superscript"/>
        </w:rPr>
        <w:t>1</w:t>
      </w:r>
      <w:r w:rsidRPr="002B106A">
        <w:rPr>
          <w:szCs w:val="22"/>
        </w:rPr>
        <w:t xml:space="preserve"> </w:t>
      </w:r>
      <w:r>
        <w:rPr>
          <w:szCs w:val="22"/>
        </w:rPr>
        <w:t>CFU/3-mL (data not shown</w:t>
      </w:r>
      <w:r w:rsidRPr="002B106A">
        <w:rPr>
          <w:szCs w:val="22"/>
        </w:rPr>
        <w:t>).</w:t>
      </w:r>
      <w:r>
        <w:rPr>
          <w:szCs w:val="22"/>
        </w:rPr>
        <w:t xml:space="preserve"> </w:t>
      </w:r>
      <w:r w:rsidR="005C5FC6">
        <w:t>T</w:t>
      </w:r>
      <w:r w:rsidR="005C5FC6" w:rsidRPr="00BF25FC">
        <w:t xml:space="preserve">he </w:t>
      </w:r>
      <w:r>
        <w:t xml:space="preserve">resulting </w:t>
      </w:r>
      <w:r w:rsidR="005C5FC6">
        <w:t xml:space="preserve">RV-PCR </w:t>
      </w:r>
      <w:r w:rsidR="005C5FC6" w:rsidRPr="00BF25FC">
        <w:t>method showed good sensitivity</w:t>
      </w:r>
      <w:r w:rsidR="005C5FC6">
        <w:t>, u</w:t>
      </w:r>
      <w:r w:rsidR="005C5FC6" w:rsidRPr="00BF25FC">
        <w:t xml:space="preserve">sing the criterion of </w:t>
      </w:r>
      <w:r w:rsidR="005C5FC6" w:rsidRPr="00BF25FC">
        <w:sym w:font="Symbol" w:char="F044"/>
      </w:r>
      <w:r w:rsidR="005C5FC6" w:rsidRPr="00BF25FC">
        <w:t>C</w:t>
      </w:r>
      <w:r w:rsidR="005C5FC6" w:rsidRPr="00BF25FC">
        <w:rPr>
          <w:vertAlign w:val="subscript"/>
        </w:rPr>
        <w:t>T</w:t>
      </w:r>
      <w:r w:rsidR="005C5FC6" w:rsidRPr="00BF25FC">
        <w:t xml:space="preserve"> values </w:t>
      </w:r>
      <w:r w:rsidR="005C5FC6" w:rsidRPr="00BF25FC">
        <w:sym w:font="Symbol" w:char="F0B3"/>
      </w:r>
      <w:r w:rsidR="005C5FC6" w:rsidRPr="00BF25FC">
        <w:t xml:space="preserve"> 6 for positive detection </w:t>
      </w:r>
      <w:r w:rsidR="005C5FC6">
        <w:t xml:space="preserve">even in the presence of chemical and biological backgrounds </w:t>
      </w:r>
      <w:r w:rsidR="005C5FC6" w:rsidRPr="00BF25FC">
        <w:t>(</w:t>
      </w:r>
      <w:r w:rsidR="005C5FC6">
        <w:t>Table 2</w:t>
      </w:r>
      <w:r w:rsidR="005C5FC6" w:rsidRPr="00BF25FC">
        <w:t>)</w:t>
      </w:r>
      <w:r w:rsidR="005C5FC6">
        <w:t xml:space="preserve">. For samples containing Fe and humic acid, </w:t>
      </w:r>
      <w:r w:rsidR="00C30FAC">
        <w:t>10</w:t>
      </w:r>
      <w:r w:rsidR="00C30FAC" w:rsidRPr="002B106A">
        <w:rPr>
          <w:vertAlign w:val="superscript"/>
        </w:rPr>
        <w:t>1</w:t>
      </w:r>
      <w:r w:rsidR="00C30FAC">
        <w:t xml:space="preserve"> </w:t>
      </w:r>
      <w:r>
        <w:t xml:space="preserve">Schu S4 </w:t>
      </w:r>
      <w:r w:rsidR="00C30FAC">
        <w:t>CFU</w:t>
      </w:r>
      <w:r w:rsidR="00C873E7">
        <w:t>-level</w:t>
      </w:r>
      <w:r w:rsidR="005C5FC6">
        <w:t xml:space="preserve"> were detected, whereas, 10</w:t>
      </w:r>
      <w:r w:rsidR="005C5FC6" w:rsidRPr="002B106A">
        <w:rPr>
          <w:vertAlign w:val="superscript"/>
        </w:rPr>
        <w:t>2</w:t>
      </w:r>
      <w:r w:rsidR="005C5FC6">
        <w:t xml:space="preserve"> CFU</w:t>
      </w:r>
      <w:r w:rsidR="00C873E7">
        <w:t>-level</w:t>
      </w:r>
      <w:r w:rsidR="005C5FC6">
        <w:t xml:space="preserve"> were detected for samples with ATD </w:t>
      </w:r>
      <w:r w:rsidR="00D67B7D">
        <w:t>(</w:t>
      </w:r>
      <w:r w:rsidR="005C5FC6">
        <w:t xml:space="preserve">containing background </w:t>
      </w:r>
      <w:r w:rsidR="00D67B7D">
        <w:t>microbes)</w:t>
      </w:r>
      <w:r w:rsidR="005C5FC6">
        <w:t>.</w:t>
      </w:r>
      <w:r w:rsidR="005C5FC6" w:rsidRPr="005C5FC6">
        <w:rPr>
          <w:color w:val="000000"/>
        </w:rPr>
        <w:t xml:space="preserve"> </w:t>
      </w:r>
      <w:r w:rsidR="005C5FC6" w:rsidRPr="00D97657">
        <w:rPr>
          <w:color w:val="000000"/>
        </w:rPr>
        <w:t>In general, PCR inhibition did not appear to contribute to higher C</w:t>
      </w:r>
      <w:r w:rsidR="005C5FC6" w:rsidRPr="00D97657">
        <w:rPr>
          <w:color w:val="000000"/>
          <w:vertAlign w:val="subscript"/>
        </w:rPr>
        <w:t>T</w:t>
      </w:r>
      <w:r w:rsidR="005C5FC6" w:rsidRPr="00D97657">
        <w:rPr>
          <w:color w:val="000000"/>
        </w:rPr>
        <w:t xml:space="preserve"> values since the difference between T</w:t>
      </w:r>
      <w:r w:rsidR="005C5FC6" w:rsidRPr="00D97657">
        <w:rPr>
          <w:color w:val="000000"/>
          <w:vertAlign w:val="subscript"/>
        </w:rPr>
        <w:t>30</w:t>
      </w:r>
      <w:r w:rsidR="005C5FC6" w:rsidRPr="00D97657">
        <w:rPr>
          <w:color w:val="000000"/>
        </w:rPr>
        <w:t xml:space="preserve"> C</w:t>
      </w:r>
      <w:r w:rsidR="005C5FC6" w:rsidRPr="00D97657">
        <w:rPr>
          <w:color w:val="000000"/>
          <w:vertAlign w:val="subscript"/>
        </w:rPr>
        <w:t>T</w:t>
      </w:r>
      <w:r w:rsidR="005C5FC6" w:rsidRPr="00D97657">
        <w:rPr>
          <w:color w:val="000000"/>
        </w:rPr>
        <w:t xml:space="preserve"> values for undiluted and </w:t>
      </w:r>
      <w:r w:rsidR="00FE6170">
        <w:rPr>
          <w:color w:val="000000"/>
        </w:rPr>
        <w:t>10-fold</w:t>
      </w:r>
      <w:r w:rsidR="005C5FC6" w:rsidRPr="00D97657">
        <w:rPr>
          <w:color w:val="000000"/>
        </w:rPr>
        <w:t xml:space="preserve"> diluted </w:t>
      </w:r>
      <w:r w:rsidR="005C5FC6">
        <w:rPr>
          <w:color w:val="000000"/>
        </w:rPr>
        <w:t xml:space="preserve">extracts from </w:t>
      </w:r>
      <w:r w:rsidR="005C5FC6" w:rsidRPr="00D97657">
        <w:rPr>
          <w:color w:val="000000"/>
        </w:rPr>
        <w:t>ATD-</w:t>
      </w:r>
      <w:r w:rsidR="005C5FC6" w:rsidRPr="00F34A07">
        <w:rPr>
          <w:color w:val="000000"/>
        </w:rPr>
        <w:t>spiked</w:t>
      </w:r>
      <w:r w:rsidR="005C5FC6" w:rsidRPr="00D97657">
        <w:rPr>
          <w:color w:val="000000"/>
        </w:rPr>
        <w:t xml:space="preserve"> samples showed roughly a three C</w:t>
      </w:r>
      <w:r w:rsidR="005C5FC6" w:rsidRPr="00D97657">
        <w:rPr>
          <w:color w:val="000000"/>
          <w:vertAlign w:val="subscript"/>
        </w:rPr>
        <w:t xml:space="preserve">T </w:t>
      </w:r>
      <w:r w:rsidR="005C5FC6">
        <w:rPr>
          <w:color w:val="000000"/>
        </w:rPr>
        <w:t>difference (data not shown)</w:t>
      </w:r>
      <w:r w:rsidR="005C5FC6" w:rsidRPr="00980B6E">
        <w:rPr>
          <w:color w:val="000000"/>
        </w:rPr>
        <w:t>, as expected</w:t>
      </w:r>
      <w:r w:rsidR="005C5FC6" w:rsidRPr="00BF25FC">
        <w:rPr>
          <w:color w:val="000000"/>
        </w:rPr>
        <w:t xml:space="preserve"> </w:t>
      </w:r>
      <w:r w:rsidR="005C5FC6" w:rsidRPr="00BF25FC">
        <w:t>for a 10-fold lower DNA concentration</w:t>
      </w:r>
      <w:r w:rsidR="005C5FC6" w:rsidRPr="00BF25FC">
        <w:rPr>
          <w:color w:val="000000"/>
        </w:rPr>
        <w:t xml:space="preserve">. </w:t>
      </w:r>
      <w:r w:rsidR="005D22EA">
        <w:t>It is suggested that both undiluted and 10-fold diluted DNA extracts (T</w:t>
      </w:r>
      <w:r w:rsidR="005D22EA" w:rsidRPr="002B106A">
        <w:rPr>
          <w:vertAlign w:val="subscript"/>
        </w:rPr>
        <w:t>0</w:t>
      </w:r>
      <w:r w:rsidR="005D22EA">
        <w:t xml:space="preserve"> and T</w:t>
      </w:r>
      <w:r w:rsidR="005D22EA" w:rsidRPr="002B106A">
        <w:rPr>
          <w:vertAlign w:val="subscript"/>
        </w:rPr>
        <w:t>30</w:t>
      </w:r>
      <w:r w:rsidR="005D22EA">
        <w:t xml:space="preserve">) are analyzed for samples with complex matrices to assess PCR inhibition and provide more data, potentially reducing false negative rates. </w:t>
      </w:r>
    </w:p>
    <w:p w14:paraId="2DB010EA" w14:textId="77777777" w:rsidR="00FE6170" w:rsidRDefault="00FE6170">
      <w:pPr>
        <w:spacing w:line="480" w:lineRule="auto"/>
      </w:pPr>
    </w:p>
    <w:p w14:paraId="23D0BA5E" w14:textId="652843B3" w:rsidR="00312F33" w:rsidRPr="00597416" w:rsidRDefault="00597416" w:rsidP="00BF25FC">
      <w:pPr>
        <w:spacing w:line="480" w:lineRule="auto"/>
      </w:pPr>
      <w:r w:rsidRPr="002B106A">
        <w:rPr>
          <w:szCs w:val="22"/>
        </w:rPr>
        <w:t xml:space="preserve">Growth of </w:t>
      </w:r>
      <w:r w:rsidRPr="002B106A">
        <w:rPr>
          <w:i/>
          <w:szCs w:val="22"/>
        </w:rPr>
        <w:t>F. tularensis</w:t>
      </w:r>
      <w:r w:rsidRPr="002B106A">
        <w:rPr>
          <w:szCs w:val="22"/>
        </w:rPr>
        <w:t xml:space="preserve"> cells may have been enhanced by iron and/or nutrients associated with the humic acid formulation. These data suggest that the </w:t>
      </w:r>
      <w:r w:rsidR="0049658E">
        <w:rPr>
          <w:szCs w:val="22"/>
        </w:rPr>
        <w:t xml:space="preserve">BVFH </w:t>
      </w:r>
      <w:r w:rsidRPr="002B106A">
        <w:rPr>
          <w:szCs w:val="22"/>
        </w:rPr>
        <w:t>growth medium could be further optimized, although this could also enhance growth of competing microbes.</w:t>
      </w:r>
      <w:r>
        <w:rPr>
          <w:szCs w:val="22"/>
        </w:rPr>
        <w:t xml:space="preserve"> </w:t>
      </w:r>
      <w:r w:rsidRPr="002B106A">
        <w:rPr>
          <w:szCs w:val="22"/>
        </w:rPr>
        <w:t xml:space="preserve">Conversely, in the presence of ATD, </w:t>
      </w:r>
      <w:r w:rsidRPr="002B106A">
        <w:rPr>
          <w:i/>
          <w:szCs w:val="22"/>
        </w:rPr>
        <w:t>F. tularensis</w:t>
      </w:r>
      <w:r w:rsidRPr="002B106A">
        <w:rPr>
          <w:szCs w:val="22"/>
        </w:rPr>
        <w:t xml:space="preserve"> growth appeared to be inhibited for low cell levels (10</w:t>
      </w:r>
      <w:r w:rsidRPr="002B106A">
        <w:rPr>
          <w:szCs w:val="22"/>
          <w:vertAlign w:val="superscript"/>
        </w:rPr>
        <w:t>1</w:t>
      </w:r>
      <w:r w:rsidRPr="002B106A">
        <w:rPr>
          <w:szCs w:val="22"/>
        </w:rPr>
        <w:t xml:space="preserve"> CFU/3-mL sample) leading to non-detect results</w:t>
      </w:r>
      <w:r w:rsidR="00FE4B53">
        <w:rPr>
          <w:szCs w:val="22"/>
        </w:rPr>
        <w:t xml:space="preserve"> (although growth was not monitored</w:t>
      </w:r>
      <w:r w:rsidR="0049658E">
        <w:rPr>
          <w:szCs w:val="22"/>
        </w:rPr>
        <w:t xml:space="preserve"> in this case</w:t>
      </w:r>
      <w:r w:rsidR="00FE4B53">
        <w:rPr>
          <w:szCs w:val="22"/>
        </w:rPr>
        <w:t>)</w:t>
      </w:r>
      <w:r w:rsidRPr="002B106A">
        <w:rPr>
          <w:szCs w:val="22"/>
        </w:rPr>
        <w:t xml:space="preserve">, </w:t>
      </w:r>
      <w:r w:rsidRPr="002B106A">
        <w:rPr>
          <w:szCs w:val="22"/>
        </w:rPr>
        <w:lastRenderedPageBreak/>
        <w:t xml:space="preserve">which could not be attributed to PCR inhibition (i.e., both undiluted and 10-fold diluted DNA extracts were non-detect). </w:t>
      </w:r>
      <w:r w:rsidRPr="002B106A">
        <w:t xml:space="preserve">Additional testing is needed to assess RV-PCR method performance with </w:t>
      </w:r>
      <w:r w:rsidR="0049658E">
        <w:t xml:space="preserve">a range </w:t>
      </w:r>
      <w:r w:rsidR="00FE6170">
        <w:t xml:space="preserve">of </w:t>
      </w:r>
      <w:r w:rsidRPr="002B106A">
        <w:t>real-world water samples</w:t>
      </w:r>
      <w:r w:rsidR="0049658E">
        <w:t>, concentrated from larger volumes to improve detection limits,</w:t>
      </w:r>
      <w:r w:rsidRPr="002B106A">
        <w:t xml:space="preserve"> as well as </w:t>
      </w:r>
      <w:r w:rsidR="00907702">
        <w:t xml:space="preserve">testing </w:t>
      </w:r>
      <w:r w:rsidRPr="002B106A">
        <w:t xml:space="preserve">with a dead </w:t>
      </w:r>
      <w:r w:rsidRPr="002B106A">
        <w:rPr>
          <w:i/>
        </w:rPr>
        <w:t>F. tularensis</w:t>
      </w:r>
      <w:r w:rsidRPr="002B106A">
        <w:t xml:space="preserve"> cell background for natural decay or post-decontamination scenarios.</w:t>
      </w:r>
    </w:p>
    <w:p w14:paraId="419AEABD" w14:textId="77777777" w:rsidR="00D67B7D" w:rsidRPr="00D97657" w:rsidRDefault="00D67B7D" w:rsidP="00BF25FC">
      <w:pPr>
        <w:spacing w:line="480" w:lineRule="auto"/>
      </w:pPr>
    </w:p>
    <w:p w14:paraId="3B4C2AD3" w14:textId="22D03D66" w:rsidR="003B6206" w:rsidRPr="00980B6E" w:rsidRDefault="001438FE" w:rsidP="00BF25FC">
      <w:pPr>
        <w:spacing w:line="480" w:lineRule="auto"/>
        <w:rPr>
          <w:b/>
          <w:bCs/>
        </w:rPr>
      </w:pPr>
      <w:r w:rsidRPr="00980B6E">
        <w:rPr>
          <w:b/>
          <w:bCs/>
        </w:rPr>
        <w:t xml:space="preserve">Table </w:t>
      </w:r>
      <w:r w:rsidR="00B56B3D" w:rsidRPr="00980B6E">
        <w:rPr>
          <w:b/>
          <w:bCs/>
        </w:rPr>
        <w:t>2</w:t>
      </w:r>
      <w:r w:rsidRPr="00980B6E">
        <w:rPr>
          <w:b/>
          <w:bCs/>
        </w:rPr>
        <w:t xml:space="preserve">. </w:t>
      </w:r>
      <w:r w:rsidR="00B56B3D" w:rsidRPr="00980B6E">
        <w:rPr>
          <w:b/>
          <w:bCs/>
        </w:rPr>
        <w:t xml:space="preserve">RV-PCR </w:t>
      </w:r>
      <w:r w:rsidR="00DA1299">
        <w:rPr>
          <w:b/>
          <w:bCs/>
        </w:rPr>
        <w:t>r</w:t>
      </w:r>
      <w:r w:rsidR="00B56B3D" w:rsidRPr="00980B6E">
        <w:rPr>
          <w:b/>
          <w:bCs/>
        </w:rPr>
        <w:t xml:space="preserve">esults for </w:t>
      </w:r>
      <w:r w:rsidR="00DA1299">
        <w:rPr>
          <w:b/>
          <w:bCs/>
        </w:rPr>
        <w:t>d</w:t>
      </w:r>
      <w:r w:rsidR="00B56B3D" w:rsidRPr="00980B6E">
        <w:rPr>
          <w:b/>
          <w:bCs/>
        </w:rPr>
        <w:t xml:space="preserve">ifferent </w:t>
      </w:r>
      <w:r w:rsidR="00DA1299">
        <w:rPr>
          <w:b/>
          <w:bCs/>
        </w:rPr>
        <w:t>s</w:t>
      </w:r>
      <w:r w:rsidR="00B56B3D" w:rsidRPr="00980B6E">
        <w:rPr>
          <w:b/>
          <w:bCs/>
        </w:rPr>
        <w:t xml:space="preserve">tarting </w:t>
      </w:r>
      <w:r w:rsidR="00DA1299">
        <w:rPr>
          <w:b/>
          <w:bCs/>
        </w:rPr>
        <w:t>c</w:t>
      </w:r>
      <w:r w:rsidR="00B56B3D" w:rsidRPr="00980B6E">
        <w:rPr>
          <w:b/>
          <w:bCs/>
        </w:rPr>
        <w:t xml:space="preserve">ell </w:t>
      </w:r>
      <w:r w:rsidR="00DA1299">
        <w:rPr>
          <w:b/>
          <w:bCs/>
        </w:rPr>
        <w:t>l</w:t>
      </w:r>
      <w:r w:rsidR="00B56B3D" w:rsidRPr="00980B6E">
        <w:rPr>
          <w:b/>
          <w:bCs/>
        </w:rPr>
        <w:t>evels</w:t>
      </w:r>
      <w:r w:rsidR="00DA1299">
        <w:rPr>
          <w:b/>
          <w:bCs/>
        </w:rPr>
        <w:t xml:space="preserve"> per sample with and without chemical and biological backgrounds</w:t>
      </w:r>
    </w:p>
    <w:tbl>
      <w:tblPr>
        <w:tblStyle w:val="TableGrid"/>
        <w:tblW w:w="0" w:type="auto"/>
        <w:tblLook w:val="04A0" w:firstRow="1" w:lastRow="0" w:firstColumn="1" w:lastColumn="0" w:noHBand="0" w:noVBand="1"/>
      </w:tblPr>
      <w:tblGrid>
        <w:gridCol w:w="2336"/>
        <w:gridCol w:w="2070"/>
        <w:gridCol w:w="2160"/>
        <w:gridCol w:w="2250"/>
      </w:tblGrid>
      <w:tr w:rsidR="003B6206" w:rsidRPr="00EC6C12" w14:paraId="27E10237" w14:textId="77777777" w:rsidTr="00666D29">
        <w:trPr>
          <w:trHeight w:val="710"/>
          <w:tblHeader/>
        </w:trPr>
        <w:tc>
          <w:tcPr>
            <w:tcW w:w="2336" w:type="dxa"/>
            <w:shd w:val="clear" w:color="auto" w:fill="D9E2F3" w:themeFill="accent1" w:themeFillTint="33"/>
            <w:vAlign w:val="center"/>
          </w:tcPr>
          <w:p w14:paraId="7413BFCF" w14:textId="29D03B56" w:rsidR="003B6206" w:rsidRPr="00BF25FC" w:rsidRDefault="00DD57DB" w:rsidP="00666D29">
            <w:pPr>
              <w:spacing w:before="100" w:beforeAutospacing="1" w:after="100" w:afterAutospacing="1" w:line="480" w:lineRule="auto"/>
              <w:jc w:val="center"/>
              <w:rPr>
                <w:b/>
                <w:sz w:val="24"/>
                <w:szCs w:val="24"/>
              </w:rPr>
            </w:pPr>
            <w:r>
              <w:rPr>
                <w:b/>
                <w:sz w:val="24"/>
                <w:szCs w:val="24"/>
              </w:rPr>
              <w:t>Treatment</w:t>
            </w:r>
          </w:p>
        </w:tc>
        <w:tc>
          <w:tcPr>
            <w:tcW w:w="2070" w:type="dxa"/>
            <w:shd w:val="clear" w:color="auto" w:fill="D9E2F3" w:themeFill="accent1" w:themeFillTint="33"/>
            <w:vAlign w:val="center"/>
          </w:tcPr>
          <w:p w14:paraId="34B25C44" w14:textId="53676243" w:rsidR="003B6206" w:rsidRPr="00BF25FC" w:rsidRDefault="003B6206" w:rsidP="00666D29">
            <w:pPr>
              <w:spacing w:before="100" w:beforeAutospacing="1" w:after="100" w:afterAutospacing="1" w:line="480" w:lineRule="auto"/>
              <w:jc w:val="center"/>
              <w:rPr>
                <w:b/>
                <w:sz w:val="24"/>
                <w:szCs w:val="24"/>
              </w:rPr>
            </w:pPr>
            <w:r w:rsidRPr="00BF25FC">
              <w:rPr>
                <w:b/>
                <w:sz w:val="24"/>
                <w:szCs w:val="24"/>
              </w:rPr>
              <w:t xml:space="preserve">Starting CFU </w:t>
            </w:r>
            <w:r w:rsidR="00142E05">
              <w:rPr>
                <w:b/>
                <w:sz w:val="24"/>
                <w:szCs w:val="24"/>
              </w:rPr>
              <w:t xml:space="preserve">/ </w:t>
            </w:r>
            <w:r w:rsidR="00142E05">
              <w:rPr>
                <w:b/>
                <w:sz w:val="24"/>
                <w:szCs w:val="24"/>
              </w:rPr>
              <w:br/>
            </w:r>
            <w:r w:rsidRPr="00BF25FC">
              <w:rPr>
                <w:b/>
                <w:sz w:val="24"/>
                <w:szCs w:val="24"/>
              </w:rPr>
              <w:t>3-mL Sample</w:t>
            </w:r>
            <w:r w:rsidR="00142E05">
              <w:rPr>
                <w:b/>
                <w:sz w:val="24"/>
                <w:szCs w:val="24"/>
              </w:rPr>
              <w:t>*</w:t>
            </w:r>
          </w:p>
        </w:tc>
        <w:tc>
          <w:tcPr>
            <w:tcW w:w="2160" w:type="dxa"/>
            <w:shd w:val="clear" w:color="auto" w:fill="D9E2F3" w:themeFill="accent1" w:themeFillTint="33"/>
            <w:vAlign w:val="center"/>
          </w:tcPr>
          <w:p w14:paraId="398A5E1E" w14:textId="77777777" w:rsidR="003B6206" w:rsidRPr="00BF25FC" w:rsidRDefault="003B6206" w:rsidP="00666D29">
            <w:pPr>
              <w:spacing w:before="100" w:beforeAutospacing="1" w:after="100" w:afterAutospacing="1" w:line="480" w:lineRule="auto"/>
              <w:jc w:val="center"/>
              <w:rPr>
                <w:b/>
                <w:sz w:val="24"/>
                <w:szCs w:val="24"/>
              </w:rPr>
            </w:pPr>
            <w:r w:rsidRPr="00BF25FC">
              <w:rPr>
                <w:b/>
                <w:sz w:val="24"/>
                <w:szCs w:val="24"/>
              </w:rPr>
              <w:sym w:font="Symbol" w:char="F044"/>
            </w:r>
            <w:r w:rsidRPr="00BF25FC">
              <w:rPr>
                <w:b/>
                <w:sz w:val="24"/>
                <w:szCs w:val="24"/>
              </w:rPr>
              <w:t>C</w:t>
            </w:r>
            <w:r w:rsidRPr="00BF25FC">
              <w:rPr>
                <w:b/>
                <w:sz w:val="24"/>
                <w:szCs w:val="24"/>
                <w:vertAlign w:val="subscript"/>
              </w:rPr>
              <w:t>T</w:t>
            </w:r>
            <w:r w:rsidRPr="00BF25FC">
              <w:rPr>
                <w:b/>
                <w:sz w:val="24"/>
                <w:szCs w:val="24"/>
              </w:rPr>
              <w:t xml:space="preserve"> Range</w:t>
            </w:r>
          </w:p>
        </w:tc>
        <w:tc>
          <w:tcPr>
            <w:tcW w:w="2250" w:type="dxa"/>
            <w:shd w:val="clear" w:color="auto" w:fill="D9E2F3" w:themeFill="accent1" w:themeFillTint="33"/>
            <w:vAlign w:val="center"/>
          </w:tcPr>
          <w:p w14:paraId="781A66A7" w14:textId="362FC935" w:rsidR="003B6206" w:rsidRPr="00BF25FC" w:rsidRDefault="003B6206" w:rsidP="00666D29">
            <w:pPr>
              <w:spacing w:before="100" w:beforeAutospacing="1" w:after="100" w:afterAutospacing="1" w:line="480" w:lineRule="auto"/>
              <w:jc w:val="center"/>
              <w:rPr>
                <w:b/>
                <w:sz w:val="24"/>
                <w:szCs w:val="24"/>
              </w:rPr>
            </w:pPr>
            <w:r w:rsidRPr="00BF25FC">
              <w:rPr>
                <w:b/>
                <w:sz w:val="24"/>
                <w:szCs w:val="24"/>
              </w:rPr>
              <w:t xml:space="preserve">Positive RV-PCR </w:t>
            </w:r>
            <w:r w:rsidR="00E90B2B">
              <w:rPr>
                <w:b/>
                <w:sz w:val="24"/>
                <w:szCs w:val="24"/>
              </w:rPr>
              <w:t>Sample</w:t>
            </w:r>
            <w:r w:rsidRPr="00BF25FC">
              <w:rPr>
                <w:b/>
                <w:sz w:val="24"/>
                <w:szCs w:val="24"/>
              </w:rPr>
              <w:t>s</w:t>
            </w:r>
            <w:r w:rsidR="008A179C">
              <w:rPr>
                <w:b/>
                <w:sz w:val="24"/>
                <w:szCs w:val="24"/>
              </w:rPr>
              <w:t>***</w:t>
            </w:r>
          </w:p>
        </w:tc>
      </w:tr>
      <w:tr w:rsidR="003B6206" w:rsidRPr="00EC6C12" w14:paraId="60FC5A23" w14:textId="77777777" w:rsidTr="00666D29">
        <w:tc>
          <w:tcPr>
            <w:tcW w:w="2336" w:type="dxa"/>
            <w:vMerge w:val="restart"/>
            <w:vAlign w:val="center"/>
          </w:tcPr>
          <w:p w14:paraId="7E1EC108" w14:textId="26C0F468" w:rsidR="003B6206" w:rsidRPr="00BF25FC" w:rsidRDefault="00B56B3D" w:rsidP="00470B8B">
            <w:pPr>
              <w:snapToGrid w:val="0"/>
              <w:spacing w:line="480" w:lineRule="auto"/>
              <w:contextualSpacing/>
              <w:jc w:val="center"/>
              <w:rPr>
                <w:b/>
                <w:sz w:val="24"/>
                <w:szCs w:val="24"/>
              </w:rPr>
            </w:pPr>
            <w:r>
              <w:rPr>
                <w:b/>
                <w:sz w:val="24"/>
                <w:szCs w:val="24"/>
              </w:rPr>
              <w:t>Control</w:t>
            </w:r>
          </w:p>
        </w:tc>
        <w:tc>
          <w:tcPr>
            <w:tcW w:w="2070" w:type="dxa"/>
            <w:shd w:val="clear" w:color="auto" w:fill="auto"/>
            <w:vAlign w:val="center"/>
          </w:tcPr>
          <w:p w14:paraId="7CE053ED" w14:textId="77777777" w:rsidR="003B6206" w:rsidRPr="00FE6170" w:rsidRDefault="003B6206" w:rsidP="00470B8B">
            <w:pPr>
              <w:snapToGrid w:val="0"/>
              <w:spacing w:line="480" w:lineRule="auto"/>
              <w:contextualSpacing/>
              <w:jc w:val="center"/>
              <w:rPr>
                <w:sz w:val="24"/>
                <w:szCs w:val="24"/>
              </w:rPr>
            </w:pPr>
            <w:r w:rsidRPr="00FE6170">
              <w:rPr>
                <w:sz w:val="24"/>
                <w:szCs w:val="24"/>
              </w:rPr>
              <w:t>2500</w:t>
            </w:r>
          </w:p>
        </w:tc>
        <w:tc>
          <w:tcPr>
            <w:tcW w:w="2160" w:type="dxa"/>
            <w:shd w:val="clear" w:color="auto" w:fill="auto"/>
            <w:vAlign w:val="center"/>
          </w:tcPr>
          <w:p w14:paraId="4500AD66" w14:textId="77777777" w:rsidR="003B6206" w:rsidRPr="00FE6170" w:rsidRDefault="003B6206" w:rsidP="00470B8B">
            <w:pPr>
              <w:snapToGrid w:val="0"/>
              <w:spacing w:line="480" w:lineRule="auto"/>
              <w:contextualSpacing/>
              <w:jc w:val="center"/>
              <w:rPr>
                <w:sz w:val="24"/>
                <w:szCs w:val="24"/>
              </w:rPr>
            </w:pPr>
            <w:r w:rsidRPr="00FE6170">
              <w:rPr>
                <w:sz w:val="24"/>
                <w:szCs w:val="24"/>
              </w:rPr>
              <w:t>7.2–9.3</w:t>
            </w:r>
          </w:p>
        </w:tc>
        <w:tc>
          <w:tcPr>
            <w:tcW w:w="2250" w:type="dxa"/>
            <w:shd w:val="clear" w:color="auto" w:fill="auto"/>
            <w:vAlign w:val="center"/>
          </w:tcPr>
          <w:p w14:paraId="4608F719" w14:textId="77777777" w:rsidR="003B6206" w:rsidRPr="00FE6170" w:rsidRDefault="003B6206" w:rsidP="00470B8B">
            <w:pPr>
              <w:snapToGrid w:val="0"/>
              <w:spacing w:line="480" w:lineRule="auto"/>
              <w:contextualSpacing/>
              <w:jc w:val="center"/>
              <w:rPr>
                <w:sz w:val="24"/>
                <w:szCs w:val="24"/>
              </w:rPr>
            </w:pPr>
            <w:r w:rsidRPr="00FE6170">
              <w:rPr>
                <w:sz w:val="24"/>
                <w:szCs w:val="24"/>
              </w:rPr>
              <w:t>3 of 3</w:t>
            </w:r>
          </w:p>
        </w:tc>
      </w:tr>
      <w:tr w:rsidR="003B6206" w:rsidRPr="00EC6C12" w14:paraId="6426A7B9" w14:textId="77777777" w:rsidTr="00666D29">
        <w:tc>
          <w:tcPr>
            <w:tcW w:w="2336" w:type="dxa"/>
            <w:vMerge/>
            <w:vAlign w:val="center"/>
          </w:tcPr>
          <w:p w14:paraId="4C1AEBAC"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3FD00219" w14:textId="77777777" w:rsidR="003B6206" w:rsidRPr="00666D29" w:rsidRDefault="003B6206" w:rsidP="00470B8B">
            <w:pPr>
              <w:snapToGrid w:val="0"/>
              <w:spacing w:line="480" w:lineRule="auto"/>
              <w:contextualSpacing/>
              <w:jc w:val="center"/>
              <w:rPr>
                <w:sz w:val="24"/>
                <w:szCs w:val="24"/>
              </w:rPr>
            </w:pPr>
            <w:r w:rsidRPr="00666D29">
              <w:rPr>
                <w:sz w:val="24"/>
                <w:szCs w:val="24"/>
              </w:rPr>
              <w:t>1200</w:t>
            </w:r>
          </w:p>
        </w:tc>
        <w:tc>
          <w:tcPr>
            <w:tcW w:w="2160" w:type="dxa"/>
            <w:shd w:val="clear" w:color="auto" w:fill="auto"/>
            <w:vAlign w:val="center"/>
          </w:tcPr>
          <w:p w14:paraId="29ED400A" w14:textId="77777777" w:rsidR="003B6206" w:rsidRPr="00666D29" w:rsidRDefault="003B6206" w:rsidP="00470B8B">
            <w:pPr>
              <w:snapToGrid w:val="0"/>
              <w:spacing w:line="480" w:lineRule="auto"/>
              <w:contextualSpacing/>
              <w:jc w:val="center"/>
              <w:rPr>
                <w:sz w:val="24"/>
                <w:szCs w:val="24"/>
              </w:rPr>
            </w:pPr>
            <w:r w:rsidRPr="00666D29">
              <w:rPr>
                <w:sz w:val="24"/>
                <w:szCs w:val="24"/>
              </w:rPr>
              <w:t>7.4–9.3</w:t>
            </w:r>
          </w:p>
        </w:tc>
        <w:tc>
          <w:tcPr>
            <w:tcW w:w="2250" w:type="dxa"/>
            <w:shd w:val="clear" w:color="auto" w:fill="auto"/>
            <w:vAlign w:val="center"/>
          </w:tcPr>
          <w:p w14:paraId="0DBE9A00" w14:textId="77777777" w:rsidR="003B6206" w:rsidRPr="00666D29" w:rsidRDefault="003B6206" w:rsidP="00470B8B">
            <w:pPr>
              <w:snapToGrid w:val="0"/>
              <w:spacing w:line="480" w:lineRule="auto"/>
              <w:contextualSpacing/>
              <w:jc w:val="center"/>
              <w:rPr>
                <w:sz w:val="24"/>
                <w:szCs w:val="24"/>
              </w:rPr>
            </w:pPr>
            <w:r w:rsidRPr="00666D29">
              <w:rPr>
                <w:sz w:val="24"/>
                <w:szCs w:val="24"/>
              </w:rPr>
              <w:t>3 of 3</w:t>
            </w:r>
          </w:p>
        </w:tc>
      </w:tr>
      <w:tr w:rsidR="003B6206" w:rsidRPr="00EC6C12" w14:paraId="65909637" w14:textId="77777777" w:rsidTr="00666D29">
        <w:tc>
          <w:tcPr>
            <w:tcW w:w="2336" w:type="dxa"/>
            <w:vMerge/>
            <w:vAlign w:val="center"/>
          </w:tcPr>
          <w:p w14:paraId="39FD471D"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449DF462" w14:textId="77777777" w:rsidR="003B6206" w:rsidRPr="00470B8B" w:rsidRDefault="003B6206" w:rsidP="00470B8B">
            <w:pPr>
              <w:snapToGrid w:val="0"/>
              <w:spacing w:line="480" w:lineRule="auto"/>
              <w:contextualSpacing/>
              <w:jc w:val="center"/>
              <w:rPr>
                <w:sz w:val="24"/>
                <w:szCs w:val="24"/>
              </w:rPr>
            </w:pPr>
            <w:r w:rsidRPr="00470B8B">
              <w:rPr>
                <w:sz w:val="24"/>
                <w:szCs w:val="24"/>
              </w:rPr>
              <w:t>250</w:t>
            </w:r>
          </w:p>
        </w:tc>
        <w:tc>
          <w:tcPr>
            <w:tcW w:w="2160" w:type="dxa"/>
            <w:shd w:val="clear" w:color="auto" w:fill="auto"/>
            <w:vAlign w:val="center"/>
          </w:tcPr>
          <w:p w14:paraId="7AB52D10" w14:textId="77777777" w:rsidR="003B6206" w:rsidRPr="00470B8B" w:rsidRDefault="003B6206" w:rsidP="00470B8B">
            <w:pPr>
              <w:snapToGrid w:val="0"/>
              <w:spacing w:line="480" w:lineRule="auto"/>
              <w:contextualSpacing/>
              <w:jc w:val="center"/>
              <w:rPr>
                <w:sz w:val="24"/>
                <w:szCs w:val="24"/>
              </w:rPr>
            </w:pPr>
            <w:r w:rsidRPr="00470B8B">
              <w:rPr>
                <w:sz w:val="24"/>
                <w:szCs w:val="24"/>
              </w:rPr>
              <w:t>6.8–8.1</w:t>
            </w:r>
          </w:p>
        </w:tc>
        <w:tc>
          <w:tcPr>
            <w:tcW w:w="2250" w:type="dxa"/>
            <w:shd w:val="clear" w:color="auto" w:fill="auto"/>
            <w:vAlign w:val="center"/>
          </w:tcPr>
          <w:p w14:paraId="138EBA5F"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64B3F2BA" w14:textId="77777777" w:rsidTr="00666D29">
        <w:tc>
          <w:tcPr>
            <w:tcW w:w="2336" w:type="dxa"/>
            <w:vMerge/>
            <w:vAlign w:val="center"/>
          </w:tcPr>
          <w:p w14:paraId="76DFB5A9"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7F4913FE" w14:textId="77777777" w:rsidR="003B6206" w:rsidRPr="00470B8B" w:rsidRDefault="003B6206" w:rsidP="00470B8B">
            <w:pPr>
              <w:snapToGrid w:val="0"/>
              <w:spacing w:line="480" w:lineRule="auto"/>
              <w:contextualSpacing/>
              <w:jc w:val="center"/>
              <w:rPr>
                <w:sz w:val="24"/>
                <w:szCs w:val="24"/>
              </w:rPr>
            </w:pPr>
            <w:r w:rsidRPr="00470B8B">
              <w:rPr>
                <w:sz w:val="24"/>
                <w:szCs w:val="24"/>
              </w:rPr>
              <w:t>120</w:t>
            </w:r>
          </w:p>
        </w:tc>
        <w:tc>
          <w:tcPr>
            <w:tcW w:w="2160" w:type="dxa"/>
            <w:shd w:val="clear" w:color="auto" w:fill="auto"/>
            <w:vAlign w:val="center"/>
          </w:tcPr>
          <w:p w14:paraId="3191045D" w14:textId="77777777" w:rsidR="003B6206" w:rsidRPr="00470B8B" w:rsidRDefault="003B6206" w:rsidP="00470B8B">
            <w:pPr>
              <w:snapToGrid w:val="0"/>
              <w:spacing w:line="480" w:lineRule="auto"/>
              <w:contextualSpacing/>
              <w:jc w:val="center"/>
              <w:rPr>
                <w:sz w:val="24"/>
                <w:szCs w:val="24"/>
              </w:rPr>
            </w:pPr>
            <w:r w:rsidRPr="00470B8B">
              <w:rPr>
                <w:sz w:val="24"/>
                <w:szCs w:val="24"/>
              </w:rPr>
              <w:t>8.9–9.3</w:t>
            </w:r>
          </w:p>
        </w:tc>
        <w:tc>
          <w:tcPr>
            <w:tcW w:w="2250" w:type="dxa"/>
            <w:shd w:val="clear" w:color="auto" w:fill="auto"/>
            <w:vAlign w:val="center"/>
          </w:tcPr>
          <w:p w14:paraId="23613ED3"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57D2EF36" w14:textId="77777777" w:rsidTr="00666D29">
        <w:tc>
          <w:tcPr>
            <w:tcW w:w="2336" w:type="dxa"/>
            <w:vMerge/>
            <w:vAlign w:val="center"/>
          </w:tcPr>
          <w:p w14:paraId="6673ADBF"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7EDD72F7" w14:textId="77777777" w:rsidR="003B6206" w:rsidRPr="00470B8B" w:rsidRDefault="003B6206" w:rsidP="00470B8B">
            <w:pPr>
              <w:snapToGrid w:val="0"/>
              <w:spacing w:line="480" w:lineRule="auto"/>
              <w:contextualSpacing/>
              <w:jc w:val="center"/>
              <w:rPr>
                <w:sz w:val="24"/>
                <w:szCs w:val="24"/>
              </w:rPr>
            </w:pPr>
            <w:r w:rsidRPr="00470B8B">
              <w:rPr>
                <w:sz w:val="24"/>
                <w:szCs w:val="24"/>
              </w:rPr>
              <w:t>25</w:t>
            </w:r>
          </w:p>
        </w:tc>
        <w:tc>
          <w:tcPr>
            <w:tcW w:w="2160" w:type="dxa"/>
            <w:shd w:val="clear" w:color="auto" w:fill="auto"/>
            <w:vAlign w:val="center"/>
          </w:tcPr>
          <w:p w14:paraId="1090743B" w14:textId="77777777" w:rsidR="003B6206" w:rsidRPr="00470B8B" w:rsidRDefault="003B6206" w:rsidP="00470B8B">
            <w:pPr>
              <w:snapToGrid w:val="0"/>
              <w:spacing w:line="480" w:lineRule="auto"/>
              <w:contextualSpacing/>
              <w:jc w:val="center"/>
              <w:rPr>
                <w:sz w:val="24"/>
                <w:szCs w:val="24"/>
              </w:rPr>
            </w:pPr>
            <w:r w:rsidRPr="00470B8B">
              <w:rPr>
                <w:sz w:val="24"/>
                <w:szCs w:val="24"/>
              </w:rPr>
              <w:t>10.6–12.3</w:t>
            </w:r>
          </w:p>
        </w:tc>
        <w:tc>
          <w:tcPr>
            <w:tcW w:w="2250" w:type="dxa"/>
            <w:shd w:val="clear" w:color="auto" w:fill="auto"/>
            <w:vAlign w:val="center"/>
          </w:tcPr>
          <w:p w14:paraId="10C7B0B6"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226F70DC" w14:textId="77777777" w:rsidTr="00666D29">
        <w:tc>
          <w:tcPr>
            <w:tcW w:w="2336" w:type="dxa"/>
            <w:vMerge/>
            <w:vAlign w:val="center"/>
          </w:tcPr>
          <w:p w14:paraId="522FD431"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0FEC3305" w14:textId="77777777" w:rsidR="003B6206" w:rsidRPr="00470B8B" w:rsidRDefault="003B6206" w:rsidP="00470B8B">
            <w:pPr>
              <w:snapToGrid w:val="0"/>
              <w:spacing w:line="480" w:lineRule="auto"/>
              <w:contextualSpacing/>
              <w:jc w:val="center"/>
              <w:rPr>
                <w:sz w:val="24"/>
                <w:szCs w:val="24"/>
              </w:rPr>
            </w:pPr>
            <w:r w:rsidRPr="00470B8B">
              <w:rPr>
                <w:sz w:val="24"/>
                <w:szCs w:val="24"/>
              </w:rPr>
              <w:t>12</w:t>
            </w:r>
          </w:p>
        </w:tc>
        <w:tc>
          <w:tcPr>
            <w:tcW w:w="2160" w:type="dxa"/>
            <w:shd w:val="clear" w:color="auto" w:fill="auto"/>
            <w:vAlign w:val="center"/>
          </w:tcPr>
          <w:p w14:paraId="736E0AC6" w14:textId="77777777" w:rsidR="003B6206" w:rsidRPr="00470B8B" w:rsidRDefault="003B6206" w:rsidP="00470B8B">
            <w:pPr>
              <w:snapToGrid w:val="0"/>
              <w:spacing w:line="480" w:lineRule="auto"/>
              <w:contextualSpacing/>
              <w:jc w:val="center"/>
              <w:rPr>
                <w:sz w:val="24"/>
                <w:szCs w:val="24"/>
              </w:rPr>
            </w:pPr>
            <w:r w:rsidRPr="00470B8B">
              <w:rPr>
                <w:sz w:val="24"/>
                <w:szCs w:val="24"/>
              </w:rPr>
              <w:t>10.3–12.7</w:t>
            </w:r>
          </w:p>
        </w:tc>
        <w:tc>
          <w:tcPr>
            <w:tcW w:w="2250" w:type="dxa"/>
            <w:shd w:val="clear" w:color="auto" w:fill="auto"/>
            <w:vAlign w:val="center"/>
          </w:tcPr>
          <w:p w14:paraId="5FA04477"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7CF7FB73" w14:textId="77777777" w:rsidTr="00666D29">
        <w:tc>
          <w:tcPr>
            <w:tcW w:w="2336" w:type="dxa"/>
            <w:vMerge w:val="restart"/>
            <w:vAlign w:val="center"/>
          </w:tcPr>
          <w:p w14:paraId="2849636B" w14:textId="777A81A4" w:rsidR="003B6206" w:rsidRPr="00BF25FC" w:rsidRDefault="003B6206" w:rsidP="00980B6E">
            <w:pPr>
              <w:snapToGrid w:val="0"/>
              <w:spacing w:line="480" w:lineRule="auto"/>
              <w:contextualSpacing/>
              <w:jc w:val="center"/>
              <w:rPr>
                <w:b/>
                <w:sz w:val="24"/>
                <w:szCs w:val="24"/>
              </w:rPr>
            </w:pPr>
            <w:r w:rsidRPr="00BF25FC">
              <w:rPr>
                <w:b/>
                <w:sz w:val="24"/>
                <w:szCs w:val="24"/>
              </w:rPr>
              <w:t>Fe/Humic</w:t>
            </w:r>
            <w:r w:rsidR="00B56B3D">
              <w:rPr>
                <w:b/>
                <w:sz w:val="24"/>
                <w:szCs w:val="24"/>
              </w:rPr>
              <w:t xml:space="preserve"> acid</w:t>
            </w:r>
          </w:p>
        </w:tc>
        <w:tc>
          <w:tcPr>
            <w:tcW w:w="2070" w:type="dxa"/>
            <w:shd w:val="clear" w:color="auto" w:fill="auto"/>
            <w:vAlign w:val="center"/>
          </w:tcPr>
          <w:p w14:paraId="2277BBE4" w14:textId="77777777" w:rsidR="003B6206" w:rsidRPr="00FE6170" w:rsidRDefault="003B6206" w:rsidP="00980B6E">
            <w:pPr>
              <w:snapToGrid w:val="0"/>
              <w:spacing w:line="480" w:lineRule="auto"/>
              <w:contextualSpacing/>
              <w:jc w:val="center"/>
              <w:rPr>
                <w:sz w:val="24"/>
                <w:szCs w:val="24"/>
              </w:rPr>
            </w:pPr>
            <w:r w:rsidRPr="00FE6170">
              <w:rPr>
                <w:sz w:val="24"/>
                <w:szCs w:val="24"/>
              </w:rPr>
              <w:t>2500</w:t>
            </w:r>
          </w:p>
        </w:tc>
        <w:tc>
          <w:tcPr>
            <w:tcW w:w="2160" w:type="dxa"/>
            <w:shd w:val="clear" w:color="auto" w:fill="auto"/>
            <w:vAlign w:val="center"/>
          </w:tcPr>
          <w:p w14:paraId="666FE042" w14:textId="77777777" w:rsidR="003B6206" w:rsidRPr="00FE6170" w:rsidRDefault="003B6206" w:rsidP="00980B6E">
            <w:pPr>
              <w:snapToGrid w:val="0"/>
              <w:spacing w:line="480" w:lineRule="auto"/>
              <w:contextualSpacing/>
              <w:jc w:val="center"/>
              <w:rPr>
                <w:sz w:val="24"/>
                <w:szCs w:val="24"/>
              </w:rPr>
            </w:pPr>
            <w:r w:rsidRPr="00FE6170">
              <w:rPr>
                <w:sz w:val="24"/>
                <w:szCs w:val="24"/>
              </w:rPr>
              <w:t>11.5–17.2</w:t>
            </w:r>
          </w:p>
        </w:tc>
        <w:tc>
          <w:tcPr>
            <w:tcW w:w="2250" w:type="dxa"/>
            <w:shd w:val="clear" w:color="auto" w:fill="auto"/>
            <w:vAlign w:val="center"/>
          </w:tcPr>
          <w:p w14:paraId="6CFB3A49" w14:textId="77777777" w:rsidR="003B6206" w:rsidRPr="00FE6170" w:rsidRDefault="003B6206" w:rsidP="00980B6E">
            <w:pPr>
              <w:snapToGrid w:val="0"/>
              <w:spacing w:line="480" w:lineRule="auto"/>
              <w:contextualSpacing/>
              <w:jc w:val="center"/>
              <w:rPr>
                <w:sz w:val="24"/>
                <w:szCs w:val="24"/>
              </w:rPr>
            </w:pPr>
            <w:r w:rsidRPr="00FE6170">
              <w:rPr>
                <w:sz w:val="24"/>
                <w:szCs w:val="24"/>
              </w:rPr>
              <w:t>3 of 3</w:t>
            </w:r>
          </w:p>
        </w:tc>
      </w:tr>
      <w:tr w:rsidR="003B6206" w:rsidRPr="00EC6C12" w14:paraId="2588BB09" w14:textId="77777777" w:rsidTr="00666D29">
        <w:tc>
          <w:tcPr>
            <w:tcW w:w="2336" w:type="dxa"/>
            <w:vMerge/>
            <w:vAlign w:val="center"/>
          </w:tcPr>
          <w:p w14:paraId="50767193"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6AEFE58C" w14:textId="77777777" w:rsidR="003B6206" w:rsidRPr="00470B8B" w:rsidRDefault="003B6206" w:rsidP="00470B8B">
            <w:pPr>
              <w:snapToGrid w:val="0"/>
              <w:spacing w:line="480" w:lineRule="auto"/>
              <w:contextualSpacing/>
              <w:jc w:val="center"/>
              <w:rPr>
                <w:sz w:val="24"/>
                <w:szCs w:val="24"/>
              </w:rPr>
            </w:pPr>
            <w:r w:rsidRPr="00470B8B">
              <w:rPr>
                <w:sz w:val="24"/>
                <w:szCs w:val="24"/>
              </w:rPr>
              <w:t>1200</w:t>
            </w:r>
          </w:p>
        </w:tc>
        <w:tc>
          <w:tcPr>
            <w:tcW w:w="2160" w:type="dxa"/>
            <w:shd w:val="clear" w:color="auto" w:fill="auto"/>
            <w:vAlign w:val="center"/>
          </w:tcPr>
          <w:p w14:paraId="10462133" w14:textId="77777777" w:rsidR="003B6206" w:rsidRPr="00470B8B" w:rsidRDefault="003B6206" w:rsidP="00470B8B">
            <w:pPr>
              <w:snapToGrid w:val="0"/>
              <w:spacing w:line="480" w:lineRule="auto"/>
              <w:contextualSpacing/>
              <w:jc w:val="center"/>
              <w:rPr>
                <w:sz w:val="24"/>
                <w:szCs w:val="24"/>
              </w:rPr>
            </w:pPr>
            <w:r w:rsidRPr="00470B8B">
              <w:rPr>
                <w:sz w:val="24"/>
                <w:szCs w:val="24"/>
              </w:rPr>
              <w:t>14.5–22.7</w:t>
            </w:r>
          </w:p>
        </w:tc>
        <w:tc>
          <w:tcPr>
            <w:tcW w:w="2250" w:type="dxa"/>
            <w:shd w:val="clear" w:color="auto" w:fill="auto"/>
            <w:vAlign w:val="center"/>
          </w:tcPr>
          <w:p w14:paraId="6D746662"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AC5F27" w14:paraId="6ED7D7C9" w14:textId="77777777" w:rsidTr="00666D29">
        <w:tc>
          <w:tcPr>
            <w:tcW w:w="2336" w:type="dxa"/>
            <w:vMerge/>
            <w:vAlign w:val="center"/>
          </w:tcPr>
          <w:p w14:paraId="097BFE72"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74DD1B66" w14:textId="77777777" w:rsidR="003B6206" w:rsidRPr="00470B8B" w:rsidRDefault="003B6206" w:rsidP="00470B8B">
            <w:pPr>
              <w:snapToGrid w:val="0"/>
              <w:spacing w:line="480" w:lineRule="auto"/>
              <w:contextualSpacing/>
              <w:jc w:val="center"/>
              <w:rPr>
                <w:sz w:val="24"/>
                <w:szCs w:val="24"/>
              </w:rPr>
            </w:pPr>
            <w:r w:rsidRPr="00470B8B">
              <w:rPr>
                <w:sz w:val="24"/>
                <w:szCs w:val="24"/>
              </w:rPr>
              <w:t>250</w:t>
            </w:r>
          </w:p>
        </w:tc>
        <w:tc>
          <w:tcPr>
            <w:tcW w:w="2160" w:type="dxa"/>
            <w:shd w:val="clear" w:color="auto" w:fill="auto"/>
            <w:vAlign w:val="center"/>
          </w:tcPr>
          <w:p w14:paraId="61711CE7" w14:textId="77777777" w:rsidR="003B6206" w:rsidRPr="00470B8B" w:rsidRDefault="003B6206" w:rsidP="00470B8B">
            <w:pPr>
              <w:snapToGrid w:val="0"/>
              <w:spacing w:line="480" w:lineRule="auto"/>
              <w:contextualSpacing/>
              <w:jc w:val="center"/>
              <w:rPr>
                <w:sz w:val="24"/>
                <w:szCs w:val="24"/>
              </w:rPr>
            </w:pPr>
            <w:r w:rsidRPr="00470B8B">
              <w:rPr>
                <w:sz w:val="24"/>
                <w:szCs w:val="24"/>
              </w:rPr>
              <w:t>12.5–13.9</w:t>
            </w:r>
          </w:p>
        </w:tc>
        <w:tc>
          <w:tcPr>
            <w:tcW w:w="2250" w:type="dxa"/>
            <w:shd w:val="clear" w:color="auto" w:fill="auto"/>
            <w:vAlign w:val="center"/>
          </w:tcPr>
          <w:p w14:paraId="4B6EA5B4"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1DE07A7D" w14:textId="77777777" w:rsidTr="00666D29">
        <w:tc>
          <w:tcPr>
            <w:tcW w:w="2336" w:type="dxa"/>
            <w:vMerge/>
            <w:vAlign w:val="center"/>
          </w:tcPr>
          <w:p w14:paraId="697E1B59"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25EC23BD" w14:textId="77777777" w:rsidR="003B6206" w:rsidRPr="00470B8B" w:rsidRDefault="003B6206" w:rsidP="00470B8B">
            <w:pPr>
              <w:snapToGrid w:val="0"/>
              <w:spacing w:line="480" w:lineRule="auto"/>
              <w:contextualSpacing/>
              <w:jc w:val="center"/>
              <w:rPr>
                <w:sz w:val="24"/>
                <w:szCs w:val="24"/>
              </w:rPr>
            </w:pPr>
            <w:r w:rsidRPr="00470B8B">
              <w:rPr>
                <w:sz w:val="24"/>
                <w:szCs w:val="24"/>
              </w:rPr>
              <w:t>120</w:t>
            </w:r>
          </w:p>
        </w:tc>
        <w:tc>
          <w:tcPr>
            <w:tcW w:w="2160" w:type="dxa"/>
            <w:shd w:val="clear" w:color="auto" w:fill="auto"/>
            <w:vAlign w:val="center"/>
          </w:tcPr>
          <w:p w14:paraId="6F23CD8B" w14:textId="77777777" w:rsidR="003B6206" w:rsidRPr="00470B8B" w:rsidRDefault="003B6206" w:rsidP="00470B8B">
            <w:pPr>
              <w:snapToGrid w:val="0"/>
              <w:spacing w:line="480" w:lineRule="auto"/>
              <w:contextualSpacing/>
              <w:jc w:val="center"/>
              <w:rPr>
                <w:sz w:val="24"/>
                <w:szCs w:val="24"/>
              </w:rPr>
            </w:pPr>
            <w:r w:rsidRPr="00470B8B">
              <w:rPr>
                <w:sz w:val="24"/>
                <w:szCs w:val="24"/>
              </w:rPr>
              <w:t>15.4–18.3</w:t>
            </w:r>
          </w:p>
        </w:tc>
        <w:tc>
          <w:tcPr>
            <w:tcW w:w="2250" w:type="dxa"/>
            <w:shd w:val="clear" w:color="auto" w:fill="auto"/>
            <w:vAlign w:val="center"/>
          </w:tcPr>
          <w:p w14:paraId="4B913D10"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2A8BAF58" w14:textId="77777777" w:rsidTr="00666D29">
        <w:tc>
          <w:tcPr>
            <w:tcW w:w="2336" w:type="dxa"/>
            <w:vMerge/>
            <w:vAlign w:val="center"/>
          </w:tcPr>
          <w:p w14:paraId="47C7C18F"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555974F9" w14:textId="77777777" w:rsidR="003B6206" w:rsidRPr="00470B8B" w:rsidRDefault="003B6206" w:rsidP="00470B8B">
            <w:pPr>
              <w:snapToGrid w:val="0"/>
              <w:spacing w:line="480" w:lineRule="auto"/>
              <w:contextualSpacing/>
              <w:jc w:val="center"/>
              <w:rPr>
                <w:sz w:val="24"/>
                <w:szCs w:val="24"/>
              </w:rPr>
            </w:pPr>
            <w:r w:rsidRPr="00470B8B">
              <w:rPr>
                <w:sz w:val="24"/>
                <w:szCs w:val="24"/>
              </w:rPr>
              <w:t>25</w:t>
            </w:r>
          </w:p>
        </w:tc>
        <w:tc>
          <w:tcPr>
            <w:tcW w:w="2160" w:type="dxa"/>
            <w:shd w:val="clear" w:color="auto" w:fill="auto"/>
            <w:vAlign w:val="center"/>
          </w:tcPr>
          <w:p w14:paraId="63E94F1E" w14:textId="77777777" w:rsidR="003B6206" w:rsidRPr="00470B8B" w:rsidRDefault="003B6206" w:rsidP="00470B8B">
            <w:pPr>
              <w:snapToGrid w:val="0"/>
              <w:spacing w:line="480" w:lineRule="auto"/>
              <w:contextualSpacing/>
              <w:jc w:val="center"/>
              <w:rPr>
                <w:sz w:val="24"/>
                <w:szCs w:val="24"/>
              </w:rPr>
            </w:pPr>
            <w:r w:rsidRPr="00470B8B">
              <w:rPr>
                <w:sz w:val="24"/>
                <w:szCs w:val="24"/>
              </w:rPr>
              <w:t>16.4–16.8</w:t>
            </w:r>
          </w:p>
        </w:tc>
        <w:tc>
          <w:tcPr>
            <w:tcW w:w="2250" w:type="dxa"/>
            <w:shd w:val="clear" w:color="auto" w:fill="auto"/>
            <w:vAlign w:val="center"/>
          </w:tcPr>
          <w:p w14:paraId="088D29DD"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16E97BCC" w14:textId="77777777" w:rsidTr="00666D29">
        <w:tc>
          <w:tcPr>
            <w:tcW w:w="2336" w:type="dxa"/>
            <w:vMerge/>
            <w:vAlign w:val="center"/>
          </w:tcPr>
          <w:p w14:paraId="4BD29551" w14:textId="77777777" w:rsidR="003B6206" w:rsidRPr="00470B8B" w:rsidRDefault="003B6206" w:rsidP="00470B8B">
            <w:pPr>
              <w:snapToGrid w:val="0"/>
              <w:spacing w:line="480" w:lineRule="auto"/>
              <w:contextualSpacing/>
              <w:jc w:val="center"/>
              <w:rPr>
                <w:b/>
                <w:sz w:val="24"/>
                <w:szCs w:val="24"/>
              </w:rPr>
            </w:pPr>
          </w:p>
        </w:tc>
        <w:tc>
          <w:tcPr>
            <w:tcW w:w="2070" w:type="dxa"/>
            <w:shd w:val="clear" w:color="auto" w:fill="auto"/>
            <w:vAlign w:val="center"/>
          </w:tcPr>
          <w:p w14:paraId="68B70FCD" w14:textId="77777777" w:rsidR="003B6206" w:rsidRPr="00470B8B" w:rsidRDefault="003B6206" w:rsidP="00470B8B">
            <w:pPr>
              <w:snapToGrid w:val="0"/>
              <w:spacing w:line="480" w:lineRule="auto"/>
              <w:contextualSpacing/>
              <w:jc w:val="center"/>
              <w:rPr>
                <w:sz w:val="24"/>
                <w:szCs w:val="24"/>
              </w:rPr>
            </w:pPr>
            <w:r w:rsidRPr="00470B8B">
              <w:rPr>
                <w:sz w:val="24"/>
                <w:szCs w:val="24"/>
              </w:rPr>
              <w:t>12</w:t>
            </w:r>
          </w:p>
        </w:tc>
        <w:tc>
          <w:tcPr>
            <w:tcW w:w="2160" w:type="dxa"/>
            <w:shd w:val="clear" w:color="auto" w:fill="auto"/>
            <w:vAlign w:val="center"/>
          </w:tcPr>
          <w:p w14:paraId="51E62156" w14:textId="77777777" w:rsidR="003B6206" w:rsidRPr="00470B8B" w:rsidRDefault="003B6206" w:rsidP="00470B8B">
            <w:pPr>
              <w:snapToGrid w:val="0"/>
              <w:spacing w:line="480" w:lineRule="auto"/>
              <w:contextualSpacing/>
              <w:jc w:val="center"/>
              <w:rPr>
                <w:sz w:val="24"/>
                <w:szCs w:val="24"/>
              </w:rPr>
            </w:pPr>
            <w:r w:rsidRPr="00470B8B">
              <w:rPr>
                <w:sz w:val="24"/>
                <w:szCs w:val="24"/>
              </w:rPr>
              <w:t>15.9–17.8</w:t>
            </w:r>
          </w:p>
        </w:tc>
        <w:tc>
          <w:tcPr>
            <w:tcW w:w="2250" w:type="dxa"/>
            <w:shd w:val="clear" w:color="auto" w:fill="auto"/>
            <w:vAlign w:val="center"/>
          </w:tcPr>
          <w:p w14:paraId="0499AF5F"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2E58EE36" w14:textId="77777777" w:rsidTr="00666D29">
        <w:tc>
          <w:tcPr>
            <w:tcW w:w="2336" w:type="dxa"/>
            <w:vMerge w:val="restart"/>
            <w:vAlign w:val="center"/>
          </w:tcPr>
          <w:p w14:paraId="163F0200" w14:textId="074F068D" w:rsidR="003B6206" w:rsidRPr="00BF25FC" w:rsidRDefault="003B6206" w:rsidP="00980B6E">
            <w:pPr>
              <w:snapToGrid w:val="0"/>
              <w:spacing w:line="480" w:lineRule="auto"/>
              <w:contextualSpacing/>
              <w:jc w:val="center"/>
              <w:rPr>
                <w:b/>
                <w:sz w:val="24"/>
                <w:szCs w:val="24"/>
              </w:rPr>
            </w:pPr>
            <w:r w:rsidRPr="00BF25FC">
              <w:rPr>
                <w:b/>
                <w:sz w:val="24"/>
                <w:szCs w:val="24"/>
              </w:rPr>
              <w:t>ATD*</w:t>
            </w:r>
            <w:r w:rsidR="00142E05">
              <w:rPr>
                <w:b/>
                <w:sz w:val="24"/>
                <w:szCs w:val="24"/>
              </w:rPr>
              <w:t>*</w:t>
            </w:r>
          </w:p>
        </w:tc>
        <w:tc>
          <w:tcPr>
            <w:tcW w:w="2070" w:type="dxa"/>
            <w:shd w:val="clear" w:color="auto" w:fill="auto"/>
            <w:vAlign w:val="center"/>
          </w:tcPr>
          <w:p w14:paraId="0A3C7905" w14:textId="77777777" w:rsidR="003B6206" w:rsidRPr="00FE6170" w:rsidRDefault="003B6206" w:rsidP="00980B6E">
            <w:pPr>
              <w:snapToGrid w:val="0"/>
              <w:spacing w:line="480" w:lineRule="auto"/>
              <w:contextualSpacing/>
              <w:jc w:val="center"/>
              <w:rPr>
                <w:sz w:val="24"/>
                <w:szCs w:val="24"/>
              </w:rPr>
            </w:pPr>
            <w:r w:rsidRPr="00FE6170">
              <w:rPr>
                <w:sz w:val="24"/>
                <w:szCs w:val="24"/>
              </w:rPr>
              <w:t>2500</w:t>
            </w:r>
          </w:p>
        </w:tc>
        <w:tc>
          <w:tcPr>
            <w:tcW w:w="2160" w:type="dxa"/>
            <w:shd w:val="clear" w:color="auto" w:fill="auto"/>
            <w:vAlign w:val="center"/>
          </w:tcPr>
          <w:p w14:paraId="4CFB5F13" w14:textId="77777777" w:rsidR="003B6206" w:rsidRPr="00FE6170" w:rsidRDefault="003B6206" w:rsidP="00980B6E">
            <w:pPr>
              <w:snapToGrid w:val="0"/>
              <w:spacing w:line="480" w:lineRule="auto"/>
              <w:contextualSpacing/>
              <w:jc w:val="center"/>
              <w:rPr>
                <w:sz w:val="24"/>
                <w:szCs w:val="24"/>
              </w:rPr>
            </w:pPr>
            <w:r w:rsidRPr="00FE6170">
              <w:rPr>
                <w:sz w:val="24"/>
                <w:szCs w:val="24"/>
              </w:rPr>
              <w:t>9.2–10.7</w:t>
            </w:r>
          </w:p>
        </w:tc>
        <w:tc>
          <w:tcPr>
            <w:tcW w:w="2250" w:type="dxa"/>
            <w:shd w:val="clear" w:color="auto" w:fill="auto"/>
            <w:vAlign w:val="center"/>
          </w:tcPr>
          <w:p w14:paraId="627B46D3" w14:textId="77777777" w:rsidR="003B6206" w:rsidRPr="00FE6170" w:rsidRDefault="003B6206" w:rsidP="00980B6E">
            <w:pPr>
              <w:snapToGrid w:val="0"/>
              <w:spacing w:line="480" w:lineRule="auto"/>
              <w:contextualSpacing/>
              <w:jc w:val="center"/>
              <w:rPr>
                <w:sz w:val="24"/>
                <w:szCs w:val="24"/>
              </w:rPr>
            </w:pPr>
            <w:r w:rsidRPr="00FE6170">
              <w:rPr>
                <w:sz w:val="24"/>
                <w:szCs w:val="24"/>
              </w:rPr>
              <w:t>3 of 3</w:t>
            </w:r>
          </w:p>
        </w:tc>
      </w:tr>
      <w:tr w:rsidR="003B6206" w:rsidRPr="00EC6C12" w14:paraId="57B6CB04" w14:textId="77777777" w:rsidTr="00666D29">
        <w:tc>
          <w:tcPr>
            <w:tcW w:w="2336" w:type="dxa"/>
            <w:vMerge/>
            <w:vAlign w:val="center"/>
          </w:tcPr>
          <w:p w14:paraId="24B75420" w14:textId="77777777" w:rsidR="003B6206" w:rsidRPr="00470B8B" w:rsidRDefault="003B6206" w:rsidP="00470B8B">
            <w:pPr>
              <w:snapToGrid w:val="0"/>
              <w:spacing w:line="480" w:lineRule="auto"/>
              <w:contextualSpacing/>
              <w:jc w:val="center"/>
              <w:rPr>
                <w:sz w:val="24"/>
                <w:szCs w:val="24"/>
              </w:rPr>
            </w:pPr>
          </w:p>
        </w:tc>
        <w:tc>
          <w:tcPr>
            <w:tcW w:w="2070" w:type="dxa"/>
            <w:vAlign w:val="center"/>
          </w:tcPr>
          <w:p w14:paraId="2823268B" w14:textId="77777777" w:rsidR="003B6206" w:rsidRPr="00470B8B" w:rsidRDefault="003B6206" w:rsidP="00470B8B">
            <w:pPr>
              <w:snapToGrid w:val="0"/>
              <w:spacing w:line="480" w:lineRule="auto"/>
              <w:contextualSpacing/>
              <w:jc w:val="center"/>
              <w:rPr>
                <w:sz w:val="24"/>
                <w:szCs w:val="24"/>
              </w:rPr>
            </w:pPr>
            <w:r w:rsidRPr="00470B8B">
              <w:rPr>
                <w:sz w:val="24"/>
                <w:szCs w:val="24"/>
              </w:rPr>
              <w:t>1200</w:t>
            </w:r>
          </w:p>
        </w:tc>
        <w:tc>
          <w:tcPr>
            <w:tcW w:w="2160" w:type="dxa"/>
            <w:vAlign w:val="center"/>
          </w:tcPr>
          <w:p w14:paraId="678A70F2" w14:textId="77777777" w:rsidR="003B6206" w:rsidRPr="00470B8B" w:rsidRDefault="003B6206" w:rsidP="00470B8B">
            <w:pPr>
              <w:snapToGrid w:val="0"/>
              <w:spacing w:line="480" w:lineRule="auto"/>
              <w:contextualSpacing/>
              <w:jc w:val="center"/>
              <w:rPr>
                <w:sz w:val="24"/>
                <w:szCs w:val="24"/>
              </w:rPr>
            </w:pPr>
            <w:r w:rsidRPr="00470B8B">
              <w:rPr>
                <w:sz w:val="24"/>
                <w:szCs w:val="24"/>
              </w:rPr>
              <w:t>5.5–8.3</w:t>
            </w:r>
          </w:p>
        </w:tc>
        <w:tc>
          <w:tcPr>
            <w:tcW w:w="2250" w:type="dxa"/>
            <w:vAlign w:val="center"/>
          </w:tcPr>
          <w:p w14:paraId="451BD492" w14:textId="207FAF43" w:rsidR="003B6206" w:rsidRPr="00470B8B" w:rsidRDefault="003B6206" w:rsidP="00470B8B">
            <w:pPr>
              <w:snapToGrid w:val="0"/>
              <w:spacing w:line="480" w:lineRule="auto"/>
              <w:contextualSpacing/>
              <w:jc w:val="center"/>
              <w:rPr>
                <w:sz w:val="24"/>
                <w:szCs w:val="24"/>
              </w:rPr>
            </w:pPr>
            <w:r w:rsidRPr="00470B8B">
              <w:rPr>
                <w:sz w:val="24"/>
                <w:szCs w:val="24"/>
              </w:rPr>
              <w:t>2 of 3</w:t>
            </w:r>
          </w:p>
        </w:tc>
      </w:tr>
      <w:tr w:rsidR="003B6206" w:rsidRPr="00EC6C12" w14:paraId="745C3E25" w14:textId="77777777" w:rsidTr="00666D29">
        <w:tc>
          <w:tcPr>
            <w:tcW w:w="2336" w:type="dxa"/>
            <w:vMerge/>
            <w:vAlign w:val="center"/>
          </w:tcPr>
          <w:p w14:paraId="1A973A76" w14:textId="77777777" w:rsidR="003B6206" w:rsidRPr="00470B8B" w:rsidRDefault="003B6206" w:rsidP="00470B8B">
            <w:pPr>
              <w:snapToGrid w:val="0"/>
              <w:spacing w:line="480" w:lineRule="auto"/>
              <w:contextualSpacing/>
              <w:jc w:val="center"/>
              <w:rPr>
                <w:sz w:val="24"/>
                <w:szCs w:val="24"/>
              </w:rPr>
            </w:pPr>
          </w:p>
        </w:tc>
        <w:tc>
          <w:tcPr>
            <w:tcW w:w="2070" w:type="dxa"/>
            <w:shd w:val="clear" w:color="auto" w:fill="auto"/>
            <w:vAlign w:val="center"/>
          </w:tcPr>
          <w:p w14:paraId="36AA8AD3" w14:textId="77777777" w:rsidR="003B6206" w:rsidRPr="00470B8B" w:rsidRDefault="003B6206" w:rsidP="00470B8B">
            <w:pPr>
              <w:snapToGrid w:val="0"/>
              <w:spacing w:line="480" w:lineRule="auto"/>
              <w:contextualSpacing/>
              <w:jc w:val="center"/>
              <w:rPr>
                <w:sz w:val="24"/>
                <w:szCs w:val="24"/>
              </w:rPr>
            </w:pPr>
            <w:r w:rsidRPr="00470B8B">
              <w:rPr>
                <w:sz w:val="24"/>
                <w:szCs w:val="24"/>
              </w:rPr>
              <w:t>250</w:t>
            </w:r>
          </w:p>
        </w:tc>
        <w:tc>
          <w:tcPr>
            <w:tcW w:w="2160" w:type="dxa"/>
            <w:shd w:val="clear" w:color="auto" w:fill="auto"/>
            <w:vAlign w:val="center"/>
          </w:tcPr>
          <w:p w14:paraId="479C7ED8" w14:textId="77777777" w:rsidR="003B6206" w:rsidRPr="00470B8B" w:rsidRDefault="003B6206" w:rsidP="00470B8B">
            <w:pPr>
              <w:snapToGrid w:val="0"/>
              <w:spacing w:line="480" w:lineRule="auto"/>
              <w:contextualSpacing/>
              <w:jc w:val="center"/>
              <w:rPr>
                <w:sz w:val="24"/>
                <w:szCs w:val="24"/>
              </w:rPr>
            </w:pPr>
            <w:r w:rsidRPr="00470B8B">
              <w:rPr>
                <w:sz w:val="24"/>
                <w:szCs w:val="24"/>
              </w:rPr>
              <w:t>6.4–7.5</w:t>
            </w:r>
          </w:p>
        </w:tc>
        <w:tc>
          <w:tcPr>
            <w:tcW w:w="2250" w:type="dxa"/>
            <w:shd w:val="clear" w:color="auto" w:fill="auto"/>
            <w:vAlign w:val="center"/>
          </w:tcPr>
          <w:p w14:paraId="59BAF52A"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4C29CB52" w14:textId="77777777" w:rsidTr="00666D29">
        <w:tc>
          <w:tcPr>
            <w:tcW w:w="2336" w:type="dxa"/>
            <w:vMerge/>
            <w:vAlign w:val="center"/>
          </w:tcPr>
          <w:p w14:paraId="11C9153E" w14:textId="77777777" w:rsidR="003B6206" w:rsidRPr="00470B8B" w:rsidRDefault="003B6206" w:rsidP="00470B8B">
            <w:pPr>
              <w:snapToGrid w:val="0"/>
              <w:spacing w:line="480" w:lineRule="auto"/>
              <w:contextualSpacing/>
              <w:jc w:val="center"/>
              <w:rPr>
                <w:sz w:val="24"/>
                <w:szCs w:val="24"/>
              </w:rPr>
            </w:pPr>
          </w:p>
        </w:tc>
        <w:tc>
          <w:tcPr>
            <w:tcW w:w="2070" w:type="dxa"/>
            <w:shd w:val="clear" w:color="auto" w:fill="auto"/>
            <w:vAlign w:val="center"/>
          </w:tcPr>
          <w:p w14:paraId="6A40B27A" w14:textId="77777777" w:rsidR="003B6206" w:rsidRPr="00470B8B" w:rsidRDefault="003B6206" w:rsidP="00470B8B">
            <w:pPr>
              <w:snapToGrid w:val="0"/>
              <w:spacing w:line="480" w:lineRule="auto"/>
              <w:contextualSpacing/>
              <w:jc w:val="center"/>
              <w:rPr>
                <w:sz w:val="24"/>
                <w:szCs w:val="24"/>
              </w:rPr>
            </w:pPr>
            <w:r w:rsidRPr="00470B8B">
              <w:rPr>
                <w:sz w:val="24"/>
                <w:szCs w:val="24"/>
              </w:rPr>
              <w:t>120</w:t>
            </w:r>
          </w:p>
        </w:tc>
        <w:tc>
          <w:tcPr>
            <w:tcW w:w="2160" w:type="dxa"/>
            <w:shd w:val="clear" w:color="auto" w:fill="auto"/>
            <w:vAlign w:val="center"/>
          </w:tcPr>
          <w:p w14:paraId="4F0BF30C" w14:textId="5BF92E26" w:rsidR="003B6206" w:rsidRPr="00470B8B" w:rsidRDefault="003B6206" w:rsidP="00470B8B">
            <w:pPr>
              <w:snapToGrid w:val="0"/>
              <w:spacing w:line="480" w:lineRule="auto"/>
              <w:contextualSpacing/>
              <w:jc w:val="center"/>
              <w:rPr>
                <w:sz w:val="24"/>
                <w:szCs w:val="24"/>
              </w:rPr>
            </w:pPr>
            <w:r w:rsidRPr="00470B8B">
              <w:rPr>
                <w:sz w:val="24"/>
                <w:szCs w:val="24"/>
              </w:rPr>
              <w:t>7.2–8.</w:t>
            </w:r>
            <w:r w:rsidR="00BA1827">
              <w:rPr>
                <w:sz w:val="24"/>
                <w:szCs w:val="24"/>
              </w:rPr>
              <w:t>2</w:t>
            </w:r>
          </w:p>
        </w:tc>
        <w:tc>
          <w:tcPr>
            <w:tcW w:w="2250" w:type="dxa"/>
            <w:shd w:val="clear" w:color="auto" w:fill="auto"/>
            <w:vAlign w:val="center"/>
          </w:tcPr>
          <w:p w14:paraId="1877EF73" w14:textId="77777777" w:rsidR="003B6206" w:rsidRPr="00470B8B" w:rsidRDefault="003B6206" w:rsidP="00470B8B">
            <w:pPr>
              <w:snapToGrid w:val="0"/>
              <w:spacing w:line="480" w:lineRule="auto"/>
              <w:contextualSpacing/>
              <w:jc w:val="center"/>
              <w:rPr>
                <w:sz w:val="24"/>
                <w:szCs w:val="24"/>
              </w:rPr>
            </w:pPr>
            <w:r w:rsidRPr="00470B8B">
              <w:rPr>
                <w:sz w:val="24"/>
                <w:szCs w:val="24"/>
              </w:rPr>
              <w:t>3 of 3</w:t>
            </w:r>
          </w:p>
        </w:tc>
      </w:tr>
      <w:tr w:rsidR="003B6206" w:rsidRPr="00EC6C12" w14:paraId="28BCFAA5" w14:textId="77777777" w:rsidTr="00666D29">
        <w:tc>
          <w:tcPr>
            <w:tcW w:w="2336" w:type="dxa"/>
            <w:vMerge/>
            <w:vAlign w:val="center"/>
          </w:tcPr>
          <w:p w14:paraId="7A69D9A2" w14:textId="77777777" w:rsidR="003B6206" w:rsidRPr="00470B8B" w:rsidRDefault="003B6206" w:rsidP="00470B8B">
            <w:pPr>
              <w:snapToGrid w:val="0"/>
              <w:spacing w:line="480" w:lineRule="auto"/>
              <w:contextualSpacing/>
              <w:jc w:val="center"/>
              <w:rPr>
                <w:sz w:val="24"/>
                <w:szCs w:val="24"/>
              </w:rPr>
            </w:pPr>
          </w:p>
        </w:tc>
        <w:tc>
          <w:tcPr>
            <w:tcW w:w="2070" w:type="dxa"/>
            <w:vAlign w:val="center"/>
          </w:tcPr>
          <w:p w14:paraId="49CF1BAE" w14:textId="77777777" w:rsidR="003B6206" w:rsidRPr="00470B8B" w:rsidRDefault="003B6206" w:rsidP="00470B8B">
            <w:pPr>
              <w:snapToGrid w:val="0"/>
              <w:spacing w:line="480" w:lineRule="auto"/>
              <w:contextualSpacing/>
              <w:jc w:val="center"/>
              <w:rPr>
                <w:sz w:val="24"/>
                <w:szCs w:val="24"/>
              </w:rPr>
            </w:pPr>
            <w:r w:rsidRPr="00470B8B">
              <w:rPr>
                <w:sz w:val="24"/>
                <w:szCs w:val="24"/>
              </w:rPr>
              <w:t>25</w:t>
            </w:r>
          </w:p>
        </w:tc>
        <w:tc>
          <w:tcPr>
            <w:tcW w:w="2160" w:type="dxa"/>
            <w:vAlign w:val="center"/>
          </w:tcPr>
          <w:p w14:paraId="2965B78E" w14:textId="77777777" w:rsidR="003B6206" w:rsidRPr="00470B8B" w:rsidRDefault="003B6206" w:rsidP="00470B8B">
            <w:pPr>
              <w:snapToGrid w:val="0"/>
              <w:spacing w:line="480" w:lineRule="auto"/>
              <w:contextualSpacing/>
              <w:jc w:val="center"/>
              <w:rPr>
                <w:sz w:val="24"/>
                <w:szCs w:val="24"/>
              </w:rPr>
            </w:pPr>
            <w:r w:rsidRPr="00470B8B">
              <w:rPr>
                <w:sz w:val="24"/>
                <w:szCs w:val="24"/>
              </w:rPr>
              <w:t>0–4.9</w:t>
            </w:r>
          </w:p>
        </w:tc>
        <w:tc>
          <w:tcPr>
            <w:tcW w:w="2250" w:type="dxa"/>
            <w:vAlign w:val="center"/>
          </w:tcPr>
          <w:p w14:paraId="3E3F9828" w14:textId="77777777" w:rsidR="003B6206" w:rsidRPr="00470B8B" w:rsidRDefault="003B6206" w:rsidP="00470B8B">
            <w:pPr>
              <w:snapToGrid w:val="0"/>
              <w:spacing w:line="480" w:lineRule="auto"/>
              <w:contextualSpacing/>
              <w:jc w:val="center"/>
              <w:rPr>
                <w:sz w:val="24"/>
                <w:szCs w:val="24"/>
              </w:rPr>
            </w:pPr>
            <w:r w:rsidRPr="00470B8B">
              <w:rPr>
                <w:sz w:val="24"/>
                <w:szCs w:val="24"/>
              </w:rPr>
              <w:t>0 of 3</w:t>
            </w:r>
          </w:p>
        </w:tc>
      </w:tr>
      <w:tr w:rsidR="003B6206" w:rsidRPr="00BF25FC" w14:paraId="166A7FFB" w14:textId="77777777" w:rsidTr="00666D29">
        <w:tc>
          <w:tcPr>
            <w:tcW w:w="2336" w:type="dxa"/>
            <w:vMerge/>
            <w:vAlign w:val="center"/>
          </w:tcPr>
          <w:p w14:paraId="74E843AF" w14:textId="77777777" w:rsidR="003B6206" w:rsidRPr="00470B8B" w:rsidRDefault="003B6206" w:rsidP="00470B8B">
            <w:pPr>
              <w:snapToGrid w:val="0"/>
              <w:spacing w:line="480" w:lineRule="auto"/>
              <w:contextualSpacing/>
              <w:jc w:val="center"/>
              <w:rPr>
                <w:sz w:val="24"/>
                <w:szCs w:val="24"/>
              </w:rPr>
            </w:pPr>
          </w:p>
        </w:tc>
        <w:tc>
          <w:tcPr>
            <w:tcW w:w="2070" w:type="dxa"/>
            <w:vAlign w:val="center"/>
          </w:tcPr>
          <w:p w14:paraId="0D79962D" w14:textId="77777777" w:rsidR="003B6206" w:rsidRPr="00470B8B" w:rsidRDefault="003B6206" w:rsidP="00470B8B">
            <w:pPr>
              <w:snapToGrid w:val="0"/>
              <w:spacing w:line="480" w:lineRule="auto"/>
              <w:contextualSpacing/>
              <w:jc w:val="center"/>
              <w:rPr>
                <w:sz w:val="24"/>
                <w:szCs w:val="24"/>
              </w:rPr>
            </w:pPr>
            <w:r w:rsidRPr="00470B8B">
              <w:rPr>
                <w:sz w:val="24"/>
                <w:szCs w:val="24"/>
              </w:rPr>
              <w:t>12</w:t>
            </w:r>
          </w:p>
        </w:tc>
        <w:tc>
          <w:tcPr>
            <w:tcW w:w="2160" w:type="dxa"/>
            <w:vAlign w:val="center"/>
          </w:tcPr>
          <w:p w14:paraId="0C82EABB" w14:textId="77777777" w:rsidR="003B6206" w:rsidRPr="00470B8B" w:rsidRDefault="003B6206" w:rsidP="00470B8B">
            <w:pPr>
              <w:snapToGrid w:val="0"/>
              <w:spacing w:line="480" w:lineRule="auto"/>
              <w:contextualSpacing/>
              <w:jc w:val="center"/>
              <w:rPr>
                <w:sz w:val="24"/>
                <w:szCs w:val="24"/>
              </w:rPr>
            </w:pPr>
            <w:r w:rsidRPr="00470B8B">
              <w:rPr>
                <w:sz w:val="24"/>
                <w:szCs w:val="24"/>
              </w:rPr>
              <w:t>0 - 0</w:t>
            </w:r>
          </w:p>
        </w:tc>
        <w:tc>
          <w:tcPr>
            <w:tcW w:w="2250" w:type="dxa"/>
            <w:vAlign w:val="center"/>
          </w:tcPr>
          <w:p w14:paraId="1573CC1F" w14:textId="77777777" w:rsidR="003B6206" w:rsidRPr="00470B8B" w:rsidRDefault="003B6206" w:rsidP="00470B8B">
            <w:pPr>
              <w:snapToGrid w:val="0"/>
              <w:spacing w:line="480" w:lineRule="auto"/>
              <w:contextualSpacing/>
              <w:jc w:val="center"/>
              <w:rPr>
                <w:sz w:val="24"/>
                <w:szCs w:val="24"/>
              </w:rPr>
            </w:pPr>
            <w:r w:rsidRPr="00470B8B">
              <w:rPr>
                <w:sz w:val="24"/>
                <w:szCs w:val="24"/>
              </w:rPr>
              <w:t>0 of 3</w:t>
            </w:r>
          </w:p>
        </w:tc>
      </w:tr>
    </w:tbl>
    <w:p w14:paraId="549B2BC4" w14:textId="77777777" w:rsidR="00142E05" w:rsidRDefault="00B56B3D" w:rsidP="00B56B3D">
      <w:pPr>
        <w:spacing w:line="480" w:lineRule="auto"/>
        <w:rPr>
          <w:sz w:val="22"/>
          <w:szCs w:val="22"/>
        </w:rPr>
      </w:pPr>
      <w:r w:rsidRPr="00980B6E">
        <w:rPr>
          <w:sz w:val="22"/>
          <w:szCs w:val="22"/>
        </w:rPr>
        <w:t xml:space="preserve">* </w:t>
      </w:r>
      <w:r w:rsidR="00142E05">
        <w:rPr>
          <w:sz w:val="22"/>
          <w:szCs w:val="22"/>
        </w:rPr>
        <w:t xml:space="preserve">CFU values are averages corrected for dilution, expressed with 2 significant figure accuracy. </w:t>
      </w:r>
    </w:p>
    <w:p w14:paraId="06B3B0D2" w14:textId="07452D09" w:rsidR="00B56B3D" w:rsidRDefault="00142E05" w:rsidP="00B56B3D">
      <w:pPr>
        <w:spacing w:line="480" w:lineRule="auto"/>
        <w:rPr>
          <w:sz w:val="22"/>
          <w:szCs w:val="22"/>
        </w:rPr>
      </w:pPr>
      <w:r>
        <w:rPr>
          <w:sz w:val="22"/>
          <w:szCs w:val="22"/>
        </w:rPr>
        <w:t xml:space="preserve">** </w:t>
      </w:r>
      <w:r w:rsidR="00B56B3D" w:rsidRPr="00980B6E">
        <w:rPr>
          <w:sz w:val="22"/>
          <w:szCs w:val="22"/>
        </w:rPr>
        <w:t xml:space="preserve">The </w:t>
      </w:r>
      <w:r w:rsidR="00B56B3D" w:rsidRPr="00980B6E">
        <w:rPr>
          <w:sz w:val="22"/>
          <w:szCs w:val="22"/>
        </w:rPr>
        <w:sym w:font="Symbol" w:char="F044"/>
      </w:r>
      <w:r w:rsidR="00B56B3D" w:rsidRPr="00980B6E">
        <w:rPr>
          <w:sz w:val="22"/>
          <w:szCs w:val="22"/>
        </w:rPr>
        <w:t>C</w:t>
      </w:r>
      <w:r w:rsidR="00B56B3D" w:rsidRPr="00980B6E">
        <w:rPr>
          <w:sz w:val="22"/>
          <w:szCs w:val="22"/>
          <w:vertAlign w:val="subscript"/>
        </w:rPr>
        <w:t>T</w:t>
      </w:r>
      <w:r w:rsidR="00B56B3D" w:rsidRPr="00980B6E">
        <w:rPr>
          <w:sz w:val="22"/>
          <w:szCs w:val="22"/>
        </w:rPr>
        <w:t xml:space="preserve"> range includes the highest </w:t>
      </w:r>
      <w:r w:rsidR="00B56B3D" w:rsidRPr="00980B6E">
        <w:rPr>
          <w:sz w:val="22"/>
          <w:szCs w:val="22"/>
        </w:rPr>
        <w:sym w:font="Symbol" w:char="F044"/>
      </w:r>
      <w:r w:rsidR="00B56B3D" w:rsidRPr="00980B6E">
        <w:rPr>
          <w:sz w:val="22"/>
          <w:szCs w:val="22"/>
        </w:rPr>
        <w:t>C</w:t>
      </w:r>
      <w:r w:rsidR="00B56B3D" w:rsidRPr="00980B6E">
        <w:rPr>
          <w:sz w:val="22"/>
          <w:szCs w:val="22"/>
          <w:vertAlign w:val="subscript"/>
        </w:rPr>
        <w:t>T</w:t>
      </w:r>
      <w:r w:rsidR="00B56B3D" w:rsidRPr="00980B6E">
        <w:rPr>
          <w:sz w:val="22"/>
          <w:szCs w:val="22"/>
        </w:rPr>
        <w:t xml:space="preserve"> value per ATD sample replicate, either from undiluted or 10-fold diluted DNA extracts. </w:t>
      </w:r>
    </w:p>
    <w:p w14:paraId="03DD7629" w14:textId="718F1D14" w:rsidR="00C165CE" w:rsidRPr="00980B6E" w:rsidRDefault="00C165CE" w:rsidP="00B56B3D">
      <w:pPr>
        <w:spacing w:line="480" w:lineRule="auto"/>
        <w:rPr>
          <w:sz w:val="22"/>
          <w:szCs w:val="22"/>
        </w:rPr>
      </w:pPr>
      <w:r>
        <w:rPr>
          <w:sz w:val="22"/>
          <w:szCs w:val="22"/>
        </w:rPr>
        <w:t>*** The number of positive samples per three replicate samples</w:t>
      </w:r>
      <w:r w:rsidR="00476E0B">
        <w:rPr>
          <w:sz w:val="22"/>
          <w:szCs w:val="22"/>
        </w:rPr>
        <w:t>.</w:t>
      </w:r>
    </w:p>
    <w:p w14:paraId="641E422E" w14:textId="0B661310" w:rsidR="00D97657" w:rsidRPr="00142E05" w:rsidRDefault="00142E05" w:rsidP="00B56B3D">
      <w:pPr>
        <w:spacing w:line="480" w:lineRule="auto"/>
        <w:rPr>
          <w:sz w:val="22"/>
          <w:szCs w:val="22"/>
        </w:rPr>
      </w:pPr>
      <w:r w:rsidRPr="00666D29">
        <w:rPr>
          <w:rFonts w:eastAsia="Calibri"/>
          <w:sz w:val="22"/>
          <w:szCs w:val="22"/>
        </w:rPr>
        <w:t>Acronyms: ATD, Arizona Test Dust; C</w:t>
      </w:r>
      <w:r w:rsidRPr="00666D29">
        <w:rPr>
          <w:rFonts w:eastAsia="Calibri"/>
          <w:sz w:val="22"/>
          <w:szCs w:val="22"/>
          <w:vertAlign w:val="subscript"/>
        </w:rPr>
        <w:t>T</w:t>
      </w:r>
      <w:r w:rsidRPr="00666D29">
        <w:rPr>
          <w:rFonts w:eastAsia="Calibri"/>
          <w:sz w:val="22"/>
          <w:szCs w:val="22"/>
        </w:rPr>
        <w:t>, cycle threshold.</w:t>
      </w:r>
    </w:p>
    <w:p w14:paraId="0EBC74F0" w14:textId="77777777" w:rsidR="003B6206" w:rsidRPr="00BF25FC" w:rsidRDefault="003B6206" w:rsidP="00BF25FC">
      <w:pPr>
        <w:spacing w:line="480" w:lineRule="auto"/>
      </w:pPr>
    </w:p>
    <w:p w14:paraId="17FB4987" w14:textId="2DA2388B" w:rsidR="00A163A1" w:rsidRDefault="00A163A1" w:rsidP="00BF25FC">
      <w:pPr>
        <w:spacing w:line="480" w:lineRule="auto"/>
      </w:pPr>
      <w:r w:rsidRPr="00BF25FC">
        <w:t xml:space="preserve">While traditional culture methods are considered the gold standard for viability analysis, this effort demonstrated that RV-PCR could detect down to </w:t>
      </w:r>
      <w:r w:rsidR="00C873E7">
        <w:t xml:space="preserve">the </w:t>
      </w:r>
      <w:r w:rsidRPr="00BF25FC">
        <w:t>10</w:t>
      </w:r>
      <w:r w:rsidRPr="00BF25FC">
        <w:rPr>
          <w:vertAlign w:val="superscript"/>
        </w:rPr>
        <w:t>2</w:t>
      </w:r>
      <w:r w:rsidRPr="00BF25FC">
        <w:t>-</w:t>
      </w:r>
      <w:r w:rsidR="00C873E7">
        <w:t>CFU</w:t>
      </w:r>
      <w:r w:rsidR="00C873E7" w:rsidRPr="00BF25FC">
        <w:t xml:space="preserve"> </w:t>
      </w:r>
      <w:r w:rsidRPr="00BF25FC">
        <w:t>level per 3-mL sample</w:t>
      </w:r>
      <w:r w:rsidR="00EE32D7">
        <w:t xml:space="preserve"> with background microbes</w:t>
      </w:r>
      <w:r w:rsidRPr="00BF25FC">
        <w:t xml:space="preserve"> in &lt;36 h (sample processing and analysis time)</w:t>
      </w:r>
      <w:r w:rsidR="00CA2D1D">
        <w:t>,</w:t>
      </w:r>
      <w:r w:rsidRPr="00BF25FC">
        <w:t xml:space="preserve"> compared to more than 72 h required for confirmed results from plate culture analysis.  </w:t>
      </w:r>
      <w:r w:rsidR="0026443F">
        <w:t>Additionally</w:t>
      </w:r>
      <w:r w:rsidRPr="00BF25FC">
        <w:t xml:space="preserve">, the RV-PCR method uses a single 48-well plate for 48 samples (and controls) for growth compared with the culture method that uses 11 Chocolate Agar plates, dilution tubes, and an enrichment culture tube per sample, with additional plates to re-streak from the enrichment culture for presumptive </w:t>
      </w:r>
      <w:r w:rsidRPr="00BF25FC">
        <w:rPr>
          <w:i/>
          <w:iCs/>
        </w:rPr>
        <w:t>F. tularensis</w:t>
      </w:r>
      <w:r w:rsidRPr="00BF25FC">
        <w:t xml:space="preserve"> colony isolation</w:t>
      </w:r>
      <w:r w:rsidR="0026443F">
        <w:t>. Therefore,</w:t>
      </w:r>
      <w:r w:rsidR="00B225FC">
        <w:t xml:space="preserve"> more incubator space </w:t>
      </w:r>
      <w:r w:rsidR="0026443F" w:rsidRPr="0026443F">
        <w:t xml:space="preserve">(larger laboratory footprint) </w:t>
      </w:r>
      <w:r w:rsidR="00B225FC">
        <w:t xml:space="preserve">would be required for plates and tubes compared with 48-well plates used for RV-PCR analysis. Furthermore, by incorporating automated DNA extraction, less consumable waste is generated and DNA extracts can be obtained more rapidly with </w:t>
      </w:r>
      <w:r w:rsidR="001879B6">
        <w:t xml:space="preserve">reduced </w:t>
      </w:r>
      <w:r w:rsidR="00B225FC">
        <w:t>labor required.</w:t>
      </w:r>
      <w:r w:rsidR="00597416">
        <w:t xml:space="preserve"> </w:t>
      </w:r>
    </w:p>
    <w:p w14:paraId="2928576E" w14:textId="77777777" w:rsidR="006F6B5E" w:rsidRDefault="006F6B5E" w:rsidP="00BF25FC">
      <w:pPr>
        <w:spacing w:line="480" w:lineRule="auto"/>
      </w:pPr>
    </w:p>
    <w:p w14:paraId="5833C1FA" w14:textId="20B0162D" w:rsidR="0018607F" w:rsidRPr="0018607F" w:rsidRDefault="003A487D" w:rsidP="00BF25FC">
      <w:pPr>
        <w:spacing w:line="480" w:lineRule="auto"/>
      </w:pPr>
      <w:r>
        <w:rPr>
          <w:bCs/>
        </w:rPr>
        <w:t>With proper training and proficiency</w:t>
      </w:r>
      <w:r w:rsidR="00AF26F1">
        <w:rPr>
          <w:bCs/>
        </w:rPr>
        <w:t xml:space="preserve"> demonstration</w:t>
      </w:r>
      <w:r>
        <w:rPr>
          <w:bCs/>
        </w:rPr>
        <w:t>, t</w:t>
      </w:r>
      <w:r w:rsidRPr="002B106A">
        <w:rPr>
          <w:bCs/>
        </w:rPr>
        <w:t xml:space="preserve">he </w:t>
      </w:r>
      <w:r w:rsidR="0018607F" w:rsidRPr="002B106A">
        <w:rPr>
          <w:bCs/>
        </w:rPr>
        <w:t xml:space="preserve">RV-PCR method for detection of viable </w:t>
      </w:r>
      <w:r w:rsidR="0018607F" w:rsidRPr="002B106A">
        <w:rPr>
          <w:bCs/>
          <w:i/>
        </w:rPr>
        <w:t>F. tularensis</w:t>
      </w:r>
      <w:r w:rsidR="0018607F" w:rsidRPr="002B106A">
        <w:rPr>
          <w:bCs/>
        </w:rPr>
        <w:t xml:space="preserve"> from water samples </w:t>
      </w:r>
      <w:r>
        <w:rPr>
          <w:bCs/>
        </w:rPr>
        <w:t>could</w:t>
      </w:r>
      <w:r w:rsidRPr="002B106A">
        <w:rPr>
          <w:bCs/>
        </w:rPr>
        <w:t xml:space="preserve"> </w:t>
      </w:r>
      <w:r w:rsidR="0018607F" w:rsidRPr="002B106A">
        <w:rPr>
          <w:bCs/>
        </w:rPr>
        <w:t xml:space="preserve">help enhance the </w:t>
      </w:r>
      <w:r>
        <w:rPr>
          <w:bCs/>
        </w:rPr>
        <w:t xml:space="preserve">laboratory </w:t>
      </w:r>
      <w:r w:rsidR="0018607F" w:rsidRPr="002B106A">
        <w:rPr>
          <w:bCs/>
        </w:rPr>
        <w:t xml:space="preserve">capability for rapid, reliable, and high-throughput sample analysis to effectively respond to an intentional, accidental, or </w:t>
      </w:r>
      <w:r w:rsidR="0018607F" w:rsidRPr="002B106A">
        <w:t xml:space="preserve">natural outbreak incident resulting in water infrastructure contamination.  Additionally, subsequent to following sample-type-specific processing and concentration steps, this RV-PCR method </w:t>
      </w:r>
      <w:r w:rsidR="003D46D8">
        <w:t>could</w:t>
      </w:r>
      <w:r w:rsidR="003D46D8" w:rsidRPr="002B106A">
        <w:t xml:space="preserve"> </w:t>
      </w:r>
      <w:r w:rsidR="0018607F" w:rsidRPr="002B106A">
        <w:t>be used for other sample types during a response to a wide-area tularemia incident</w:t>
      </w:r>
      <w:r w:rsidR="003D46D8">
        <w:t xml:space="preserve">, </w:t>
      </w:r>
      <w:r w:rsidR="003D46D8" w:rsidRPr="002958F3">
        <w:t xml:space="preserve">although further verification </w:t>
      </w:r>
      <w:r>
        <w:t>testing</w:t>
      </w:r>
      <w:r w:rsidR="003D46D8" w:rsidRPr="002958F3">
        <w:t xml:space="preserve"> would be required (i.e., for different </w:t>
      </w:r>
      <w:r w:rsidR="00296138">
        <w:t>sample</w:t>
      </w:r>
      <w:r w:rsidR="003D46D8" w:rsidRPr="002958F3">
        <w:t xml:space="preserve"> types and potential interferences)</w:t>
      </w:r>
      <w:r w:rsidR="0018607F" w:rsidRPr="002B106A">
        <w:t>.</w:t>
      </w:r>
    </w:p>
    <w:p w14:paraId="1865F6CE" w14:textId="1AB9F99B" w:rsidR="002D3C7B" w:rsidRDefault="002D3C7B" w:rsidP="00BF25FC">
      <w:pPr>
        <w:spacing w:line="480" w:lineRule="auto"/>
      </w:pPr>
    </w:p>
    <w:p w14:paraId="5E089621" w14:textId="345B353C" w:rsidR="002D3C7B" w:rsidRDefault="002D3C7B" w:rsidP="00142E05">
      <w:pPr>
        <w:rPr>
          <w:b/>
        </w:rPr>
      </w:pPr>
      <w:r w:rsidRPr="002B106A">
        <w:rPr>
          <w:b/>
        </w:rPr>
        <w:t>Acknowledgments</w:t>
      </w:r>
    </w:p>
    <w:p w14:paraId="2A1610D8" w14:textId="77777777" w:rsidR="00AA5983" w:rsidRPr="002B106A" w:rsidRDefault="00AA5983" w:rsidP="002B106A">
      <w:pPr>
        <w:rPr>
          <w:b/>
        </w:rPr>
      </w:pPr>
    </w:p>
    <w:p w14:paraId="0A744662" w14:textId="11A4827D" w:rsidR="002D3C7B" w:rsidRPr="00E539C4" w:rsidRDefault="002D3C7B" w:rsidP="00980B6E">
      <w:pPr>
        <w:spacing w:line="480" w:lineRule="auto"/>
        <w:jc w:val="both"/>
      </w:pPr>
      <w:r w:rsidRPr="00E539C4">
        <w:t xml:space="preserve">We thank </w:t>
      </w:r>
      <w:r w:rsidRPr="00142E05">
        <w:t xml:space="preserve">Worth Calfee (EPA) and </w:t>
      </w:r>
      <w:r w:rsidR="00142E05" w:rsidRPr="002B106A">
        <w:t>John Archer</w:t>
      </w:r>
      <w:r w:rsidRPr="00142E05">
        <w:t xml:space="preserve"> (EPA)</w:t>
      </w:r>
      <w:r w:rsidRPr="00E539C4">
        <w:t xml:space="preserve"> for technical review of this manuscript.</w:t>
      </w:r>
    </w:p>
    <w:p w14:paraId="29BCE1A3" w14:textId="7DB63894" w:rsidR="002D3C7B" w:rsidRDefault="002D3C7B" w:rsidP="002D3C7B">
      <w:pPr>
        <w:spacing w:line="480" w:lineRule="auto"/>
        <w:jc w:val="both"/>
      </w:pPr>
      <w:r w:rsidRPr="00E539C4">
        <w:t xml:space="preserve">The United States Environmental Protection Agency through its Office of Research and Development funded and managed the research described here under an Interagency Agreement </w:t>
      </w:r>
      <w:r w:rsidRPr="00142E05">
        <w:t>(EPA IA DW-89-</w:t>
      </w:r>
      <w:r w:rsidR="00142E05" w:rsidRPr="002B106A">
        <w:rPr>
          <w:rFonts w:eastAsia="Cambria"/>
          <w:bCs/>
        </w:rPr>
        <w:t>92454101</w:t>
      </w:r>
      <w:r w:rsidRPr="00142E05">
        <w:t>-0).</w:t>
      </w:r>
      <w:r w:rsidRPr="00E539C4">
        <w:t xml:space="preserve"> The DOE contractor role did not include establishing Agency policy. It has been subjected to the Agency’s review and has been approved for publication. Note that approval does not signify that the contents necessarily reflect the views of the Agency. Mention of trade names, products, or services does not convey official EPA approval, endorsement, or recommendation. </w:t>
      </w:r>
    </w:p>
    <w:p w14:paraId="6261E073" w14:textId="77777777" w:rsidR="002D3C7B" w:rsidRPr="00E539C4" w:rsidRDefault="002D3C7B" w:rsidP="00980B6E">
      <w:pPr>
        <w:spacing w:line="480" w:lineRule="auto"/>
        <w:jc w:val="both"/>
      </w:pPr>
    </w:p>
    <w:p w14:paraId="6BA96EB2" w14:textId="73439107" w:rsidR="002D3C7B" w:rsidRDefault="002D3C7B" w:rsidP="002D3C7B">
      <w:pPr>
        <w:spacing w:line="480" w:lineRule="auto"/>
      </w:pPr>
      <w:r w:rsidRPr="00E539C4">
        <w:t xml:space="preserve">Lawrence Livermore National Laboratory is operated by Lawrence Livermore National Security (LLNS), LLC, for the U.S. Department of Energy, National Nuclear Security Administration under </w:t>
      </w:r>
      <w:r w:rsidRPr="00142E05">
        <w:t>Contract DE-AC52-07NA27344.</w:t>
      </w:r>
    </w:p>
    <w:p w14:paraId="021FA5F8" w14:textId="132EC847" w:rsidR="00F9432E" w:rsidRDefault="00F9432E" w:rsidP="002D3C7B">
      <w:pPr>
        <w:spacing w:line="480" w:lineRule="auto"/>
      </w:pPr>
    </w:p>
    <w:p w14:paraId="3DE9DFB2" w14:textId="77777777" w:rsidR="00F9432E" w:rsidRPr="00980B6E" w:rsidRDefault="00F9432E" w:rsidP="00980B6E">
      <w:pPr>
        <w:rPr>
          <w:b/>
        </w:rPr>
      </w:pPr>
      <w:r w:rsidRPr="00980B6E">
        <w:rPr>
          <w:b/>
        </w:rPr>
        <w:t>References</w:t>
      </w:r>
    </w:p>
    <w:p w14:paraId="6626CB2D" w14:textId="77777777" w:rsidR="000D72D7" w:rsidRPr="00142E05" w:rsidRDefault="000D72D7" w:rsidP="000D72D7">
      <w:pPr>
        <w:spacing w:line="480" w:lineRule="auto"/>
      </w:pPr>
    </w:p>
    <w:p w14:paraId="59FDB75E" w14:textId="77777777" w:rsidR="00827969" w:rsidRPr="00827969" w:rsidRDefault="000D72D7" w:rsidP="008C0702">
      <w:pPr>
        <w:spacing w:line="480" w:lineRule="auto"/>
        <w:ind w:left="720" w:hanging="720"/>
      </w:pPr>
      <w:r w:rsidRPr="00827969">
        <w:t xml:space="preserve">Abd, H., Johansson, </w:t>
      </w:r>
      <w:r w:rsidR="007E5201" w:rsidRPr="00827969">
        <w:t xml:space="preserve">T., </w:t>
      </w:r>
      <w:r w:rsidRPr="00827969">
        <w:t xml:space="preserve">Golovliov, </w:t>
      </w:r>
      <w:r w:rsidR="007E5201" w:rsidRPr="00827969">
        <w:t xml:space="preserve">I., </w:t>
      </w:r>
      <w:r w:rsidRPr="00827969">
        <w:t xml:space="preserve">Sandstrom, </w:t>
      </w:r>
      <w:r w:rsidR="007E5201" w:rsidRPr="00827969">
        <w:t xml:space="preserve">G., </w:t>
      </w:r>
      <w:r w:rsidRPr="00827969">
        <w:t>Forsman</w:t>
      </w:r>
      <w:r w:rsidR="007E5201" w:rsidRPr="00827969">
        <w:t>, M</w:t>
      </w:r>
      <w:r w:rsidRPr="00827969">
        <w:t>.</w:t>
      </w:r>
      <w:r w:rsidR="007807EF" w:rsidRPr="00827969">
        <w:t>,</w:t>
      </w:r>
      <w:r w:rsidRPr="00827969">
        <w:t xml:space="preserve"> 2003. Survival and growth of </w:t>
      </w:r>
      <w:r w:rsidRPr="00827969">
        <w:rPr>
          <w:i/>
          <w:iCs/>
        </w:rPr>
        <w:t>Francisella tularensis</w:t>
      </w:r>
      <w:r w:rsidRPr="00827969">
        <w:t xml:space="preserve"> in </w:t>
      </w:r>
      <w:r w:rsidRPr="00827969">
        <w:rPr>
          <w:i/>
          <w:iCs/>
        </w:rPr>
        <w:t>Acanthamoeba castellanii</w:t>
      </w:r>
      <w:r w:rsidRPr="00827969">
        <w:t>. Appl. Environ. Microbiol. 69</w:t>
      </w:r>
      <w:r w:rsidR="00B03BC3" w:rsidRPr="00827969">
        <w:t xml:space="preserve">, </w:t>
      </w:r>
      <w:r w:rsidRPr="00827969">
        <w:t xml:space="preserve">600–606. </w:t>
      </w:r>
      <w:r w:rsidR="00827969" w:rsidRPr="00827969">
        <w:t>doi: </w:t>
      </w:r>
      <w:hyperlink r:id="rId8" w:tgtFrame="pmc_ext" w:history="1">
        <w:r w:rsidR="00827969" w:rsidRPr="00827969">
          <w:rPr>
            <w:color w:val="0000FF"/>
            <w:u w:val="single"/>
          </w:rPr>
          <w:t>10.1128/AEM.69.1.600-606.2003</w:t>
        </w:r>
      </w:hyperlink>
    </w:p>
    <w:p w14:paraId="69FEB65C" w14:textId="6B1E5951" w:rsidR="00827969" w:rsidRDefault="004635B0" w:rsidP="008C0702">
      <w:pPr>
        <w:spacing w:line="480" w:lineRule="auto"/>
        <w:ind w:left="720" w:hanging="720"/>
      </w:pPr>
      <w:r w:rsidRPr="00EC08C3">
        <w:t>Anda</w:t>
      </w:r>
      <w:r w:rsidRPr="00086109">
        <w:t>,</w:t>
      </w:r>
      <w:r w:rsidRPr="00EC08C3">
        <w:t xml:space="preserve"> P</w:t>
      </w:r>
      <w:r w:rsidRPr="00086109">
        <w:t>.</w:t>
      </w:r>
      <w:r w:rsidRPr="00EC08C3">
        <w:t xml:space="preserve">, </w:t>
      </w:r>
      <w:r>
        <w:t xml:space="preserve">Segura del </w:t>
      </w:r>
      <w:proofErr w:type="spellStart"/>
      <w:r>
        <w:t>Poz</w:t>
      </w:r>
      <w:proofErr w:type="spellEnd"/>
      <w:r>
        <w:t>,</w:t>
      </w:r>
      <w:r w:rsidRPr="00EC08C3">
        <w:t xml:space="preserve"> </w:t>
      </w:r>
      <w:r w:rsidRPr="00086109">
        <w:t>J.</w:t>
      </w:r>
      <w:r>
        <w:t xml:space="preserve">, </w:t>
      </w:r>
      <w:r w:rsidRPr="00EC08C3">
        <w:t>J</w:t>
      </w:r>
      <w:r>
        <w:t>.</w:t>
      </w:r>
      <w:r w:rsidR="00827969">
        <w:t>M.</w:t>
      </w:r>
      <w:r>
        <w:t xml:space="preserve">, Diaz </w:t>
      </w:r>
      <w:r w:rsidRPr="00EC08C3">
        <w:t xml:space="preserve">García, Escudero, </w:t>
      </w:r>
      <w:r>
        <w:t>R., García</w:t>
      </w:r>
      <w:r w:rsidR="00827969" w:rsidRPr="00827969">
        <w:t xml:space="preserve"> </w:t>
      </w:r>
      <w:r w:rsidR="00827969" w:rsidRPr="00EC08C3">
        <w:t>Peña</w:t>
      </w:r>
      <w:r>
        <w:t>, F.</w:t>
      </w:r>
      <w:r w:rsidR="00827969">
        <w:t>J.</w:t>
      </w:r>
      <w:r>
        <w:t xml:space="preserve">, Lopez </w:t>
      </w:r>
      <w:r w:rsidRPr="00EC08C3">
        <w:t>Velasco</w:t>
      </w:r>
      <w:r>
        <w:t>,</w:t>
      </w:r>
      <w:r w:rsidRPr="004635B0">
        <w:t xml:space="preserve"> </w:t>
      </w:r>
      <w:r w:rsidR="00827969">
        <w:t>M.</w:t>
      </w:r>
      <w:r>
        <w:t>C.</w:t>
      </w:r>
      <w:r w:rsidRPr="00EC08C3">
        <w:t xml:space="preserve">, </w:t>
      </w:r>
      <w:proofErr w:type="spellStart"/>
      <w:r>
        <w:t>Sellek</w:t>
      </w:r>
      <w:proofErr w:type="spellEnd"/>
      <w:r>
        <w:t>, R.</w:t>
      </w:r>
      <w:r w:rsidR="00827969">
        <w:t>E.</w:t>
      </w:r>
      <w:r>
        <w:t xml:space="preserve">, Jiménez </w:t>
      </w:r>
      <w:proofErr w:type="spellStart"/>
      <w:r>
        <w:t>Chillarón</w:t>
      </w:r>
      <w:proofErr w:type="spellEnd"/>
      <w:r>
        <w:t>,</w:t>
      </w:r>
      <w:r w:rsidRPr="004635B0">
        <w:t xml:space="preserve"> </w:t>
      </w:r>
      <w:r>
        <w:t>M.</w:t>
      </w:r>
      <w:r w:rsidR="00827969">
        <w:t>R.,</w:t>
      </w:r>
      <w:r>
        <w:t xml:space="preserve"> Sánchez Serrano, L.</w:t>
      </w:r>
      <w:r w:rsidR="00827969">
        <w:t>P.</w:t>
      </w:r>
      <w:r>
        <w:t>, Martínez Navarro,</w:t>
      </w:r>
      <w:r w:rsidRPr="00EC08C3">
        <w:t xml:space="preserve"> </w:t>
      </w:r>
      <w:r>
        <w:t>J.</w:t>
      </w:r>
      <w:r w:rsidR="00827969">
        <w:t>F.</w:t>
      </w:r>
      <w:r w:rsidR="00786685">
        <w:t>,</w:t>
      </w:r>
      <w:r>
        <w:t xml:space="preserve"> 2001. </w:t>
      </w:r>
      <w:r w:rsidRPr="00EC08C3">
        <w:t xml:space="preserve">Waterborne </w:t>
      </w:r>
      <w:r>
        <w:t>o</w:t>
      </w:r>
      <w:r w:rsidRPr="00EC08C3">
        <w:t xml:space="preserve">utbreak of </w:t>
      </w:r>
      <w:r>
        <w:t>t</w:t>
      </w:r>
      <w:r w:rsidRPr="00EC08C3">
        <w:t xml:space="preserve">ularemia </w:t>
      </w:r>
      <w:r>
        <w:t>a</w:t>
      </w:r>
      <w:r w:rsidRPr="00EC08C3">
        <w:t xml:space="preserve">ssociated with </w:t>
      </w:r>
      <w:r>
        <w:t>c</w:t>
      </w:r>
      <w:r w:rsidRPr="00EC08C3">
        <w:t xml:space="preserve">rayfish </w:t>
      </w:r>
      <w:r>
        <w:t>f</w:t>
      </w:r>
      <w:r w:rsidRPr="00EC08C3">
        <w:t xml:space="preserve">ishing. </w:t>
      </w:r>
      <w:r w:rsidRPr="008C0702">
        <w:rPr>
          <w:iCs/>
        </w:rPr>
        <w:t>Emerg. Infect. Dis.</w:t>
      </w:r>
      <w:r w:rsidRPr="00EC08C3">
        <w:t xml:space="preserve"> 7</w:t>
      </w:r>
      <w:r>
        <w:t xml:space="preserve">, </w:t>
      </w:r>
      <w:r w:rsidRPr="00EC08C3">
        <w:t xml:space="preserve">575-582. </w:t>
      </w:r>
      <w:r w:rsidR="00827969">
        <w:t>doi: 10.3201/eid0707.010740</w:t>
      </w:r>
    </w:p>
    <w:p w14:paraId="41286D62" w14:textId="2E711609" w:rsidR="00827969" w:rsidRDefault="004635B0" w:rsidP="008C0702">
      <w:pPr>
        <w:spacing w:line="480" w:lineRule="auto"/>
        <w:ind w:left="720" w:hanging="720"/>
      </w:pPr>
      <w:r>
        <w:t>Berrada, Z.L. and Telford S.R,</w:t>
      </w:r>
      <w:r w:rsidRPr="004635B0">
        <w:t xml:space="preserve"> </w:t>
      </w:r>
      <w:r>
        <w:t xml:space="preserve">III. 2011. Survival of </w:t>
      </w:r>
      <w:r w:rsidRPr="00A42A64">
        <w:rPr>
          <w:i/>
        </w:rPr>
        <w:t>Francisella tularensis</w:t>
      </w:r>
      <w:r>
        <w:t xml:space="preserve"> Type A in brackish water. </w:t>
      </w:r>
      <w:r w:rsidRPr="008C0702">
        <w:rPr>
          <w:iCs/>
        </w:rPr>
        <w:t>Arch. Microbiol</w:t>
      </w:r>
      <w:r w:rsidRPr="00090D41">
        <w:rPr>
          <w:iCs/>
        </w:rPr>
        <w:t xml:space="preserve">. </w:t>
      </w:r>
      <w:r>
        <w:t>193, 223-226.</w:t>
      </w:r>
      <w:r w:rsidR="00827969">
        <w:t xml:space="preserve"> </w:t>
      </w:r>
      <w:r w:rsidR="00827969">
        <w:rPr>
          <w:rStyle w:val="st"/>
        </w:rPr>
        <w:t>doi: 10.1007/s00203-010-0655-8</w:t>
      </w:r>
    </w:p>
    <w:p w14:paraId="54028218" w14:textId="3825EEB1" w:rsidR="00090D41" w:rsidRPr="00142E05" w:rsidRDefault="00FD604D" w:rsidP="00090D41">
      <w:pPr>
        <w:pStyle w:val="BodyText1"/>
        <w:spacing w:after="240" w:line="480" w:lineRule="auto"/>
        <w:ind w:left="720" w:hanging="720"/>
        <w:jc w:val="left"/>
      </w:pPr>
      <w:r>
        <w:t>CDC</w:t>
      </w:r>
      <w:r w:rsidR="00090D41" w:rsidRPr="00142E05">
        <w:t xml:space="preserve">, 2000. Biological and chemical terrorism: strategic plan for preparedness and response, recommendations of the CDC Strategic Planning Workgroup. MMWR </w:t>
      </w:r>
      <w:proofErr w:type="spellStart"/>
      <w:r w:rsidR="00090D41" w:rsidRPr="00142E05">
        <w:t>Morb</w:t>
      </w:r>
      <w:proofErr w:type="spellEnd"/>
      <w:r w:rsidR="00090D41" w:rsidRPr="00142E05">
        <w:t xml:space="preserve">. Mortal. Wkly. Rep. 49 (RR-4), 1–14. </w:t>
      </w:r>
      <w:hyperlink r:id="rId9" w:history="1">
        <w:r w:rsidR="00090D41" w:rsidRPr="00142E05">
          <w:rPr>
            <w:rStyle w:val="Hyperlink"/>
          </w:rPr>
          <w:t>https://www.cdc.gov/mmwr/PDF/rr/rr4904.pdf</w:t>
        </w:r>
      </w:hyperlink>
      <w:r w:rsidR="00090D41" w:rsidRPr="00142E05">
        <w:t>.</w:t>
      </w:r>
    </w:p>
    <w:p w14:paraId="7205DB82" w14:textId="2242D40B" w:rsidR="008E7FE6" w:rsidRPr="00827969" w:rsidRDefault="008E7FE6" w:rsidP="008C0702">
      <w:pPr>
        <w:spacing w:line="480" w:lineRule="auto"/>
        <w:ind w:left="720" w:hanging="720"/>
      </w:pPr>
      <w:r>
        <w:t>CDC and USDA, 201</w:t>
      </w:r>
      <w:r w:rsidR="00FD604D">
        <w:t>8</w:t>
      </w:r>
      <w:r>
        <w:t xml:space="preserve">. Guidance on the Inactivation or Removal of Select Agents and Toxins for Future Use. </w:t>
      </w:r>
      <w:r w:rsidR="00F5765A">
        <w:t xml:space="preserve">7 CFR Part 331, 9 CFR Part 121.3, 42 CFR Part 73.3. </w:t>
      </w:r>
      <w:r w:rsidR="00FD604D">
        <w:t>September</w:t>
      </w:r>
      <w:r w:rsidR="00F5765A">
        <w:t xml:space="preserve">. </w:t>
      </w:r>
    </w:p>
    <w:p w14:paraId="5227428F" w14:textId="2682328B" w:rsidR="00C36DAF" w:rsidRDefault="000D72D7" w:rsidP="008C0702">
      <w:pPr>
        <w:spacing w:line="480" w:lineRule="auto"/>
        <w:ind w:left="720" w:hanging="720"/>
      </w:pPr>
      <w:r w:rsidRPr="00827969">
        <w:t xml:space="preserve">Dennis, D.T., Inglesby, </w:t>
      </w:r>
      <w:r w:rsidR="000E0ACF" w:rsidRPr="00827969">
        <w:t>T.V.</w:t>
      </w:r>
      <w:r w:rsidR="00B03BC3" w:rsidRPr="00827969">
        <w:t>,</w:t>
      </w:r>
      <w:r w:rsidR="000E0ACF" w:rsidRPr="00827969">
        <w:t xml:space="preserve"> </w:t>
      </w:r>
      <w:r w:rsidRPr="00827969">
        <w:t xml:space="preserve">Henderson, </w:t>
      </w:r>
      <w:r w:rsidR="00B03BC3" w:rsidRPr="00827969">
        <w:t xml:space="preserve">D.A., </w:t>
      </w:r>
      <w:r w:rsidRPr="00827969">
        <w:t xml:space="preserve">Barlett, </w:t>
      </w:r>
      <w:r w:rsidR="00B03BC3" w:rsidRPr="00827969">
        <w:t xml:space="preserve">J.G., </w:t>
      </w:r>
      <w:r w:rsidRPr="00827969">
        <w:t xml:space="preserve">Ascher, </w:t>
      </w:r>
      <w:r w:rsidR="00B03BC3" w:rsidRPr="00827969">
        <w:t xml:space="preserve">M.S., </w:t>
      </w:r>
      <w:r w:rsidRPr="00827969">
        <w:t xml:space="preserve">Eitzen, </w:t>
      </w:r>
      <w:r w:rsidR="00B03BC3" w:rsidRPr="00827969">
        <w:t xml:space="preserve">E., </w:t>
      </w:r>
      <w:r w:rsidRPr="00827969">
        <w:t xml:space="preserve">Fine, </w:t>
      </w:r>
      <w:r w:rsidR="00B03BC3" w:rsidRPr="00827969">
        <w:t xml:space="preserve">A.D., </w:t>
      </w:r>
      <w:r w:rsidRPr="00827969">
        <w:t xml:space="preserve">Friedlander, </w:t>
      </w:r>
      <w:r w:rsidR="00B03BC3" w:rsidRPr="00827969">
        <w:t xml:space="preserve">A.M., </w:t>
      </w:r>
      <w:r w:rsidRPr="00827969">
        <w:t xml:space="preserve">Hauer, </w:t>
      </w:r>
      <w:r w:rsidR="00B03BC3" w:rsidRPr="00827969">
        <w:t xml:space="preserve">J., </w:t>
      </w:r>
      <w:r w:rsidRPr="00827969">
        <w:t xml:space="preserve">Layton, </w:t>
      </w:r>
      <w:r w:rsidR="00B03BC3" w:rsidRPr="00827969">
        <w:t xml:space="preserve">M., </w:t>
      </w:r>
      <w:r w:rsidRPr="00827969">
        <w:t xml:space="preserve">Lillibridge, </w:t>
      </w:r>
      <w:r w:rsidR="00B03BC3" w:rsidRPr="00827969">
        <w:t xml:space="preserve">S.R., </w:t>
      </w:r>
      <w:r w:rsidRPr="00827969">
        <w:t xml:space="preserve">McDade, </w:t>
      </w:r>
      <w:r w:rsidR="00B03BC3" w:rsidRPr="00827969">
        <w:t xml:space="preserve">J.E., </w:t>
      </w:r>
      <w:r w:rsidRPr="00827969">
        <w:t xml:space="preserve">Osterholm, </w:t>
      </w:r>
      <w:r w:rsidR="00B03BC3" w:rsidRPr="00827969">
        <w:t xml:space="preserve">M.T., </w:t>
      </w:r>
      <w:r w:rsidRPr="00827969">
        <w:t xml:space="preserve">O’Toole, </w:t>
      </w:r>
      <w:r w:rsidR="00B03BC3" w:rsidRPr="00827969">
        <w:t xml:space="preserve">T., </w:t>
      </w:r>
      <w:r w:rsidRPr="00827969">
        <w:t xml:space="preserve">Parker, </w:t>
      </w:r>
      <w:r w:rsidR="00B03BC3" w:rsidRPr="00827969">
        <w:t xml:space="preserve">G., </w:t>
      </w:r>
      <w:r w:rsidRPr="00827969">
        <w:t xml:space="preserve">Perl, </w:t>
      </w:r>
      <w:r w:rsidR="00B03BC3" w:rsidRPr="00827969">
        <w:t xml:space="preserve">T.M. </w:t>
      </w:r>
      <w:r w:rsidRPr="00827969">
        <w:t xml:space="preserve">Russell, </w:t>
      </w:r>
      <w:r w:rsidR="007E5201" w:rsidRPr="00827969">
        <w:t xml:space="preserve">P.K., </w:t>
      </w:r>
      <w:r w:rsidRPr="00827969">
        <w:t>Tonat</w:t>
      </w:r>
      <w:r w:rsidR="007E5201" w:rsidRPr="00827969">
        <w:t>, K</w:t>
      </w:r>
      <w:r w:rsidRPr="00827969">
        <w:t>.</w:t>
      </w:r>
      <w:r w:rsidR="007807EF" w:rsidRPr="00827969">
        <w:t>,</w:t>
      </w:r>
      <w:r w:rsidRPr="00827969">
        <w:t xml:space="preserve"> 2001. Tularemia as a biological weapon: medical and public health management. JAMA 285</w:t>
      </w:r>
      <w:r w:rsidR="00B03BC3" w:rsidRPr="00827969">
        <w:t xml:space="preserve">, </w:t>
      </w:r>
      <w:r w:rsidRPr="00827969">
        <w:t>2763–2773.</w:t>
      </w:r>
      <w:r w:rsidR="00C36DAF">
        <w:t xml:space="preserve"> DOI: </w:t>
      </w:r>
      <w:hyperlink r:id="rId10" w:tgtFrame="_blank" w:history="1">
        <w:r w:rsidR="00C36DAF">
          <w:rPr>
            <w:rStyle w:val="Hyperlink"/>
          </w:rPr>
          <w:t>10.1001/jama.285.21.2763</w:t>
        </w:r>
      </w:hyperlink>
    </w:p>
    <w:p w14:paraId="3733D184" w14:textId="3BA40E93" w:rsidR="00AB1C4F" w:rsidRPr="00AB1C4F" w:rsidRDefault="00AB1C4F" w:rsidP="00667C1A">
      <w:pPr>
        <w:spacing w:line="480" w:lineRule="auto"/>
        <w:ind w:left="720" w:hanging="720"/>
      </w:pPr>
      <w:r>
        <w:lastRenderedPageBreak/>
        <w:t xml:space="preserve">Farrah, S.R., Goyal, S.M., Gerba, C.P., Mahajan, </w:t>
      </w:r>
      <w:proofErr w:type="spellStart"/>
      <w:r>
        <w:t>V.K.,Wallis</w:t>
      </w:r>
      <w:proofErr w:type="spellEnd"/>
      <w:r>
        <w:t xml:space="preserve">, C., Melnick, J.L., 1978. Concentration of humic acid from </w:t>
      </w:r>
      <w:proofErr w:type="spellStart"/>
      <w:r>
        <w:t>tapwater</w:t>
      </w:r>
      <w:proofErr w:type="spellEnd"/>
      <w:r>
        <w:t xml:space="preserve">. Water Research 12, 303-306. </w:t>
      </w:r>
      <w:hyperlink r:id="rId11" w:tgtFrame="_blank" w:tooltip="Persistent link using digital object identifier" w:history="1">
        <w:r w:rsidRPr="00AB1C4F">
          <w:rPr>
            <w:color w:val="0000FF"/>
            <w:u w:val="single"/>
          </w:rPr>
          <w:t>https://doi.org/10.1016/0043-1354(78)90117-3</w:t>
        </w:r>
      </w:hyperlink>
      <w:r>
        <w:t>.</w:t>
      </w:r>
    </w:p>
    <w:p w14:paraId="2BE6FE54" w14:textId="40B9BE45" w:rsidR="00090D41" w:rsidRPr="007B035E" w:rsidRDefault="00090D41" w:rsidP="008C0702">
      <w:pPr>
        <w:spacing w:line="480" w:lineRule="auto"/>
        <w:ind w:left="720" w:hanging="720"/>
      </w:pPr>
      <w:r w:rsidRPr="007B035E">
        <w:t xml:space="preserve">Gilbert, S.E., Rose, L.J., 2012. Survival and persistence of </w:t>
      </w:r>
      <w:proofErr w:type="spellStart"/>
      <w:r w:rsidRPr="007B035E">
        <w:t>nonspore</w:t>
      </w:r>
      <w:proofErr w:type="spellEnd"/>
      <w:r w:rsidRPr="007B035E">
        <w:t xml:space="preserve">-forming biothreat agents in water. Lett. Appl. Microbiol. 55, 189–194. </w:t>
      </w:r>
      <w:hyperlink r:id="rId12" w:history="1">
        <w:r w:rsidRPr="007B035E">
          <w:rPr>
            <w:rStyle w:val="Hyperlink"/>
          </w:rPr>
          <w:t>https://doi.org/10.1111/j.1472-765X.2012.03277.x</w:t>
        </w:r>
      </w:hyperlink>
    </w:p>
    <w:p w14:paraId="1CEEF125" w14:textId="77777777" w:rsidR="00786685" w:rsidRDefault="000D72D7" w:rsidP="008C0702">
      <w:pPr>
        <w:spacing w:line="480" w:lineRule="auto"/>
        <w:ind w:left="720" w:hanging="720"/>
      </w:pPr>
      <w:r w:rsidRPr="00827969">
        <w:t xml:space="preserve">Jones, R.M., Nicas, </w:t>
      </w:r>
      <w:r w:rsidR="00C30805" w:rsidRPr="00827969">
        <w:t xml:space="preserve">M., </w:t>
      </w:r>
      <w:r w:rsidRPr="00827969">
        <w:t xml:space="preserve">Hubbard, </w:t>
      </w:r>
      <w:r w:rsidR="00C30805" w:rsidRPr="00827969">
        <w:t xml:space="preserve">A., </w:t>
      </w:r>
      <w:r w:rsidRPr="00827969">
        <w:t xml:space="preserve">Sylvester, </w:t>
      </w:r>
      <w:r w:rsidR="00C30805" w:rsidRPr="00827969">
        <w:t xml:space="preserve">M.D., </w:t>
      </w:r>
      <w:r w:rsidRPr="00827969">
        <w:t>Reingold</w:t>
      </w:r>
      <w:r w:rsidR="00C30805" w:rsidRPr="00827969">
        <w:t>,</w:t>
      </w:r>
      <w:r w:rsidRPr="00827969">
        <w:t xml:space="preserve"> </w:t>
      </w:r>
      <w:r w:rsidR="00C30805" w:rsidRPr="00827969">
        <w:t>A.</w:t>
      </w:r>
      <w:r w:rsidR="007807EF" w:rsidRPr="00827969">
        <w:t>,</w:t>
      </w:r>
      <w:r w:rsidR="00C30805" w:rsidRPr="00827969">
        <w:t xml:space="preserve"> </w:t>
      </w:r>
      <w:r w:rsidRPr="00827969">
        <w:t xml:space="preserve">2005. The </w:t>
      </w:r>
      <w:r w:rsidR="00C30805" w:rsidRPr="00827969">
        <w:t>i</w:t>
      </w:r>
      <w:r w:rsidRPr="00827969">
        <w:t xml:space="preserve">nfectious </w:t>
      </w:r>
      <w:r w:rsidR="00C30805" w:rsidRPr="00827969">
        <w:t>d</w:t>
      </w:r>
      <w:r w:rsidRPr="00827969">
        <w:t xml:space="preserve">ose of </w:t>
      </w:r>
      <w:r w:rsidRPr="00827969">
        <w:rPr>
          <w:i/>
          <w:iCs/>
        </w:rPr>
        <w:t>Francisella tularensis</w:t>
      </w:r>
      <w:r w:rsidRPr="00827969">
        <w:t xml:space="preserve"> (Tularemia). Appl. Biosafety 10</w:t>
      </w:r>
      <w:r w:rsidR="00C30805" w:rsidRPr="00827969">
        <w:t xml:space="preserve">, </w:t>
      </w:r>
      <w:r w:rsidRPr="00827969">
        <w:t xml:space="preserve">227-239. </w:t>
      </w:r>
      <w:hyperlink r:id="rId13" w:tgtFrame="_blank" w:history="1">
        <w:r w:rsidR="00786685">
          <w:rPr>
            <w:rStyle w:val="Hyperlink"/>
          </w:rPr>
          <w:t>https://doi.org/10.1177/153567600501000405</w:t>
        </w:r>
      </w:hyperlink>
    </w:p>
    <w:p w14:paraId="06ED4635" w14:textId="06F582A6" w:rsidR="00AA2B82" w:rsidRDefault="00AA2B82" w:rsidP="00090D41">
      <w:pPr>
        <w:spacing w:line="480" w:lineRule="auto"/>
        <w:ind w:left="720" w:hanging="720"/>
      </w:pPr>
      <w:r w:rsidRPr="00827969">
        <w:t>Kane, S.R., Shah, S.R., Alfaro, T.M.</w:t>
      </w:r>
      <w:r w:rsidR="007807EF" w:rsidRPr="00827969">
        <w:t>,</w:t>
      </w:r>
      <w:r w:rsidRPr="00827969">
        <w:t xml:space="preserve"> </w:t>
      </w:r>
      <w:r w:rsidR="00506A51" w:rsidRPr="00827969">
        <w:t>201</w:t>
      </w:r>
      <w:r w:rsidR="00506A51">
        <w:t>9</w:t>
      </w:r>
      <w:r w:rsidRPr="00827969">
        <w:t xml:space="preserve">. Development of a Rapid Viability Polymerase Chain Reaction </w:t>
      </w:r>
      <w:r w:rsidR="00C30805" w:rsidRPr="00827969">
        <w:t>m</w:t>
      </w:r>
      <w:r w:rsidRPr="00827969">
        <w:t xml:space="preserve">ethod for </w:t>
      </w:r>
      <w:r w:rsidR="00C30805" w:rsidRPr="00827969">
        <w:t>d</w:t>
      </w:r>
      <w:r w:rsidRPr="00827969">
        <w:t xml:space="preserve">etection of </w:t>
      </w:r>
      <w:r w:rsidRPr="00827969">
        <w:rPr>
          <w:i/>
        </w:rPr>
        <w:t>Yersinia pestis.</w:t>
      </w:r>
      <w:r w:rsidRPr="00827969">
        <w:t xml:space="preserve"> J. Microbiol. </w:t>
      </w:r>
      <w:r w:rsidR="00C30805" w:rsidRPr="00827969">
        <w:t xml:space="preserve">Meth. </w:t>
      </w:r>
      <w:r w:rsidR="00335730" w:rsidRPr="00827969">
        <w:t xml:space="preserve">162, </w:t>
      </w:r>
      <w:r w:rsidRPr="00827969">
        <w:t>21-27</w:t>
      </w:r>
      <w:r w:rsidR="00B2766E" w:rsidRPr="00827969">
        <w:t xml:space="preserve">. </w:t>
      </w:r>
      <w:hyperlink r:id="rId14" w:history="1">
        <w:r w:rsidR="00786685" w:rsidRPr="007413C4">
          <w:rPr>
            <w:rStyle w:val="Hyperlink"/>
          </w:rPr>
          <w:t>https://doi.org/10.1016/j.mimet.2019.05.005</w:t>
        </w:r>
      </w:hyperlink>
    </w:p>
    <w:p w14:paraId="5B8FF640" w14:textId="77777777" w:rsidR="00786685" w:rsidRDefault="000D72D7" w:rsidP="008C0702">
      <w:pPr>
        <w:spacing w:line="480" w:lineRule="auto"/>
        <w:ind w:left="720" w:hanging="720"/>
      </w:pPr>
      <w:r w:rsidRPr="00827969">
        <w:t xml:space="preserve">Kugeler, K.J., Pappert, </w:t>
      </w:r>
      <w:r w:rsidR="00C30805" w:rsidRPr="00827969">
        <w:t xml:space="preserve">R., </w:t>
      </w:r>
      <w:r w:rsidRPr="00827969">
        <w:t>Zhou</w:t>
      </w:r>
      <w:r w:rsidR="00C30805" w:rsidRPr="00827969">
        <w:t>, Y.</w:t>
      </w:r>
      <w:r w:rsidRPr="00827969">
        <w:t>, Petersen</w:t>
      </w:r>
      <w:r w:rsidR="00C30805" w:rsidRPr="00827969">
        <w:t>,</w:t>
      </w:r>
      <w:r w:rsidRPr="00827969">
        <w:t xml:space="preserve"> </w:t>
      </w:r>
      <w:r w:rsidR="00C30805" w:rsidRPr="00827969">
        <w:t>J.M.</w:t>
      </w:r>
      <w:r w:rsidR="007807EF" w:rsidRPr="00827969">
        <w:t>,</w:t>
      </w:r>
      <w:r w:rsidR="00C30805" w:rsidRPr="00827969">
        <w:t xml:space="preserve"> </w:t>
      </w:r>
      <w:r w:rsidRPr="00827969">
        <w:t xml:space="preserve">2006. Real-time PCR </w:t>
      </w:r>
      <w:r w:rsidR="00C30805" w:rsidRPr="00827969">
        <w:t>a</w:t>
      </w:r>
      <w:r w:rsidRPr="00827969">
        <w:t xml:space="preserve">ssays for </w:t>
      </w:r>
      <w:r w:rsidRPr="00827969">
        <w:rPr>
          <w:i/>
          <w:iCs/>
        </w:rPr>
        <w:t>Francisella tularensis</w:t>
      </w:r>
      <w:r w:rsidRPr="00827969">
        <w:t xml:space="preserve"> Types A and B. Emerg. Infect. Dis. 12</w:t>
      </w:r>
      <w:r w:rsidR="00C30805" w:rsidRPr="00827969">
        <w:t xml:space="preserve">, </w:t>
      </w:r>
      <w:r w:rsidRPr="00827969">
        <w:t>1799-1801.</w:t>
      </w:r>
      <w:r w:rsidR="00786685">
        <w:t xml:space="preserve"> </w:t>
      </w:r>
      <w:r w:rsidR="00786685">
        <w:rPr>
          <w:rStyle w:val="doi"/>
        </w:rPr>
        <w:t>doi: </w:t>
      </w:r>
      <w:hyperlink r:id="rId15" w:tgtFrame="pmc_ext" w:history="1">
        <w:r w:rsidR="00786685">
          <w:rPr>
            <w:rStyle w:val="Hyperlink"/>
          </w:rPr>
          <w:t>10.3201/eid1211.060629</w:t>
        </w:r>
      </w:hyperlink>
    </w:p>
    <w:p w14:paraId="5E4A500D" w14:textId="07CF35E6" w:rsidR="00786685" w:rsidRPr="00786685" w:rsidRDefault="000D72D7" w:rsidP="008C0702">
      <w:pPr>
        <w:spacing w:line="480" w:lineRule="auto"/>
        <w:ind w:left="720" w:hanging="720"/>
      </w:pPr>
      <w:r w:rsidRPr="00827969">
        <w:t xml:space="preserve">Morris, B.J., Buse, </w:t>
      </w:r>
      <w:r w:rsidR="00C30805" w:rsidRPr="00827969">
        <w:t xml:space="preserve">H.Y., </w:t>
      </w:r>
      <w:r w:rsidRPr="00827969">
        <w:t xml:space="preserve">Adcock, </w:t>
      </w:r>
      <w:r w:rsidR="00C30805" w:rsidRPr="00827969">
        <w:t xml:space="preserve">N.J., </w:t>
      </w:r>
      <w:r w:rsidRPr="00827969">
        <w:t>Rice</w:t>
      </w:r>
      <w:r w:rsidR="00C30805" w:rsidRPr="00827969">
        <w:t>,</w:t>
      </w:r>
      <w:r w:rsidRPr="00827969">
        <w:t xml:space="preserve"> </w:t>
      </w:r>
      <w:r w:rsidR="00C30805" w:rsidRPr="00827969">
        <w:t>E.W.</w:t>
      </w:r>
      <w:r w:rsidR="00786685">
        <w:t>,</w:t>
      </w:r>
      <w:r w:rsidR="00C30805" w:rsidRPr="00827969">
        <w:t xml:space="preserve"> </w:t>
      </w:r>
      <w:r w:rsidRPr="00827969">
        <w:t xml:space="preserve">2017. A </w:t>
      </w:r>
      <w:r w:rsidR="00C30805" w:rsidRPr="00827969">
        <w:t>n</w:t>
      </w:r>
      <w:r w:rsidRPr="00827969">
        <w:t xml:space="preserve">ovel </w:t>
      </w:r>
      <w:r w:rsidR="00C30805" w:rsidRPr="00827969">
        <w:t>b</w:t>
      </w:r>
      <w:r w:rsidRPr="00827969">
        <w:t xml:space="preserve">roth </w:t>
      </w:r>
      <w:r w:rsidR="00C30805" w:rsidRPr="00827969">
        <w:t>m</w:t>
      </w:r>
      <w:r w:rsidRPr="00827969">
        <w:t xml:space="preserve">edium for </w:t>
      </w:r>
      <w:r w:rsidR="00C30805" w:rsidRPr="00827969">
        <w:t>e</w:t>
      </w:r>
      <w:r w:rsidRPr="00827969">
        <w:t xml:space="preserve">nhanced </w:t>
      </w:r>
      <w:r w:rsidR="00C30805" w:rsidRPr="00827969">
        <w:t>g</w:t>
      </w:r>
      <w:r w:rsidRPr="00827969">
        <w:t xml:space="preserve">rowth of </w:t>
      </w:r>
      <w:r w:rsidRPr="00827969">
        <w:rPr>
          <w:i/>
          <w:iCs/>
        </w:rPr>
        <w:t>Francisella tularensis</w:t>
      </w:r>
      <w:r w:rsidRPr="00827969">
        <w:t>. Lett. Appl. Microbiol. 64</w:t>
      </w:r>
      <w:r w:rsidR="00C30805" w:rsidRPr="00827969">
        <w:t>,</w:t>
      </w:r>
      <w:r w:rsidRPr="00827969">
        <w:t xml:space="preserve"> 394-400.</w:t>
      </w:r>
      <w:r w:rsidR="00090D41" w:rsidRPr="00090D41">
        <w:t xml:space="preserve"> </w:t>
      </w:r>
      <w:r w:rsidR="00786685" w:rsidRPr="00786685">
        <w:t>doi: </w:t>
      </w:r>
      <w:hyperlink r:id="rId16" w:tgtFrame="pmc_ext" w:history="1">
        <w:r w:rsidR="00786685" w:rsidRPr="00786685">
          <w:rPr>
            <w:color w:val="0000FF"/>
            <w:u w:val="single"/>
          </w:rPr>
          <w:t>10.1111/lam.12725</w:t>
        </w:r>
      </w:hyperlink>
    </w:p>
    <w:p w14:paraId="0E017CA3" w14:textId="77777777" w:rsidR="00AB1C4F" w:rsidRPr="00AB1C4F" w:rsidRDefault="00AB1C4F" w:rsidP="00AB1C4F">
      <w:pPr>
        <w:spacing w:line="480" w:lineRule="auto"/>
        <w:ind w:left="720" w:hanging="720"/>
      </w:pPr>
      <w:r w:rsidRPr="00AB1C4F">
        <w:t xml:space="preserve">National Research Council (NRC). 1979. Iron. A Report of the Subcommittee on Iron, Committee on Medical and Biologic Effects of Environmental Pollutants, Division of Medical Sciences, Assembly of Life Sciences. University Park Press, Baltimore. 248 pp. </w:t>
      </w:r>
    </w:p>
    <w:p w14:paraId="2BDF0479" w14:textId="7C17CE53" w:rsidR="00786685" w:rsidRPr="00445CD8" w:rsidRDefault="00090D41" w:rsidP="008C0702">
      <w:pPr>
        <w:spacing w:line="480" w:lineRule="auto"/>
        <w:ind w:left="720" w:hanging="720"/>
      </w:pPr>
      <w:proofErr w:type="spellStart"/>
      <w:r w:rsidRPr="00445CD8">
        <w:t>Oyston</w:t>
      </w:r>
      <w:proofErr w:type="spellEnd"/>
      <w:r w:rsidRPr="00445CD8">
        <w:t xml:space="preserve">, P.C., </w:t>
      </w:r>
      <w:proofErr w:type="spellStart"/>
      <w:r w:rsidRPr="00445CD8">
        <w:t>Sjostedt</w:t>
      </w:r>
      <w:proofErr w:type="spellEnd"/>
      <w:r w:rsidRPr="00445CD8">
        <w:t xml:space="preserve">, A., </w:t>
      </w:r>
      <w:proofErr w:type="spellStart"/>
      <w:r w:rsidRPr="00445CD8">
        <w:t>Titball</w:t>
      </w:r>
      <w:proofErr w:type="spellEnd"/>
      <w:r w:rsidRPr="00445CD8">
        <w:t xml:space="preserve">, R.W., 2004. </w:t>
      </w:r>
      <w:proofErr w:type="spellStart"/>
      <w:r w:rsidRPr="00445CD8">
        <w:t>Tularaemia</w:t>
      </w:r>
      <w:proofErr w:type="spellEnd"/>
      <w:r w:rsidRPr="00445CD8">
        <w:t xml:space="preserve">: bioterrorism defense renews interest in </w:t>
      </w:r>
      <w:r w:rsidRPr="00445CD8">
        <w:rPr>
          <w:i/>
          <w:iCs/>
        </w:rPr>
        <w:t>Francisella tularensis</w:t>
      </w:r>
      <w:r w:rsidRPr="00445CD8">
        <w:t>. Nat. Rev. Microbiol. 2, 967-978.</w:t>
      </w:r>
      <w:r w:rsidR="00786685">
        <w:t xml:space="preserve"> doi: </w:t>
      </w:r>
      <w:r w:rsidR="00786685" w:rsidRPr="00786685">
        <w:t>10.1038/nrmicro1045</w:t>
      </w:r>
    </w:p>
    <w:p w14:paraId="732B1431" w14:textId="77777777" w:rsidR="00B13750" w:rsidRDefault="000D72D7" w:rsidP="008C0702">
      <w:pPr>
        <w:spacing w:line="480" w:lineRule="auto"/>
        <w:ind w:left="720" w:hanging="720"/>
      </w:pPr>
      <w:r w:rsidRPr="00142E05">
        <w:lastRenderedPageBreak/>
        <w:t>Rice, E.W.</w:t>
      </w:r>
      <w:r w:rsidR="007807EF">
        <w:t>,</w:t>
      </w:r>
      <w:r w:rsidRPr="00142E05">
        <w:t xml:space="preserve"> 2015. Occurrence and </w:t>
      </w:r>
      <w:r w:rsidR="00F567A8">
        <w:t>c</w:t>
      </w:r>
      <w:r w:rsidRPr="00142E05">
        <w:t xml:space="preserve">ontrol of </w:t>
      </w:r>
      <w:r w:rsidR="00F567A8">
        <w:t>t</w:t>
      </w:r>
      <w:r w:rsidRPr="00142E05">
        <w:t xml:space="preserve">ularemia in </w:t>
      </w:r>
      <w:r w:rsidR="00F567A8">
        <w:t>d</w:t>
      </w:r>
      <w:r w:rsidRPr="00142E05">
        <w:t xml:space="preserve">rinking </w:t>
      </w:r>
      <w:r w:rsidR="00F567A8">
        <w:t>w</w:t>
      </w:r>
      <w:r w:rsidRPr="00142E05">
        <w:t xml:space="preserve">ater. </w:t>
      </w:r>
      <w:r w:rsidRPr="006D6620">
        <w:rPr>
          <w:iCs/>
        </w:rPr>
        <w:t xml:space="preserve">J. Am. Water Works Assoc. </w:t>
      </w:r>
      <w:r w:rsidRPr="00142E05">
        <w:t>107</w:t>
      </w:r>
      <w:r w:rsidR="00F567A8">
        <w:t xml:space="preserve">, </w:t>
      </w:r>
      <w:r w:rsidRPr="00142E05">
        <w:t>E486-E496.</w:t>
      </w:r>
      <w:r w:rsidR="00B13750">
        <w:t xml:space="preserve"> </w:t>
      </w:r>
      <w:hyperlink r:id="rId17" w:history="1">
        <w:r w:rsidR="00B13750">
          <w:rPr>
            <w:rStyle w:val="Hyperlink"/>
          </w:rPr>
          <w:t>https://doi.org/10.5942/jawwa.2015.107.0130</w:t>
        </w:r>
      </w:hyperlink>
    </w:p>
    <w:p w14:paraId="0E1B7CEF" w14:textId="77777777" w:rsidR="00090D41" w:rsidRDefault="00090D41" w:rsidP="00090D41">
      <w:pPr>
        <w:pStyle w:val="BodyText1"/>
        <w:spacing w:after="240" w:line="480" w:lineRule="auto"/>
        <w:ind w:left="720" w:hanging="720"/>
        <w:jc w:val="left"/>
      </w:pPr>
      <w:r w:rsidRPr="00142E05">
        <w:t xml:space="preserve">Rose, L.J., Hodges, L., O'Connell, H., Noble-Wang, J., 2011. National validation study of a cellulose sponge wipe-processing method for use after sampling </w:t>
      </w:r>
      <w:r w:rsidRPr="006D6620">
        <w:rPr>
          <w:i/>
          <w:iCs/>
        </w:rPr>
        <w:t>Bacillus anthracis</w:t>
      </w:r>
      <w:r w:rsidRPr="00142E05">
        <w:t xml:space="preserve"> spores from surfaces. Appl. Environ. Microbiol. 77, 8355–8359. </w:t>
      </w:r>
      <w:hyperlink r:id="rId18" w:history="1">
        <w:r w:rsidRPr="007F370B">
          <w:rPr>
            <w:rStyle w:val="Hyperlink"/>
          </w:rPr>
          <w:t>https://doi.org/10.1128/AEM.05377-11</w:t>
        </w:r>
      </w:hyperlink>
      <w:r w:rsidRPr="00142E05">
        <w:t>.</w:t>
      </w:r>
    </w:p>
    <w:p w14:paraId="0582890A" w14:textId="77777777" w:rsidR="00B13750" w:rsidRDefault="00090D41" w:rsidP="008C0702">
      <w:pPr>
        <w:spacing w:line="480" w:lineRule="auto"/>
        <w:ind w:left="720" w:hanging="720"/>
      </w:pPr>
      <w:r w:rsidRPr="00546AAB">
        <w:t>Saslaw, S., Eigelsbach, H.T., Prior, J.A., Wilson, H.E., Carhart S., 1961. Tularemia vaccine study, II: respiratory challenge. Arch. Intern. Med. 107, 134-146.</w:t>
      </w:r>
      <w:r w:rsidR="00B13750">
        <w:t xml:space="preserve"> </w:t>
      </w:r>
      <w:r w:rsidR="00B13750">
        <w:rPr>
          <w:rStyle w:val="meta-citation"/>
        </w:rPr>
        <w:t>doi:10.1001/archinte.1961.03620050068007</w:t>
      </w:r>
    </w:p>
    <w:p w14:paraId="5ECFDE91" w14:textId="77777777" w:rsidR="00FD604D" w:rsidRPr="00585332" w:rsidRDefault="00FD604D" w:rsidP="00FD604D">
      <w:pPr>
        <w:spacing w:line="480" w:lineRule="auto"/>
        <w:ind w:left="720" w:hanging="720"/>
      </w:pPr>
      <w:r w:rsidRPr="003205E6">
        <w:t>Stewart</w:t>
      </w:r>
      <w:r>
        <w:t>,</w:t>
      </w:r>
      <w:r w:rsidRPr="003205E6">
        <w:t xml:space="preserve"> S</w:t>
      </w:r>
      <w:r>
        <w:t>.</w:t>
      </w:r>
      <w:r w:rsidRPr="003205E6">
        <w:t>J.</w:t>
      </w:r>
      <w:r>
        <w:t xml:space="preserve">, 1995. </w:t>
      </w:r>
      <w:r w:rsidRPr="003205E6">
        <w:t>Francisella. In: Murray</w:t>
      </w:r>
      <w:r>
        <w:t>,</w:t>
      </w:r>
      <w:r w:rsidRPr="003205E6">
        <w:t xml:space="preserve"> P</w:t>
      </w:r>
      <w:r>
        <w:t>.</w:t>
      </w:r>
      <w:r w:rsidRPr="003205E6">
        <w:t>A,</w:t>
      </w:r>
      <w:r>
        <w:t>.</w:t>
      </w:r>
      <w:r w:rsidRPr="003205E6">
        <w:t xml:space="preserve"> Baron</w:t>
      </w:r>
      <w:r>
        <w:t>,</w:t>
      </w:r>
      <w:r w:rsidRPr="003205E6">
        <w:t xml:space="preserve"> E</w:t>
      </w:r>
      <w:r>
        <w:t>.</w:t>
      </w:r>
      <w:r w:rsidRPr="003205E6">
        <w:t>J</w:t>
      </w:r>
      <w:r>
        <w:t>.</w:t>
      </w:r>
      <w:r w:rsidRPr="003205E6">
        <w:t xml:space="preserve">, </w:t>
      </w:r>
      <w:proofErr w:type="spellStart"/>
      <w:r w:rsidRPr="003205E6">
        <w:t>Pfaller</w:t>
      </w:r>
      <w:proofErr w:type="spellEnd"/>
      <w:r>
        <w:t>,</w:t>
      </w:r>
      <w:r w:rsidRPr="003205E6">
        <w:t xml:space="preserve"> M</w:t>
      </w:r>
      <w:r>
        <w:t>.</w:t>
      </w:r>
      <w:r w:rsidRPr="003205E6">
        <w:t>A</w:t>
      </w:r>
      <w:r>
        <w:t>.</w:t>
      </w:r>
      <w:r w:rsidRPr="003205E6">
        <w:t xml:space="preserve">, </w:t>
      </w:r>
      <w:proofErr w:type="spellStart"/>
      <w:r w:rsidRPr="003205E6">
        <w:t>Tenover</w:t>
      </w:r>
      <w:proofErr w:type="spellEnd"/>
      <w:r>
        <w:t>,</w:t>
      </w:r>
      <w:r w:rsidRPr="003205E6">
        <w:t xml:space="preserve"> F</w:t>
      </w:r>
      <w:r>
        <w:t>.</w:t>
      </w:r>
      <w:r w:rsidRPr="003205E6">
        <w:t>C</w:t>
      </w:r>
      <w:r>
        <w:t>.</w:t>
      </w:r>
      <w:r w:rsidRPr="003205E6">
        <w:t>,</w:t>
      </w:r>
      <w:r>
        <w:t xml:space="preserve"> </w:t>
      </w:r>
      <w:proofErr w:type="spellStart"/>
      <w:r w:rsidRPr="003205E6">
        <w:t>Yolken</w:t>
      </w:r>
      <w:proofErr w:type="spellEnd"/>
      <w:r>
        <w:t>,</w:t>
      </w:r>
      <w:r w:rsidRPr="003205E6">
        <w:t xml:space="preserve"> R</w:t>
      </w:r>
      <w:r>
        <w:t>.</w:t>
      </w:r>
      <w:r w:rsidRPr="003205E6">
        <w:t>H</w:t>
      </w:r>
      <w:r>
        <w:t>.</w:t>
      </w:r>
      <w:r w:rsidRPr="003205E6">
        <w:t>, eds. Manual of clinical microbiology. 6th ed. Washington,</w:t>
      </w:r>
      <w:r>
        <w:t xml:space="preserve"> </w:t>
      </w:r>
      <w:r w:rsidRPr="003205E6">
        <w:t>DC: American Society for Microbiology, 1995:545–8.</w:t>
      </w:r>
    </w:p>
    <w:p w14:paraId="2A5831AA" w14:textId="77777777" w:rsidR="00AB1C4F" w:rsidRPr="00182A50" w:rsidRDefault="00AB1C4F" w:rsidP="00AB1C4F">
      <w:pPr>
        <w:spacing w:line="480" w:lineRule="auto"/>
        <w:ind w:left="720" w:hanging="720"/>
      </w:pPr>
      <w:r w:rsidRPr="00AB1C4F">
        <w:t xml:space="preserve">US EPA, 2005. Method 415.3 Determination of Total Organic Carbon and Specific UV Absorbance at 254 nm in Source Water.  Revision 1.1. EPA/600/R-05/055. </w:t>
      </w:r>
      <w:r>
        <w:br/>
      </w:r>
      <w:r w:rsidRPr="00182A50">
        <w:rPr>
          <w:rStyle w:val="Hyperlink"/>
        </w:rPr>
        <w:t>https://cfpub.epa.gov/si/si_public_file_download.cfm?p_download_id=525079</w:t>
      </w:r>
    </w:p>
    <w:p w14:paraId="7DAD4058" w14:textId="0CBAF476" w:rsidR="008315C1" w:rsidRPr="00A42A64" w:rsidRDefault="008315C1" w:rsidP="008C0702">
      <w:pPr>
        <w:pStyle w:val="BodyText1"/>
        <w:spacing w:after="240" w:line="480" w:lineRule="auto"/>
        <w:ind w:left="720" w:hanging="720"/>
        <w:jc w:val="left"/>
      </w:pPr>
      <w:r>
        <w:t>US EPA</w:t>
      </w:r>
      <w:r w:rsidR="00B13750">
        <w:t>,</w:t>
      </w:r>
      <w:r>
        <w:t xml:space="preserve"> 2015. Literature Review on Processing and Analytical Methods for </w:t>
      </w:r>
      <w:r w:rsidRPr="00A42A64">
        <w:rPr>
          <w:i/>
        </w:rPr>
        <w:t>Francisella tularensis</w:t>
      </w:r>
      <w:r>
        <w:t xml:space="preserve"> in Soil and Water. </w:t>
      </w:r>
      <w:r w:rsidR="00B13750" w:rsidRPr="00B13750">
        <w:t xml:space="preserve">EPA 600/R-15/118 </w:t>
      </w:r>
      <w:r>
        <w:t>U.S. Environmental Protection Agency, Washington, DC.</w:t>
      </w:r>
    </w:p>
    <w:p w14:paraId="03530C23" w14:textId="4BB278E7" w:rsidR="000940AF" w:rsidRPr="00142E05" w:rsidRDefault="00211D9F" w:rsidP="008C0702">
      <w:pPr>
        <w:pStyle w:val="BodyText1"/>
        <w:spacing w:after="240" w:line="480" w:lineRule="auto"/>
        <w:ind w:left="720" w:hanging="720"/>
        <w:jc w:val="left"/>
      </w:pPr>
      <w:r w:rsidRPr="00142E05">
        <w:t xml:space="preserve">US EPA, 2017. Sampling Guidance for Unknown Contaminants in Drinking Water. EPA-817-R-08-003. </w:t>
      </w:r>
      <w:r w:rsidR="00981A58">
        <w:t xml:space="preserve">U.S. Environmental Protection Agency, Washington, DC. </w:t>
      </w:r>
      <w:hyperlink r:id="rId19" w:history="1">
        <w:r w:rsidR="00981A58" w:rsidRPr="00981A58">
          <w:rPr>
            <w:rStyle w:val="Hyperlink"/>
          </w:rPr>
          <w:t>https://www.epa.gov/waterlabnetwork/sampling-guidanceunknown-contaminants-drinking-water</w:t>
        </w:r>
      </w:hyperlink>
      <w:r w:rsidRPr="00142E05">
        <w:t>.</w:t>
      </w:r>
      <w:r w:rsidR="000940AF" w:rsidRPr="00142E05">
        <w:t xml:space="preserve"> </w:t>
      </w:r>
    </w:p>
    <w:p w14:paraId="57A557B0" w14:textId="77777777" w:rsidR="00AB1C4F" w:rsidRPr="00AB1C4F" w:rsidRDefault="00AB1C4F" w:rsidP="004416B1">
      <w:pPr>
        <w:spacing w:line="480" w:lineRule="auto"/>
        <w:ind w:left="720" w:hanging="720"/>
      </w:pPr>
      <w:r w:rsidRPr="00AB1C4F">
        <w:lastRenderedPageBreak/>
        <w:t xml:space="preserve">World Health Organization (WHO). 1996. Guidelines for Drinking-Water Quality, 2nd ed. Vol. 2. Health Criteria and Other Supporting Information. Geneva: World Health Organization. WHO/SDE/WSH/03.04/08. </w:t>
      </w:r>
    </w:p>
    <w:p w14:paraId="25AA416C" w14:textId="66E9A727" w:rsidR="00E20E00" w:rsidRPr="00585332" w:rsidRDefault="00E20E00" w:rsidP="00090D41">
      <w:pPr>
        <w:spacing w:line="480" w:lineRule="auto"/>
      </w:pPr>
    </w:p>
    <w:sectPr w:rsidR="00E20E00" w:rsidRPr="00585332" w:rsidSect="00322C1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ED3E" w14:textId="77777777" w:rsidR="00FD4E8B" w:rsidRDefault="00FD4E8B" w:rsidP="007B4135">
      <w:r>
        <w:separator/>
      </w:r>
    </w:p>
  </w:endnote>
  <w:endnote w:type="continuationSeparator" w:id="0">
    <w:p w14:paraId="0B07BBD9" w14:textId="77777777" w:rsidR="00FD4E8B" w:rsidRDefault="00FD4E8B" w:rsidP="007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444230"/>
      <w:docPartObj>
        <w:docPartGallery w:val="Page Numbers (Bottom of Page)"/>
        <w:docPartUnique/>
      </w:docPartObj>
    </w:sdtPr>
    <w:sdtEndPr>
      <w:rPr>
        <w:rStyle w:val="PageNumber"/>
      </w:rPr>
    </w:sdtEndPr>
    <w:sdtContent>
      <w:p w14:paraId="0A08F91F" w14:textId="4D778589" w:rsidR="00603141" w:rsidRDefault="00603141" w:rsidP="008C07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80A88" w14:textId="77777777" w:rsidR="00603141" w:rsidRDefault="00603141" w:rsidP="008C0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298234"/>
      <w:docPartObj>
        <w:docPartGallery w:val="Page Numbers (Bottom of Page)"/>
        <w:docPartUnique/>
      </w:docPartObj>
    </w:sdtPr>
    <w:sdtEndPr>
      <w:rPr>
        <w:rStyle w:val="PageNumber"/>
      </w:rPr>
    </w:sdtEndPr>
    <w:sdtContent>
      <w:p w14:paraId="2B7AA99A" w14:textId="4027B8FD" w:rsidR="00603141" w:rsidRDefault="00603141" w:rsidP="008C07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95B62D" w14:textId="77777777" w:rsidR="00603141" w:rsidRDefault="00603141" w:rsidP="008C07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81EB" w14:textId="77777777" w:rsidR="0043573D" w:rsidRDefault="0043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B633" w14:textId="77777777" w:rsidR="00FD4E8B" w:rsidRDefault="00FD4E8B" w:rsidP="007B4135">
      <w:r>
        <w:separator/>
      </w:r>
    </w:p>
  </w:footnote>
  <w:footnote w:type="continuationSeparator" w:id="0">
    <w:p w14:paraId="64864C35" w14:textId="77777777" w:rsidR="00FD4E8B" w:rsidRDefault="00FD4E8B" w:rsidP="007B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5C5E" w14:textId="77777777" w:rsidR="0043573D" w:rsidRDefault="0043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386570"/>
      <w:docPartObj>
        <w:docPartGallery w:val="Watermarks"/>
        <w:docPartUnique/>
      </w:docPartObj>
    </w:sdtPr>
    <w:sdtContent>
      <w:p w14:paraId="7C83A65E" w14:textId="0EC8B439" w:rsidR="0043573D" w:rsidRDefault="0043573D">
        <w:pPr>
          <w:pStyle w:val="Header"/>
        </w:pPr>
        <w:r>
          <w:rPr>
            <w:noProof/>
          </w:rPr>
          <w:pict w14:anchorId="641C4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6864" w14:textId="77777777" w:rsidR="0043573D" w:rsidRDefault="0043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64BC"/>
    <w:multiLevelType w:val="hybridMultilevel"/>
    <w:tmpl w:val="697077B2"/>
    <w:lvl w:ilvl="0" w:tplc="801E884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16266"/>
    <w:multiLevelType w:val="hybridMultilevel"/>
    <w:tmpl w:val="5900CA70"/>
    <w:lvl w:ilvl="0" w:tplc="BA4438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10D11"/>
    <w:multiLevelType w:val="hybridMultilevel"/>
    <w:tmpl w:val="142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268A0"/>
    <w:multiLevelType w:val="multilevel"/>
    <w:tmpl w:val="40A8D6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9C"/>
    <w:rsid w:val="00013229"/>
    <w:rsid w:val="000203C9"/>
    <w:rsid w:val="00032F97"/>
    <w:rsid w:val="00033021"/>
    <w:rsid w:val="00046D43"/>
    <w:rsid w:val="00050E45"/>
    <w:rsid w:val="00052895"/>
    <w:rsid w:val="000607D7"/>
    <w:rsid w:val="00064AD6"/>
    <w:rsid w:val="0008449C"/>
    <w:rsid w:val="00084E68"/>
    <w:rsid w:val="00090D41"/>
    <w:rsid w:val="000939EF"/>
    <w:rsid w:val="000940AF"/>
    <w:rsid w:val="000A767D"/>
    <w:rsid w:val="000D1172"/>
    <w:rsid w:val="000D4C07"/>
    <w:rsid w:val="000D5E0A"/>
    <w:rsid w:val="000D72D7"/>
    <w:rsid w:val="000E0ACF"/>
    <w:rsid w:val="000E22FA"/>
    <w:rsid w:val="000E2463"/>
    <w:rsid w:val="00103C54"/>
    <w:rsid w:val="00106FEA"/>
    <w:rsid w:val="00114E23"/>
    <w:rsid w:val="001355E0"/>
    <w:rsid w:val="00140C17"/>
    <w:rsid w:val="00142370"/>
    <w:rsid w:val="00142E05"/>
    <w:rsid w:val="001438FE"/>
    <w:rsid w:val="001615D1"/>
    <w:rsid w:val="0018607F"/>
    <w:rsid w:val="001879B6"/>
    <w:rsid w:val="001A3D19"/>
    <w:rsid w:val="001A3E4D"/>
    <w:rsid w:val="001C1002"/>
    <w:rsid w:val="00207DEB"/>
    <w:rsid w:val="00211D9F"/>
    <w:rsid w:val="00215E22"/>
    <w:rsid w:val="00225F62"/>
    <w:rsid w:val="0024022D"/>
    <w:rsid w:val="00243DCB"/>
    <w:rsid w:val="0025201C"/>
    <w:rsid w:val="0026443F"/>
    <w:rsid w:val="0029079A"/>
    <w:rsid w:val="00296138"/>
    <w:rsid w:val="002A2E21"/>
    <w:rsid w:val="002B106A"/>
    <w:rsid w:val="002B4542"/>
    <w:rsid w:val="002B6C3A"/>
    <w:rsid w:val="002C3C1F"/>
    <w:rsid w:val="002C5E0C"/>
    <w:rsid w:val="002D3C7B"/>
    <w:rsid w:val="002E5090"/>
    <w:rsid w:val="0030785F"/>
    <w:rsid w:val="00312F33"/>
    <w:rsid w:val="00316829"/>
    <w:rsid w:val="003205E6"/>
    <w:rsid w:val="00322C11"/>
    <w:rsid w:val="00323AB3"/>
    <w:rsid w:val="00335730"/>
    <w:rsid w:val="0034117E"/>
    <w:rsid w:val="00344EE6"/>
    <w:rsid w:val="003547A1"/>
    <w:rsid w:val="0037042B"/>
    <w:rsid w:val="003722B3"/>
    <w:rsid w:val="00380CC6"/>
    <w:rsid w:val="00381498"/>
    <w:rsid w:val="003A0B27"/>
    <w:rsid w:val="003A487D"/>
    <w:rsid w:val="003A48AB"/>
    <w:rsid w:val="003B6206"/>
    <w:rsid w:val="003C6E84"/>
    <w:rsid w:val="003D46D8"/>
    <w:rsid w:val="003E6E7D"/>
    <w:rsid w:val="003F493C"/>
    <w:rsid w:val="004037E6"/>
    <w:rsid w:val="00414930"/>
    <w:rsid w:val="004351E3"/>
    <w:rsid w:val="0043573D"/>
    <w:rsid w:val="00440E45"/>
    <w:rsid w:val="004416B1"/>
    <w:rsid w:val="004635B0"/>
    <w:rsid w:val="00470B8B"/>
    <w:rsid w:val="00473522"/>
    <w:rsid w:val="00473C5E"/>
    <w:rsid w:val="00476E0B"/>
    <w:rsid w:val="00480829"/>
    <w:rsid w:val="004817CD"/>
    <w:rsid w:val="00484EF2"/>
    <w:rsid w:val="00494DEC"/>
    <w:rsid w:val="0049658E"/>
    <w:rsid w:val="004A1E34"/>
    <w:rsid w:val="004A3483"/>
    <w:rsid w:val="004B1B97"/>
    <w:rsid w:val="004B3C73"/>
    <w:rsid w:val="004C01FE"/>
    <w:rsid w:val="004C54FB"/>
    <w:rsid w:val="004D0257"/>
    <w:rsid w:val="004D08BB"/>
    <w:rsid w:val="004D16FD"/>
    <w:rsid w:val="004D1C2F"/>
    <w:rsid w:val="00506A51"/>
    <w:rsid w:val="005123DA"/>
    <w:rsid w:val="0053684C"/>
    <w:rsid w:val="00542798"/>
    <w:rsid w:val="00575374"/>
    <w:rsid w:val="00577F75"/>
    <w:rsid w:val="00585332"/>
    <w:rsid w:val="00597416"/>
    <w:rsid w:val="005977C9"/>
    <w:rsid w:val="005B0526"/>
    <w:rsid w:val="005B2036"/>
    <w:rsid w:val="005B42AE"/>
    <w:rsid w:val="005C09CD"/>
    <w:rsid w:val="005C5FC6"/>
    <w:rsid w:val="005D22EA"/>
    <w:rsid w:val="005E11B7"/>
    <w:rsid w:val="005E74CA"/>
    <w:rsid w:val="005E7B23"/>
    <w:rsid w:val="005F10FF"/>
    <w:rsid w:val="00600F58"/>
    <w:rsid w:val="00603141"/>
    <w:rsid w:val="00622598"/>
    <w:rsid w:val="0062333C"/>
    <w:rsid w:val="006328C8"/>
    <w:rsid w:val="00662C57"/>
    <w:rsid w:val="00666D29"/>
    <w:rsid w:val="00667C1A"/>
    <w:rsid w:val="00670749"/>
    <w:rsid w:val="00681899"/>
    <w:rsid w:val="00690C7C"/>
    <w:rsid w:val="006D6620"/>
    <w:rsid w:val="006E1F39"/>
    <w:rsid w:val="006E3F2B"/>
    <w:rsid w:val="006F3395"/>
    <w:rsid w:val="006F38B4"/>
    <w:rsid w:val="006F6B5E"/>
    <w:rsid w:val="007011DC"/>
    <w:rsid w:val="0070237E"/>
    <w:rsid w:val="007029D4"/>
    <w:rsid w:val="00705866"/>
    <w:rsid w:val="00713333"/>
    <w:rsid w:val="0071722F"/>
    <w:rsid w:val="00753DD4"/>
    <w:rsid w:val="00770728"/>
    <w:rsid w:val="007776E8"/>
    <w:rsid w:val="007807EF"/>
    <w:rsid w:val="00783426"/>
    <w:rsid w:val="00786685"/>
    <w:rsid w:val="0079180A"/>
    <w:rsid w:val="007B129E"/>
    <w:rsid w:val="007B4135"/>
    <w:rsid w:val="007C54E5"/>
    <w:rsid w:val="007C7157"/>
    <w:rsid w:val="007E390B"/>
    <w:rsid w:val="007E46C0"/>
    <w:rsid w:val="007E5201"/>
    <w:rsid w:val="007F260F"/>
    <w:rsid w:val="007F34DD"/>
    <w:rsid w:val="0080750E"/>
    <w:rsid w:val="008254A1"/>
    <w:rsid w:val="00827969"/>
    <w:rsid w:val="008315C1"/>
    <w:rsid w:val="00836146"/>
    <w:rsid w:val="0084173D"/>
    <w:rsid w:val="00853D94"/>
    <w:rsid w:val="00854CF9"/>
    <w:rsid w:val="00862BD1"/>
    <w:rsid w:val="00886B99"/>
    <w:rsid w:val="00887091"/>
    <w:rsid w:val="00892367"/>
    <w:rsid w:val="008A179C"/>
    <w:rsid w:val="008C0702"/>
    <w:rsid w:val="008C18E4"/>
    <w:rsid w:val="008D19CE"/>
    <w:rsid w:val="008D2D3E"/>
    <w:rsid w:val="008D6196"/>
    <w:rsid w:val="008E7FE6"/>
    <w:rsid w:val="00903478"/>
    <w:rsid w:val="00903AA8"/>
    <w:rsid w:val="00907702"/>
    <w:rsid w:val="00920DF9"/>
    <w:rsid w:val="0092392E"/>
    <w:rsid w:val="00980B6E"/>
    <w:rsid w:val="00981A58"/>
    <w:rsid w:val="00984456"/>
    <w:rsid w:val="00991175"/>
    <w:rsid w:val="00997D2C"/>
    <w:rsid w:val="009A297D"/>
    <w:rsid w:val="009B1FC8"/>
    <w:rsid w:val="009B3E4D"/>
    <w:rsid w:val="009B4B51"/>
    <w:rsid w:val="009C0DE4"/>
    <w:rsid w:val="009C4BE7"/>
    <w:rsid w:val="009E7B19"/>
    <w:rsid w:val="009F49DE"/>
    <w:rsid w:val="00A00DCD"/>
    <w:rsid w:val="00A0152C"/>
    <w:rsid w:val="00A163A1"/>
    <w:rsid w:val="00A27897"/>
    <w:rsid w:val="00A3518C"/>
    <w:rsid w:val="00A64EF2"/>
    <w:rsid w:val="00A66320"/>
    <w:rsid w:val="00A75BAA"/>
    <w:rsid w:val="00A76213"/>
    <w:rsid w:val="00A827ED"/>
    <w:rsid w:val="00A90E1A"/>
    <w:rsid w:val="00AA2B82"/>
    <w:rsid w:val="00AA5983"/>
    <w:rsid w:val="00AB1C4F"/>
    <w:rsid w:val="00AC5F27"/>
    <w:rsid w:val="00AD6168"/>
    <w:rsid w:val="00AD67A9"/>
    <w:rsid w:val="00AF171F"/>
    <w:rsid w:val="00AF26F1"/>
    <w:rsid w:val="00B03BC3"/>
    <w:rsid w:val="00B13750"/>
    <w:rsid w:val="00B225FC"/>
    <w:rsid w:val="00B2302A"/>
    <w:rsid w:val="00B251DF"/>
    <w:rsid w:val="00B27064"/>
    <w:rsid w:val="00B2766E"/>
    <w:rsid w:val="00B31E21"/>
    <w:rsid w:val="00B37B1B"/>
    <w:rsid w:val="00B43A16"/>
    <w:rsid w:val="00B56B3D"/>
    <w:rsid w:val="00BA15A0"/>
    <w:rsid w:val="00BA1827"/>
    <w:rsid w:val="00BF25FC"/>
    <w:rsid w:val="00BF2ABB"/>
    <w:rsid w:val="00C1479F"/>
    <w:rsid w:val="00C165CE"/>
    <w:rsid w:val="00C2021B"/>
    <w:rsid w:val="00C20FF3"/>
    <w:rsid w:val="00C22F86"/>
    <w:rsid w:val="00C30805"/>
    <w:rsid w:val="00C30FAC"/>
    <w:rsid w:val="00C32374"/>
    <w:rsid w:val="00C36DAF"/>
    <w:rsid w:val="00C433AE"/>
    <w:rsid w:val="00C600C2"/>
    <w:rsid w:val="00C63F0F"/>
    <w:rsid w:val="00C66ED1"/>
    <w:rsid w:val="00C83873"/>
    <w:rsid w:val="00C84E90"/>
    <w:rsid w:val="00C86E7E"/>
    <w:rsid w:val="00C873E7"/>
    <w:rsid w:val="00C9460E"/>
    <w:rsid w:val="00C95AB8"/>
    <w:rsid w:val="00CA2D1D"/>
    <w:rsid w:val="00CB085A"/>
    <w:rsid w:val="00CD5222"/>
    <w:rsid w:val="00CE1F79"/>
    <w:rsid w:val="00CE35B6"/>
    <w:rsid w:val="00CF4626"/>
    <w:rsid w:val="00D52741"/>
    <w:rsid w:val="00D67B7D"/>
    <w:rsid w:val="00D929F3"/>
    <w:rsid w:val="00D96DD7"/>
    <w:rsid w:val="00D97653"/>
    <w:rsid w:val="00D97657"/>
    <w:rsid w:val="00DA1299"/>
    <w:rsid w:val="00DB3266"/>
    <w:rsid w:val="00DB36E7"/>
    <w:rsid w:val="00DC449D"/>
    <w:rsid w:val="00DD0943"/>
    <w:rsid w:val="00DD0DBB"/>
    <w:rsid w:val="00DD50EC"/>
    <w:rsid w:val="00DD57DB"/>
    <w:rsid w:val="00DF7DA1"/>
    <w:rsid w:val="00E20E00"/>
    <w:rsid w:val="00E25822"/>
    <w:rsid w:val="00E30B2C"/>
    <w:rsid w:val="00E41462"/>
    <w:rsid w:val="00E425DA"/>
    <w:rsid w:val="00E5292C"/>
    <w:rsid w:val="00E55749"/>
    <w:rsid w:val="00E90B2B"/>
    <w:rsid w:val="00E93F80"/>
    <w:rsid w:val="00EB6815"/>
    <w:rsid w:val="00EC3627"/>
    <w:rsid w:val="00EC6C12"/>
    <w:rsid w:val="00EE32D7"/>
    <w:rsid w:val="00EF36F9"/>
    <w:rsid w:val="00F038D3"/>
    <w:rsid w:val="00F038E5"/>
    <w:rsid w:val="00F33BDF"/>
    <w:rsid w:val="00F33EFB"/>
    <w:rsid w:val="00F34A07"/>
    <w:rsid w:val="00F40968"/>
    <w:rsid w:val="00F567A8"/>
    <w:rsid w:val="00F5765A"/>
    <w:rsid w:val="00F70FC7"/>
    <w:rsid w:val="00F741E1"/>
    <w:rsid w:val="00F8432A"/>
    <w:rsid w:val="00F9432E"/>
    <w:rsid w:val="00F973B7"/>
    <w:rsid w:val="00FA048F"/>
    <w:rsid w:val="00FB3B45"/>
    <w:rsid w:val="00FD4E8B"/>
    <w:rsid w:val="00FD604D"/>
    <w:rsid w:val="00FE13FB"/>
    <w:rsid w:val="00FE4B53"/>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7FB975"/>
  <w15:chartTrackingRefBased/>
  <w15:docId w15:val="{23DDBDB8-9E8C-DC49-9F42-3138A033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9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0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07D7"/>
    <w:rPr>
      <w:sz w:val="16"/>
      <w:szCs w:val="16"/>
    </w:rPr>
  </w:style>
  <w:style w:type="paragraph" w:styleId="CommentText">
    <w:name w:val="annotation text"/>
    <w:basedOn w:val="Normal"/>
    <w:link w:val="CommentTextChar"/>
    <w:uiPriority w:val="99"/>
    <w:semiHidden/>
    <w:unhideWhenUsed/>
    <w:rsid w:val="000607D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607D7"/>
    <w:rPr>
      <w:sz w:val="20"/>
      <w:szCs w:val="20"/>
    </w:rPr>
  </w:style>
  <w:style w:type="paragraph" w:styleId="CommentSubject">
    <w:name w:val="annotation subject"/>
    <w:basedOn w:val="CommentText"/>
    <w:next w:val="CommentText"/>
    <w:link w:val="CommentSubjectChar"/>
    <w:uiPriority w:val="99"/>
    <w:semiHidden/>
    <w:unhideWhenUsed/>
    <w:rsid w:val="000607D7"/>
    <w:rPr>
      <w:b/>
      <w:bCs/>
    </w:rPr>
  </w:style>
  <w:style w:type="character" w:customStyle="1" w:styleId="CommentSubjectChar">
    <w:name w:val="Comment Subject Char"/>
    <w:basedOn w:val="CommentTextChar"/>
    <w:link w:val="CommentSubject"/>
    <w:uiPriority w:val="99"/>
    <w:semiHidden/>
    <w:rsid w:val="000607D7"/>
    <w:rPr>
      <w:b/>
      <w:bCs/>
      <w:sz w:val="20"/>
      <w:szCs w:val="20"/>
    </w:rPr>
  </w:style>
  <w:style w:type="paragraph" w:styleId="BalloonText">
    <w:name w:val="Balloon Text"/>
    <w:basedOn w:val="Normal"/>
    <w:link w:val="BalloonTextChar"/>
    <w:uiPriority w:val="99"/>
    <w:semiHidden/>
    <w:unhideWhenUsed/>
    <w:rsid w:val="000607D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07D7"/>
    <w:rPr>
      <w:rFonts w:ascii="Segoe UI" w:hAnsi="Segoe UI" w:cs="Segoe UI"/>
      <w:sz w:val="18"/>
      <w:szCs w:val="18"/>
    </w:rPr>
  </w:style>
  <w:style w:type="paragraph" w:styleId="Caption">
    <w:name w:val="caption"/>
    <w:basedOn w:val="Normal"/>
    <w:next w:val="Normal"/>
    <w:autoRedefine/>
    <w:uiPriority w:val="35"/>
    <w:qFormat/>
    <w:rsid w:val="005E7B23"/>
    <w:pPr>
      <w:keepNext/>
      <w:spacing w:before="120" w:after="120"/>
    </w:pPr>
    <w:rPr>
      <w:rFonts w:eastAsia="Calibri"/>
      <w:b/>
      <w:bCs/>
      <w:color w:val="000000"/>
    </w:rPr>
  </w:style>
  <w:style w:type="paragraph" w:styleId="ListParagraph">
    <w:name w:val="List Paragraph"/>
    <w:basedOn w:val="Normal"/>
    <w:uiPriority w:val="34"/>
    <w:qFormat/>
    <w:rsid w:val="00EB6815"/>
    <w:pPr>
      <w:spacing w:after="160" w:line="480"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77F75"/>
  </w:style>
  <w:style w:type="paragraph" w:customStyle="1" w:styleId="BodyText1">
    <w:name w:val="Body Text1"/>
    <w:rsid w:val="000D72D7"/>
    <w:pPr>
      <w:spacing w:before="120"/>
      <w:jc w:val="both"/>
    </w:pPr>
    <w:rPr>
      <w:rFonts w:ascii="Times New Roman" w:eastAsia="Times New Roman" w:hAnsi="Times New Roman" w:cs="Times New Roman"/>
    </w:rPr>
  </w:style>
  <w:style w:type="character" w:styleId="Hyperlink">
    <w:name w:val="Hyperlink"/>
    <w:basedOn w:val="DefaultParagraphFont"/>
    <w:uiPriority w:val="99"/>
    <w:unhideWhenUsed/>
    <w:rsid w:val="000940AF"/>
    <w:rPr>
      <w:color w:val="0563C1" w:themeColor="hyperlink"/>
      <w:u w:val="single"/>
    </w:rPr>
  </w:style>
  <w:style w:type="character" w:styleId="UnresolvedMention">
    <w:name w:val="Unresolved Mention"/>
    <w:basedOn w:val="DefaultParagraphFont"/>
    <w:uiPriority w:val="99"/>
    <w:semiHidden/>
    <w:unhideWhenUsed/>
    <w:rsid w:val="000940AF"/>
    <w:rPr>
      <w:color w:val="605E5C"/>
      <w:shd w:val="clear" w:color="auto" w:fill="E1DFDD"/>
    </w:rPr>
  </w:style>
  <w:style w:type="character" w:styleId="FollowedHyperlink">
    <w:name w:val="FollowedHyperlink"/>
    <w:basedOn w:val="DefaultParagraphFont"/>
    <w:uiPriority w:val="99"/>
    <w:semiHidden/>
    <w:unhideWhenUsed/>
    <w:rsid w:val="007807EF"/>
    <w:rPr>
      <w:color w:val="954F72" w:themeColor="followedHyperlink"/>
      <w:u w:val="single"/>
    </w:rPr>
  </w:style>
  <w:style w:type="character" w:styleId="Strong">
    <w:name w:val="Strong"/>
    <w:basedOn w:val="DefaultParagraphFont"/>
    <w:uiPriority w:val="22"/>
    <w:qFormat/>
    <w:rsid w:val="00090D41"/>
    <w:rPr>
      <w:b/>
      <w:bCs/>
    </w:rPr>
  </w:style>
  <w:style w:type="character" w:customStyle="1" w:styleId="doi">
    <w:name w:val="doi"/>
    <w:basedOn w:val="DefaultParagraphFont"/>
    <w:rsid w:val="00827969"/>
  </w:style>
  <w:style w:type="character" w:customStyle="1" w:styleId="st">
    <w:name w:val="st"/>
    <w:basedOn w:val="DefaultParagraphFont"/>
    <w:rsid w:val="00827969"/>
  </w:style>
  <w:style w:type="character" w:styleId="Emphasis">
    <w:name w:val="Emphasis"/>
    <w:basedOn w:val="DefaultParagraphFont"/>
    <w:uiPriority w:val="20"/>
    <w:qFormat/>
    <w:rsid w:val="00827969"/>
    <w:rPr>
      <w:i/>
      <w:iCs/>
    </w:rPr>
  </w:style>
  <w:style w:type="character" w:customStyle="1" w:styleId="meta-citation">
    <w:name w:val="meta-citation"/>
    <w:basedOn w:val="DefaultParagraphFont"/>
    <w:rsid w:val="00B13750"/>
  </w:style>
  <w:style w:type="paragraph" w:styleId="Footer">
    <w:name w:val="footer"/>
    <w:basedOn w:val="Normal"/>
    <w:link w:val="FooterChar"/>
    <w:uiPriority w:val="99"/>
    <w:unhideWhenUsed/>
    <w:rsid w:val="007B4135"/>
    <w:pPr>
      <w:tabs>
        <w:tab w:val="center" w:pos="4680"/>
        <w:tab w:val="right" w:pos="9360"/>
      </w:tabs>
    </w:pPr>
  </w:style>
  <w:style w:type="character" w:customStyle="1" w:styleId="FooterChar">
    <w:name w:val="Footer Char"/>
    <w:basedOn w:val="DefaultParagraphFont"/>
    <w:link w:val="Footer"/>
    <w:uiPriority w:val="99"/>
    <w:rsid w:val="007B4135"/>
    <w:rPr>
      <w:rFonts w:ascii="Times New Roman" w:eastAsia="Times New Roman" w:hAnsi="Times New Roman" w:cs="Times New Roman"/>
    </w:rPr>
  </w:style>
  <w:style w:type="character" w:styleId="PageNumber">
    <w:name w:val="page number"/>
    <w:basedOn w:val="DefaultParagraphFont"/>
    <w:uiPriority w:val="99"/>
    <w:semiHidden/>
    <w:unhideWhenUsed/>
    <w:rsid w:val="007B4135"/>
  </w:style>
  <w:style w:type="character" w:styleId="LineNumber">
    <w:name w:val="line number"/>
    <w:basedOn w:val="DefaultParagraphFont"/>
    <w:uiPriority w:val="99"/>
    <w:semiHidden/>
    <w:unhideWhenUsed/>
    <w:rsid w:val="00322C11"/>
  </w:style>
  <w:style w:type="paragraph" w:styleId="Header">
    <w:name w:val="header"/>
    <w:basedOn w:val="Normal"/>
    <w:link w:val="HeaderChar"/>
    <w:uiPriority w:val="99"/>
    <w:unhideWhenUsed/>
    <w:rsid w:val="0043573D"/>
    <w:pPr>
      <w:tabs>
        <w:tab w:val="center" w:pos="4680"/>
        <w:tab w:val="right" w:pos="9360"/>
      </w:tabs>
    </w:pPr>
  </w:style>
  <w:style w:type="character" w:customStyle="1" w:styleId="HeaderChar">
    <w:name w:val="Header Char"/>
    <w:basedOn w:val="DefaultParagraphFont"/>
    <w:link w:val="Header"/>
    <w:uiPriority w:val="99"/>
    <w:rsid w:val="004357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2682">
      <w:bodyDiv w:val="1"/>
      <w:marLeft w:val="0"/>
      <w:marRight w:val="0"/>
      <w:marTop w:val="0"/>
      <w:marBottom w:val="0"/>
      <w:divBdr>
        <w:top w:val="none" w:sz="0" w:space="0" w:color="auto"/>
        <w:left w:val="none" w:sz="0" w:space="0" w:color="auto"/>
        <w:bottom w:val="none" w:sz="0" w:space="0" w:color="auto"/>
        <w:right w:val="none" w:sz="0" w:space="0" w:color="auto"/>
      </w:divBdr>
    </w:div>
    <w:div w:id="226378540">
      <w:bodyDiv w:val="1"/>
      <w:marLeft w:val="0"/>
      <w:marRight w:val="0"/>
      <w:marTop w:val="0"/>
      <w:marBottom w:val="0"/>
      <w:divBdr>
        <w:top w:val="none" w:sz="0" w:space="0" w:color="auto"/>
        <w:left w:val="none" w:sz="0" w:space="0" w:color="auto"/>
        <w:bottom w:val="none" w:sz="0" w:space="0" w:color="auto"/>
        <w:right w:val="none" w:sz="0" w:space="0" w:color="auto"/>
      </w:divBdr>
      <w:divsChild>
        <w:div w:id="513879410">
          <w:marLeft w:val="0"/>
          <w:marRight w:val="0"/>
          <w:marTop w:val="0"/>
          <w:marBottom w:val="0"/>
          <w:divBdr>
            <w:top w:val="none" w:sz="0" w:space="0" w:color="auto"/>
            <w:left w:val="none" w:sz="0" w:space="0" w:color="auto"/>
            <w:bottom w:val="none" w:sz="0" w:space="0" w:color="auto"/>
            <w:right w:val="none" w:sz="0" w:space="0" w:color="auto"/>
          </w:divBdr>
        </w:div>
      </w:divsChild>
    </w:div>
    <w:div w:id="286132760">
      <w:bodyDiv w:val="1"/>
      <w:marLeft w:val="0"/>
      <w:marRight w:val="0"/>
      <w:marTop w:val="0"/>
      <w:marBottom w:val="0"/>
      <w:divBdr>
        <w:top w:val="none" w:sz="0" w:space="0" w:color="auto"/>
        <w:left w:val="none" w:sz="0" w:space="0" w:color="auto"/>
        <w:bottom w:val="none" w:sz="0" w:space="0" w:color="auto"/>
        <w:right w:val="none" w:sz="0" w:space="0" w:color="auto"/>
      </w:divBdr>
    </w:div>
    <w:div w:id="406806730">
      <w:bodyDiv w:val="1"/>
      <w:marLeft w:val="0"/>
      <w:marRight w:val="0"/>
      <w:marTop w:val="0"/>
      <w:marBottom w:val="0"/>
      <w:divBdr>
        <w:top w:val="none" w:sz="0" w:space="0" w:color="auto"/>
        <w:left w:val="none" w:sz="0" w:space="0" w:color="auto"/>
        <w:bottom w:val="none" w:sz="0" w:space="0" w:color="auto"/>
        <w:right w:val="none" w:sz="0" w:space="0" w:color="auto"/>
      </w:divBdr>
    </w:div>
    <w:div w:id="904098135">
      <w:bodyDiv w:val="1"/>
      <w:marLeft w:val="0"/>
      <w:marRight w:val="0"/>
      <w:marTop w:val="0"/>
      <w:marBottom w:val="0"/>
      <w:divBdr>
        <w:top w:val="none" w:sz="0" w:space="0" w:color="auto"/>
        <w:left w:val="none" w:sz="0" w:space="0" w:color="auto"/>
        <w:bottom w:val="none" w:sz="0" w:space="0" w:color="auto"/>
        <w:right w:val="none" w:sz="0" w:space="0" w:color="auto"/>
      </w:divBdr>
    </w:div>
    <w:div w:id="937255574">
      <w:bodyDiv w:val="1"/>
      <w:marLeft w:val="0"/>
      <w:marRight w:val="0"/>
      <w:marTop w:val="0"/>
      <w:marBottom w:val="0"/>
      <w:divBdr>
        <w:top w:val="none" w:sz="0" w:space="0" w:color="auto"/>
        <w:left w:val="none" w:sz="0" w:space="0" w:color="auto"/>
        <w:bottom w:val="none" w:sz="0" w:space="0" w:color="auto"/>
        <w:right w:val="none" w:sz="0" w:space="0" w:color="auto"/>
      </w:divBdr>
    </w:div>
    <w:div w:id="1014302994">
      <w:bodyDiv w:val="1"/>
      <w:marLeft w:val="0"/>
      <w:marRight w:val="0"/>
      <w:marTop w:val="0"/>
      <w:marBottom w:val="0"/>
      <w:divBdr>
        <w:top w:val="none" w:sz="0" w:space="0" w:color="auto"/>
        <w:left w:val="none" w:sz="0" w:space="0" w:color="auto"/>
        <w:bottom w:val="none" w:sz="0" w:space="0" w:color="auto"/>
        <w:right w:val="none" w:sz="0" w:space="0" w:color="auto"/>
      </w:divBdr>
    </w:div>
    <w:div w:id="1159611390">
      <w:bodyDiv w:val="1"/>
      <w:marLeft w:val="0"/>
      <w:marRight w:val="0"/>
      <w:marTop w:val="0"/>
      <w:marBottom w:val="0"/>
      <w:divBdr>
        <w:top w:val="none" w:sz="0" w:space="0" w:color="auto"/>
        <w:left w:val="none" w:sz="0" w:space="0" w:color="auto"/>
        <w:bottom w:val="none" w:sz="0" w:space="0" w:color="auto"/>
        <w:right w:val="none" w:sz="0" w:space="0" w:color="auto"/>
      </w:divBdr>
    </w:div>
    <w:div w:id="1352760804">
      <w:bodyDiv w:val="1"/>
      <w:marLeft w:val="0"/>
      <w:marRight w:val="0"/>
      <w:marTop w:val="0"/>
      <w:marBottom w:val="0"/>
      <w:divBdr>
        <w:top w:val="none" w:sz="0" w:space="0" w:color="auto"/>
        <w:left w:val="none" w:sz="0" w:space="0" w:color="auto"/>
        <w:bottom w:val="none" w:sz="0" w:space="0" w:color="auto"/>
        <w:right w:val="none" w:sz="0" w:space="0" w:color="auto"/>
      </w:divBdr>
    </w:div>
    <w:div w:id="1460151800">
      <w:bodyDiv w:val="1"/>
      <w:marLeft w:val="0"/>
      <w:marRight w:val="0"/>
      <w:marTop w:val="0"/>
      <w:marBottom w:val="0"/>
      <w:divBdr>
        <w:top w:val="none" w:sz="0" w:space="0" w:color="auto"/>
        <w:left w:val="none" w:sz="0" w:space="0" w:color="auto"/>
        <w:bottom w:val="none" w:sz="0" w:space="0" w:color="auto"/>
        <w:right w:val="none" w:sz="0" w:space="0" w:color="auto"/>
      </w:divBdr>
    </w:div>
    <w:div w:id="1609190958">
      <w:bodyDiv w:val="1"/>
      <w:marLeft w:val="0"/>
      <w:marRight w:val="0"/>
      <w:marTop w:val="0"/>
      <w:marBottom w:val="0"/>
      <w:divBdr>
        <w:top w:val="none" w:sz="0" w:space="0" w:color="auto"/>
        <w:left w:val="none" w:sz="0" w:space="0" w:color="auto"/>
        <w:bottom w:val="none" w:sz="0" w:space="0" w:color="auto"/>
        <w:right w:val="none" w:sz="0" w:space="0" w:color="auto"/>
      </w:divBdr>
    </w:div>
    <w:div w:id="1712345028">
      <w:bodyDiv w:val="1"/>
      <w:marLeft w:val="0"/>
      <w:marRight w:val="0"/>
      <w:marTop w:val="0"/>
      <w:marBottom w:val="0"/>
      <w:divBdr>
        <w:top w:val="none" w:sz="0" w:space="0" w:color="auto"/>
        <w:left w:val="none" w:sz="0" w:space="0" w:color="auto"/>
        <w:bottom w:val="none" w:sz="0" w:space="0" w:color="auto"/>
        <w:right w:val="none" w:sz="0" w:space="0" w:color="auto"/>
      </w:divBdr>
    </w:div>
    <w:div w:id="1790707911">
      <w:bodyDiv w:val="1"/>
      <w:marLeft w:val="0"/>
      <w:marRight w:val="0"/>
      <w:marTop w:val="0"/>
      <w:marBottom w:val="0"/>
      <w:divBdr>
        <w:top w:val="none" w:sz="0" w:space="0" w:color="auto"/>
        <w:left w:val="none" w:sz="0" w:space="0" w:color="auto"/>
        <w:bottom w:val="none" w:sz="0" w:space="0" w:color="auto"/>
        <w:right w:val="none" w:sz="0" w:space="0" w:color="auto"/>
      </w:divBdr>
      <w:divsChild>
        <w:div w:id="579094622">
          <w:marLeft w:val="0"/>
          <w:marRight w:val="0"/>
          <w:marTop w:val="0"/>
          <w:marBottom w:val="0"/>
          <w:divBdr>
            <w:top w:val="none" w:sz="0" w:space="0" w:color="auto"/>
            <w:left w:val="none" w:sz="0" w:space="0" w:color="auto"/>
            <w:bottom w:val="none" w:sz="0" w:space="0" w:color="auto"/>
            <w:right w:val="none" w:sz="0" w:space="0" w:color="auto"/>
          </w:divBdr>
        </w:div>
      </w:divsChild>
    </w:div>
    <w:div w:id="1825388304">
      <w:bodyDiv w:val="1"/>
      <w:marLeft w:val="0"/>
      <w:marRight w:val="0"/>
      <w:marTop w:val="0"/>
      <w:marBottom w:val="0"/>
      <w:divBdr>
        <w:top w:val="none" w:sz="0" w:space="0" w:color="auto"/>
        <w:left w:val="none" w:sz="0" w:space="0" w:color="auto"/>
        <w:bottom w:val="none" w:sz="0" w:space="0" w:color="auto"/>
        <w:right w:val="none" w:sz="0" w:space="0" w:color="auto"/>
      </w:divBdr>
    </w:div>
    <w:div w:id="1835802160">
      <w:bodyDiv w:val="1"/>
      <w:marLeft w:val="0"/>
      <w:marRight w:val="0"/>
      <w:marTop w:val="0"/>
      <w:marBottom w:val="0"/>
      <w:divBdr>
        <w:top w:val="none" w:sz="0" w:space="0" w:color="auto"/>
        <w:left w:val="none" w:sz="0" w:space="0" w:color="auto"/>
        <w:bottom w:val="none" w:sz="0" w:space="0" w:color="auto"/>
        <w:right w:val="none" w:sz="0" w:space="0" w:color="auto"/>
      </w:divBdr>
    </w:div>
    <w:div w:id="1845318445">
      <w:bodyDiv w:val="1"/>
      <w:marLeft w:val="0"/>
      <w:marRight w:val="0"/>
      <w:marTop w:val="0"/>
      <w:marBottom w:val="0"/>
      <w:divBdr>
        <w:top w:val="none" w:sz="0" w:space="0" w:color="auto"/>
        <w:left w:val="none" w:sz="0" w:space="0" w:color="auto"/>
        <w:bottom w:val="none" w:sz="0" w:space="0" w:color="auto"/>
        <w:right w:val="none" w:sz="0" w:space="0" w:color="auto"/>
      </w:divBdr>
    </w:div>
    <w:div w:id="2031486804">
      <w:bodyDiv w:val="1"/>
      <w:marLeft w:val="0"/>
      <w:marRight w:val="0"/>
      <w:marTop w:val="0"/>
      <w:marBottom w:val="0"/>
      <w:divBdr>
        <w:top w:val="none" w:sz="0" w:space="0" w:color="auto"/>
        <w:left w:val="none" w:sz="0" w:space="0" w:color="auto"/>
        <w:bottom w:val="none" w:sz="0" w:space="0" w:color="auto"/>
        <w:right w:val="none" w:sz="0" w:space="0" w:color="auto"/>
      </w:divBdr>
    </w:div>
    <w:div w:id="21244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28%2FAEM.69.1.600-606.2003" TargetMode="External"/><Relationship Id="rId13" Type="http://schemas.openxmlformats.org/officeDocument/2006/relationships/hyperlink" Target="https://doi.org/10.1177/153567600501000405" TargetMode="External"/><Relationship Id="rId18" Type="http://schemas.openxmlformats.org/officeDocument/2006/relationships/hyperlink" Target="https://doi.org/10.1128/AEM.05377-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111/j.1472-765X.2012.03277.x" TargetMode="External"/><Relationship Id="rId17" Type="http://schemas.openxmlformats.org/officeDocument/2006/relationships/hyperlink" Target="https://doi.org/10.5942/jawwa.2015.107.013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x.doi.org/10.1111%2Flam.127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0043-1354(78)90117-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x.doi.org/10.3201%2Feid1211.060629" TargetMode="External"/><Relationship Id="rId23" Type="http://schemas.openxmlformats.org/officeDocument/2006/relationships/footer" Target="footer2.xml"/><Relationship Id="rId10" Type="http://schemas.openxmlformats.org/officeDocument/2006/relationships/hyperlink" Target="https://doi.org/10.1001/jama.285.21.2763" TargetMode="External"/><Relationship Id="rId19" Type="http://schemas.openxmlformats.org/officeDocument/2006/relationships/hyperlink" Target="https://www.epa.gov/waterlabnetwork/sampling-guidanceunknown-contaminants-drinking-water" TargetMode="External"/><Relationship Id="rId4" Type="http://schemas.openxmlformats.org/officeDocument/2006/relationships/settings" Target="settings.xml"/><Relationship Id="rId9" Type="http://schemas.openxmlformats.org/officeDocument/2006/relationships/hyperlink" Target="https://www.cdc.gov/mmwr/PDF/rr/rr4904.pdf" TargetMode="External"/><Relationship Id="rId14" Type="http://schemas.openxmlformats.org/officeDocument/2006/relationships/hyperlink" Target="https://doi.org/10.1016/j.mimet.2019.05.00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73A8-8E96-48EC-9641-757F8696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Staci R.</dc:creator>
  <cp:keywords/>
  <dc:description/>
  <cp:lastModifiedBy>Shah, Sanjiv</cp:lastModifiedBy>
  <cp:revision>3</cp:revision>
  <cp:lastPrinted>2019-08-12T20:46:00Z</cp:lastPrinted>
  <dcterms:created xsi:type="dcterms:W3CDTF">2019-08-28T19:52:00Z</dcterms:created>
  <dcterms:modified xsi:type="dcterms:W3CDTF">2019-08-28T20:19:00Z</dcterms:modified>
</cp:coreProperties>
</file>