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2A5B2" w14:textId="0C026236" w:rsidR="004C045C" w:rsidRPr="005049BC" w:rsidRDefault="005710BD" w:rsidP="00CE4006">
      <w:pPr>
        <w:spacing w:line="264" w:lineRule="auto"/>
        <w:rPr>
          <w:rFonts w:ascii="Times New Roman" w:hAnsi="Times New Roman" w:cs="Times New Roman"/>
          <w:b/>
          <w:sz w:val="20"/>
          <w:szCs w:val="20"/>
        </w:rPr>
      </w:pPr>
      <w:r w:rsidRPr="005049BC">
        <w:rPr>
          <w:rFonts w:ascii="Times New Roman" w:hAnsi="Times New Roman" w:cs="Times New Roman"/>
          <w:b/>
          <w:sz w:val="20"/>
          <w:szCs w:val="20"/>
        </w:rPr>
        <w:t>Supplemental Material</w:t>
      </w:r>
      <w:r w:rsidR="00CE4006" w:rsidRPr="005049BC">
        <w:rPr>
          <w:rFonts w:ascii="Times New Roman" w:hAnsi="Times New Roman" w:cs="Times New Roman"/>
          <w:b/>
          <w:sz w:val="20"/>
          <w:szCs w:val="20"/>
        </w:rPr>
        <w:t>: Integrating TTC with High Throughput Exposure for Risk Based Prioritization</w:t>
      </w:r>
    </w:p>
    <w:p w14:paraId="6222A5B3" w14:textId="77777777" w:rsidR="00013D83" w:rsidRPr="005049BC" w:rsidRDefault="005710BD" w:rsidP="00CE4006">
      <w:pPr>
        <w:spacing w:line="264" w:lineRule="auto"/>
        <w:rPr>
          <w:rFonts w:ascii="Times New Roman" w:hAnsi="Times New Roman" w:cs="Times New Roman"/>
          <w:b/>
          <w:color w:val="000000"/>
          <w:sz w:val="20"/>
          <w:szCs w:val="20"/>
        </w:rPr>
      </w:pPr>
      <w:r w:rsidRPr="005049BC">
        <w:rPr>
          <w:rFonts w:ascii="Times New Roman" w:hAnsi="Times New Roman" w:cs="Times New Roman"/>
          <w:b/>
          <w:color w:val="000000"/>
          <w:sz w:val="20"/>
          <w:szCs w:val="20"/>
        </w:rPr>
        <w:t xml:space="preserve">1. Summary of Tiered risk-based prioritization </w:t>
      </w:r>
      <w:r w:rsidR="00013D83" w:rsidRPr="005049BC">
        <w:rPr>
          <w:rFonts w:ascii="Times New Roman" w:hAnsi="Times New Roman" w:cs="Times New Roman"/>
          <w:b/>
          <w:color w:val="000000"/>
          <w:sz w:val="20"/>
          <w:szCs w:val="20"/>
        </w:rPr>
        <w:t>programs.</w:t>
      </w:r>
    </w:p>
    <w:p w14:paraId="6222A5B4" w14:textId="3BF9A425" w:rsidR="005710BD" w:rsidRPr="005049BC" w:rsidRDefault="005710BD" w:rsidP="00CE4006">
      <w:pPr>
        <w:spacing w:line="264" w:lineRule="auto"/>
        <w:ind w:firstLine="720"/>
        <w:rPr>
          <w:rFonts w:ascii="Times New Roman" w:hAnsi="Times New Roman" w:cs="Times New Roman"/>
          <w:sz w:val="20"/>
          <w:szCs w:val="20"/>
        </w:rPr>
      </w:pPr>
      <w:r w:rsidRPr="005049BC">
        <w:rPr>
          <w:rFonts w:ascii="Times New Roman" w:hAnsi="Times New Roman" w:cs="Times New Roman"/>
          <w:color w:val="000000"/>
          <w:sz w:val="20"/>
          <w:szCs w:val="20"/>
        </w:rPr>
        <w:t xml:space="preserve">In Australia, NICNAS </w:t>
      </w:r>
      <w:r w:rsidR="00D2382A" w:rsidRPr="005049BC">
        <w:rPr>
          <w:rFonts w:ascii="Times New Roman" w:hAnsi="Times New Roman" w:cs="Times New Roman"/>
          <w:color w:val="000000"/>
          <w:sz w:val="20"/>
          <w:szCs w:val="20"/>
        </w:rPr>
        <w:t xml:space="preserve">(2016) </w:t>
      </w:r>
      <w:r w:rsidRPr="005049BC">
        <w:rPr>
          <w:rFonts w:ascii="Times New Roman" w:hAnsi="Times New Roman" w:cs="Times New Roman"/>
          <w:color w:val="000000"/>
          <w:sz w:val="20"/>
          <w:szCs w:val="20"/>
        </w:rPr>
        <w:t xml:space="preserve">has an Inventory Multi-Tiered Assessment and </w:t>
      </w:r>
      <w:proofErr w:type="spellStart"/>
      <w:r w:rsidRPr="005049BC">
        <w:rPr>
          <w:rFonts w:ascii="Times New Roman" w:hAnsi="Times New Roman" w:cs="Times New Roman"/>
          <w:color w:val="000000"/>
          <w:sz w:val="20"/>
          <w:szCs w:val="20"/>
        </w:rPr>
        <w:t>Prioritisation</w:t>
      </w:r>
      <w:proofErr w:type="spellEnd"/>
      <w:r w:rsidRPr="005049BC">
        <w:rPr>
          <w:rFonts w:ascii="Times New Roman" w:hAnsi="Times New Roman" w:cs="Times New Roman"/>
          <w:color w:val="000000"/>
          <w:sz w:val="20"/>
          <w:szCs w:val="20"/>
        </w:rPr>
        <w:t xml:space="preserve"> (IMAP) program which prioritizes substances by consideration of a matrix of exposure and hazard</w:t>
      </w:r>
      <w:r w:rsidR="00D2382A" w:rsidRPr="005049BC">
        <w:rPr>
          <w:rFonts w:ascii="Times New Roman" w:hAnsi="Times New Roman" w:cs="Times New Roman"/>
          <w:color w:val="000000"/>
          <w:sz w:val="20"/>
          <w:szCs w:val="20"/>
        </w:rPr>
        <w:t xml:space="preserve"> (</w:t>
      </w:r>
      <w:r w:rsidRPr="005049BC">
        <w:rPr>
          <w:rFonts w:ascii="Times New Roman" w:hAnsi="Times New Roman" w:cs="Times New Roman"/>
          <w:color w:val="000000"/>
          <w:sz w:val="20"/>
          <w:szCs w:val="20"/>
        </w:rPr>
        <w:t xml:space="preserve">. The three IMAP tiers are: Tier 1- </w:t>
      </w:r>
      <w:r w:rsidRPr="005049BC">
        <w:rPr>
          <w:rFonts w:ascii="Times New Roman" w:hAnsi="Times New Roman" w:cs="Times New Roman"/>
          <w:sz w:val="20"/>
          <w:szCs w:val="20"/>
        </w:rPr>
        <w:t>identification of chemicals which, using exposure data, do not require further consideration; Tier 2- identification of relevant data, and preparation of a brief report to characterize the likely risks for chemica</w:t>
      </w:r>
      <w:r w:rsidR="0038571A">
        <w:rPr>
          <w:rFonts w:ascii="Times New Roman" w:hAnsi="Times New Roman" w:cs="Times New Roman"/>
          <w:sz w:val="20"/>
          <w:szCs w:val="20"/>
        </w:rPr>
        <w:t>l identified from exposure data</w:t>
      </w:r>
      <w:r w:rsidRPr="005049BC">
        <w:rPr>
          <w:rFonts w:ascii="Times New Roman" w:hAnsi="Times New Roman" w:cs="Times New Roman"/>
          <w:sz w:val="20"/>
          <w:szCs w:val="20"/>
        </w:rPr>
        <w:t xml:space="preserve">; and Tier 3- examination of whether appropriate risk management measures already exist, and whether the available data are sufficient to justify relevant risk management measures. </w:t>
      </w:r>
    </w:p>
    <w:p w14:paraId="6222A5B5" w14:textId="77777777" w:rsidR="005710BD" w:rsidRPr="005049BC" w:rsidRDefault="005710BD" w:rsidP="00CE4006">
      <w:pPr>
        <w:spacing w:line="264" w:lineRule="auto"/>
        <w:ind w:firstLine="720"/>
        <w:rPr>
          <w:rFonts w:ascii="Times New Roman" w:hAnsi="Times New Roman" w:cs="Times New Roman"/>
          <w:sz w:val="20"/>
          <w:szCs w:val="20"/>
        </w:rPr>
      </w:pPr>
      <w:r w:rsidRPr="005049BC">
        <w:rPr>
          <w:rFonts w:ascii="Times New Roman" w:hAnsi="Times New Roman" w:cs="Times New Roman"/>
          <w:sz w:val="20"/>
          <w:szCs w:val="20"/>
        </w:rPr>
        <w:t xml:space="preserve">The Canadian Chemicals Management Plan (CMP) consists of a 3-phase risk assessment initiative (Health Canada, 2017). In Phase 1, Canadian authorities conducted a screening level risk-based triage (categorization) of approximately 23,000 chemicals in commerce culminating in 4,300 substances being identified as of highest priority. Phase 2 consists of screening level and </w:t>
      </w:r>
      <w:proofErr w:type="gramStart"/>
      <w:r w:rsidRPr="005049BC">
        <w:rPr>
          <w:rFonts w:ascii="Times New Roman" w:hAnsi="Times New Roman" w:cs="Times New Roman"/>
          <w:sz w:val="20"/>
          <w:szCs w:val="20"/>
        </w:rPr>
        <w:t>in depth</w:t>
      </w:r>
      <w:proofErr w:type="gramEnd"/>
      <w:r w:rsidRPr="005049BC">
        <w:rPr>
          <w:rFonts w:ascii="Times New Roman" w:hAnsi="Times New Roman" w:cs="Times New Roman"/>
          <w:sz w:val="20"/>
          <w:szCs w:val="20"/>
        </w:rPr>
        <w:t xml:space="preserve"> risk evaluation of the 4,300 substances identified for further attention by a 2020 deadline. CMP phase 3 involves evaluating 1,550 substances – the last of the 4,300 identified under Canada’s prioritization process as requiring health and ecological assessments. </w:t>
      </w:r>
    </w:p>
    <w:p w14:paraId="6222A5B6" w14:textId="77777777" w:rsidR="005710BD" w:rsidRPr="005049BC" w:rsidRDefault="005710BD" w:rsidP="00CE4006">
      <w:pPr>
        <w:shd w:val="clear" w:color="auto" w:fill="FFFFFF"/>
        <w:spacing w:line="264" w:lineRule="auto"/>
        <w:ind w:firstLine="360"/>
        <w:rPr>
          <w:rFonts w:ascii="Times New Roman" w:hAnsi="Times New Roman" w:cs="Times New Roman"/>
          <w:color w:val="000000"/>
          <w:sz w:val="20"/>
          <w:szCs w:val="20"/>
        </w:rPr>
      </w:pPr>
      <w:r w:rsidRPr="005049BC">
        <w:rPr>
          <w:rFonts w:ascii="Times New Roman" w:hAnsi="Times New Roman" w:cs="Times New Roman"/>
          <w:color w:val="000000"/>
          <w:sz w:val="20"/>
          <w:szCs w:val="20"/>
        </w:rPr>
        <w:t xml:space="preserve">In the EU, substances that may have serious and often irreversible effects on human health and/or the environment have the potential to be identified as substances of very high concern (SVHCs). If a substance is identified as a SVHC, it is added to the Candidate List for eventual inclusion in the </w:t>
      </w:r>
      <w:proofErr w:type="spellStart"/>
      <w:r w:rsidRPr="005049BC">
        <w:rPr>
          <w:rFonts w:ascii="Times New Roman" w:hAnsi="Times New Roman" w:cs="Times New Roman"/>
          <w:color w:val="000000"/>
          <w:sz w:val="20"/>
          <w:szCs w:val="20"/>
        </w:rPr>
        <w:t>Authorisation</w:t>
      </w:r>
      <w:proofErr w:type="spellEnd"/>
      <w:r w:rsidRPr="005049BC">
        <w:rPr>
          <w:rFonts w:ascii="Times New Roman" w:hAnsi="Times New Roman" w:cs="Times New Roman"/>
          <w:color w:val="000000"/>
          <w:sz w:val="20"/>
          <w:szCs w:val="20"/>
        </w:rPr>
        <w:t xml:space="preserve"> List. SVHCs are identified based on the hazard properties of a substance. There are three main types of hazard properties that are used in the identification process:</w:t>
      </w:r>
    </w:p>
    <w:p w14:paraId="6222A5B7" w14:textId="77777777" w:rsidR="005710BD" w:rsidRPr="005049BC" w:rsidRDefault="005710BD" w:rsidP="00CE4006">
      <w:pPr>
        <w:pStyle w:val="ListParagraph"/>
        <w:numPr>
          <w:ilvl w:val="0"/>
          <w:numId w:val="1"/>
        </w:numPr>
        <w:shd w:val="clear" w:color="auto" w:fill="FFFFFF"/>
        <w:spacing w:line="264" w:lineRule="auto"/>
        <w:rPr>
          <w:rFonts w:ascii="Times New Roman" w:hAnsi="Times New Roman" w:cs="Times New Roman"/>
          <w:color w:val="000000"/>
          <w:sz w:val="20"/>
          <w:szCs w:val="20"/>
        </w:rPr>
      </w:pPr>
      <w:r w:rsidRPr="005049BC">
        <w:rPr>
          <w:rFonts w:ascii="Times New Roman" w:hAnsi="Times New Roman" w:cs="Times New Roman"/>
          <w:color w:val="000000"/>
          <w:sz w:val="20"/>
          <w:szCs w:val="20"/>
        </w:rPr>
        <w:t xml:space="preserve">substances meeting the criteria for classification as carcinogenic, mutagenic or toxicity for reproduction category 1A or 1B in accordance with the CLP Regulation </w:t>
      </w:r>
    </w:p>
    <w:p w14:paraId="6222A5B8" w14:textId="77777777" w:rsidR="005710BD" w:rsidRPr="005049BC" w:rsidRDefault="005710BD" w:rsidP="00CE4006">
      <w:pPr>
        <w:pStyle w:val="ListParagraph"/>
        <w:numPr>
          <w:ilvl w:val="0"/>
          <w:numId w:val="1"/>
        </w:numPr>
        <w:shd w:val="clear" w:color="auto" w:fill="FFFFFF"/>
        <w:spacing w:line="264" w:lineRule="auto"/>
        <w:rPr>
          <w:rFonts w:ascii="Times New Roman" w:hAnsi="Times New Roman" w:cs="Times New Roman"/>
          <w:color w:val="000000"/>
          <w:sz w:val="20"/>
          <w:szCs w:val="20"/>
        </w:rPr>
      </w:pPr>
      <w:r w:rsidRPr="005049BC">
        <w:rPr>
          <w:rFonts w:ascii="Times New Roman" w:hAnsi="Times New Roman" w:cs="Times New Roman"/>
          <w:color w:val="000000"/>
          <w:sz w:val="20"/>
          <w:szCs w:val="20"/>
        </w:rPr>
        <w:t xml:space="preserve">substances which are persistent, </w:t>
      </w:r>
      <w:proofErr w:type="spellStart"/>
      <w:r w:rsidRPr="005049BC">
        <w:rPr>
          <w:rFonts w:ascii="Times New Roman" w:hAnsi="Times New Roman" w:cs="Times New Roman"/>
          <w:color w:val="000000"/>
          <w:sz w:val="20"/>
          <w:szCs w:val="20"/>
        </w:rPr>
        <w:t>bioaccumulative</w:t>
      </w:r>
      <w:proofErr w:type="spellEnd"/>
      <w:r w:rsidRPr="005049BC">
        <w:rPr>
          <w:rFonts w:ascii="Times New Roman" w:hAnsi="Times New Roman" w:cs="Times New Roman"/>
          <w:color w:val="000000"/>
          <w:sz w:val="20"/>
          <w:szCs w:val="20"/>
        </w:rPr>
        <w:t xml:space="preserve"> or toxic (PBT) or very persistent, very </w:t>
      </w:r>
      <w:proofErr w:type="spellStart"/>
      <w:r w:rsidRPr="005049BC">
        <w:rPr>
          <w:rFonts w:ascii="Times New Roman" w:hAnsi="Times New Roman" w:cs="Times New Roman"/>
          <w:color w:val="000000"/>
          <w:sz w:val="20"/>
          <w:szCs w:val="20"/>
        </w:rPr>
        <w:t>bioaccumulative</w:t>
      </w:r>
      <w:proofErr w:type="spellEnd"/>
      <w:r w:rsidRPr="005049BC">
        <w:rPr>
          <w:rFonts w:ascii="Times New Roman" w:hAnsi="Times New Roman" w:cs="Times New Roman"/>
          <w:color w:val="000000"/>
          <w:sz w:val="20"/>
          <w:szCs w:val="20"/>
        </w:rPr>
        <w:t xml:space="preserve"> (</w:t>
      </w:r>
      <w:proofErr w:type="spellStart"/>
      <w:r w:rsidRPr="005049BC">
        <w:rPr>
          <w:rFonts w:ascii="Times New Roman" w:hAnsi="Times New Roman" w:cs="Times New Roman"/>
          <w:color w:val="000000"/>
          <w:sz w:val="20"/>
          <w:szCs w:val="20"/>
        </w:rPr>
        <w:t>vPvB</w:t>
      </w:r>
      <w:proofErr w:type="spellEnd"/>
      <w:r w:rsidRPr="005049BC">
        <w:rPr>
          <w:rFonts w:ascii="Times New Roman" w:hAnsi="Times New Roman" w:cs="Times New Roman"/>
          <w:color w:val="000000"/>
          <w:sz w:val="20"/>
          <w:szCs w:val="20"/>
        </w:rPr>
        <w:t>) according to REACH Annex XIII or</w:t>
      </w:r>
    </w:p>
    <w:p w14:paraId="6222A5B9" w14:textId="77777777" w:rsidR="005710BD" w:rsidRPr="005049BC" w:rsidRDefault="005710BD" w:rsidP="00CE4006">
      <w:pPr>
        <w:pStyle w:val="ListParagraph"/>
        <w:numPr>
          <w:ilvl w:val="0"/>
          <w:numId w:val="1"/>
        </w:numPr>
        <w:shd w:val="clear" w:color="auto" w:fill="FFFFFF"/>
        <w:spacing w:line="264" w:lineRule="auto"/>
        <w:rPr>
          <w:rFonts w:ascii="Times New Roman" w:hAnsi="Times New Roman" w:cs="Times New Roman"/>
          <w:color w:val="000000"/>
          <w:sz w:val="20"/>
          <w:szCs w:val="20"/>
        </w:rPr>
      </w:pPr>
      <w:r w:rsidRPr="005049BC">
        <w:rPr>
          <w:rFonts w:ascii="Times New Roman" w:hAnsi="Times New Roman" w:cs="Times New Roman"/>
          <w:color w:val="000000"/>
          <w:sz w:val="20"/>
          <w:szCs w:val="20"/>
        </w:rPr>
        <w:t>substances on a case by case level that cause an equivalent level of concern as CMR or PBT/</w:t>
      </w:r>
      <w:proofErr w:type="spellStart"/>
      <w:r w:rsidRPr="005049BC">
        <w:rPr>
          <w:rFonts w:ascii="Times New Roman" w:hAnsi="Times New Roman" w:cs="Times New Roman"/>
          <w:color w:val="000000"/>
          <w:sz w:val="20"/>
          <w:szCs w:val="20"/>
        </w:rPr>
        <w:t>vPvB</w:t>
      </w:r>
      <w:proofErr w:type="spellEnd"/>
      <w:r w:rsidRPr="005049BC">
        <w:rPr>
          <w:rFonts w:ascii="Times New Roman" w:hAnsi="Times New Roman" w:cs="Times New Roman"/>
          <w:color w:val="000000"/>
          <w:sz w:val="20"/>
          <w:szCs w:val="20"/>
        </w:rPr>
        <w:t xml:space="preserve"> </w:t>
      </w:r>
    </w:p>
    <w:p w14:paraId="6222A5BA" w14:textId="3BEFF5DE" w:rsidR="005710BD" w:rsidRPr="005049BC" w:rsidRDefault="005710BD" w:rsidP="00CE4006">
      <w:pPr>
        <w:shd w:val="clear" w:color="auto" w:fill="FFFFFF"/>
        <w:spacing w:line="264" w:lineRule="auto"/>
        <w:ind w:firstLine="360"/>
        <w:rPr>
          <w:rFonts w:ascii="Times New Roman" w:hAnsi="Times New Roman" w:cs="Times New Roman"/>
          <w:color w:val="000000"/>
          <w:sz w:val="20"/>
          <w:szCs w:val="20"/>
        </w:rPr>
      </w:pPr>
      <w:r w:rsidRPr="005049BC">
        <w:rPr>
          <w:rFonts w:ascii="Times New Roman" w:hAnsi="Times New Roman" w:cs="Times New Roman"/>
          <w:color w:val="000000"/>
          <w:sz w:val="20"/>
          <w:szCs w:val="20"/>
        </w:rPr>
        <w:t xml:space="preserve">Note there are also risk-based prioritization criteria that are used to identify substances for evaluation, i.e. those substances that should be included in the </w:t>
      </w:r>
      <w:proofErr w:type="spellStart"/>
      <w:r w:rsidRPr="005049BC">
        <w:rPr>
          <w:rFonts w:ascii="Times New Roman" w:hAnsi="Times New Roman" w:cs="Times New Roman"/>
          <w:color w:val="000000"/>
          <w:sz w:val="20"/>
          <w:szCs w:val="20"/>
        </w:rPr>
        <w:t>CoRAP</w:t>
      </w:r>
      <w:proofErr w:type="spellEnd"/>
      <w:r w:rsidRPr="005049BC">
        <w:rPr>
          <w:rFonts w:ascii="Times New Roman" w:hAnsi="Times New Roman" w:cs="Times New Roman"/>
          <w:color w:val="000000"/>
          <w:sz w:val="20"/>
          <w:szCs w:val="20"/>
        </w:rPr>
        <w:t xml:space="preserve">, the community rolling action plan. These consider both hazard and exposure aspects. There are several different scenarios covering human health, environmental and endocrine effects (ECHA, </w:t>
      </w:r>
      <w:r w:rsidR="00D2382A" w:rsidRPr="005049BC">
        <w:rPr>
          <w:rFonts w:ascii="Times New Roman" w:hAnsi="Times New Roman" w:cs="Times New Roman"/>
          <w:color w:val="000000"/>
          <w:sz w:val="20"/>
          <w:szCs w:val="20"/>
        </w:rPr>
        <w:t xml:space="preserve">2016; </w:t>
      </w:r>
      <w:r w:rsidRPr="005049BC">
        <w:rPr>
          <w:rFonts w:ascii="Times New Roman" w:hAnsi="Times New Roman" w:cs="Times New Roman"/>
          <w:color w:val="000000"/>
          <w:sz w:val="20"/>
          <w:szCs w:val="20"/>
        </w:rPr>
        <w:t>2017)</w:t>
      </w:r>
      <w:r w:rsidR="00013D83" w:rsidRPr="005049BC">
        <w:rPr>
          <w:rFonts w:ascii="Times New Roman" w:hAnsi="Times New Roman" w:cs="Times New Roman"/>
          <w:color w:val="000000"/>
          <w:sz w:val="20"/>
          <w:szCs w:val="20"/>
        </w:rPr>
        <w:t>.</w:t>
      </w:r>
    </w:p>
    <w:p w14:paraId="6222A5BB" w14:textId="77777777" w:rsidR="005710BD" w:rsidRPr="005049BC" w:rsidRDefault="005710BD" w:rsidP="00CE4006">
      <w:pPr>
        <w:shd w:val="clear" w:color="auto" w:fill="FFFFFF"/>
        <w:spacing w:line="264" w:lineRule="auto"/>
        <w:ind w:left="360"/>
        <w:rPr>
          <w:rFonts w:ascii="Times New Roman" w:hAnsi="Times New Roman" w:cs="Times New Roman"/>
          <w:sz w:val="20"/>
          <w:szCs w:val="20"/>
        </w:rPr>
      </w:pPr>
    </w:p>
    <w:p w14:paraId="6222A5BC" w14:textId="77777777" w:rsidR="00013D83" w:rsidRPr="005049BC" w:rsidRDefault="005710BD" w:rsidP="00CE4006">
      <w:pPr>
        <w:spacing w:line="264" w:lineRule="auto"/>
        <w:rPr>
          <w:rFonts w:ascii="Times New Roman" w:hAnsi="Times New Roman" w:cs="Times New Roman"/>
          <w:b/>
          <w:sz w:val="20"/>
          <w:szCs w:val="20"/>
        </w:rPr>
      </w:pPr>
      <w:r w:rsidRPr="005049BC">
        <w:rPr>
          <w:rFonts w:ascii="Times New Roman" w:hAnsi="Times New Roman" w:cs="Times New Roman"/>
          <w:b/>
          <w:sz w:val="20"/>
          <w:szCs w:val="20"/>
        </w:rPr>
        <w:t xml:space="preserve">2. </w:t>
      </w:r>
      <w:r w:rsidR="00013D83" w:rsidRPr="005049BC">
        <w:rPr>
          <w:rFonts w:ascii="Times New Roman" w:hAnsi="Times New Roman" w:cs="Times New Roman"/>
          <w:b/>
          <w:sz w:val="20"/>
          <w:szCs w:val="20"/>
        </w:rPr>
        <w:t>Research Programs Related to Toxicity Testing in the 21</w:t>
      </w:r>
      <w:r w:rsidR="00013D83" w:rsidRPr="005049BC">
        <w:rPr>
          <w:rFonts w:ascii="Times New Roman" w:hAnsi="Times New Roman" w:cs="Times New Roman"/>
          <w:b/>
          <w:sz w:val="20"/>
          <w:szCs w:val="20"/>
          <w:vertAlign w:val="superscript"/>
        </w:rPr>
        <w:t>st</w:t>
      </w:r>
      <w:r w:rsidR="00013D83" w:rsidRPr="005049BC">
        <w:rPr>
          <w:rFonts w:ascii="Times New Roman" w:hAnsi="Times New Roman" w:cs="Times New Roman"/>
          <w:b/>
          <w:sz w:val="20"/>
          <w:szCs w:val="20"/>
        </w:rPr>
        <w:t xml:space="preserve"> Century</w:t>
      </w:r>
    </w:p>
    <w:p w14:paraId="6222A5BD" w14:textId="5BD4AD1A" w:rsidR="005710BD" w:rsidRPr="005049BC" w:rsidRDefault="00013D83" w:rsidP="00CE4006">
      <w:pPr>
        <w:spacing w:line="264" w:lineRule="auto"/>
        <w:ind w:firstLine="720"/>
        <w:rPr>
          <w:rFonts w:ascii="Times New Roman" w:hAnsi="Times New Roman" w:cs="Times New Roman"/>
          <w:sz w:val="20"/>
          <w:szCs w:val="20"/>
        </w:rPr>
      </w:pPr>
      <w:r w:rsidRPr="005049BC">
        <w:rPr>
          <w:rFonts w:ascii="Times New Roman" w:hAnsi="Times New Roman" w:cs="Times New Roman"/>
          <w:sz w:val="20"/>
          <w:szCs w:val="20"/>
        </w:rPr>
        <w:t xml:space="preserve">In the U.S., </w:t>
      </w:r>
      <w:r w:rsidR="005710BD" w:rsidRPr="005049BC">
        <w:rPr>
          <w:rFonts w:ascii="Times New Roman" w:hAnsi="Times New Roman" w:cs="Times New Roman"/>
          <w:sz w:val="20"/>
          <w:szCs w:val="20"/>
        </w:rPr>
        <w:t>US</w:t>
      </w:r>
      <w:r w:rsidR="00AB603A">
        <w:rPr>
          <w:rFonts w:ascii="Times New Roman" w:hAnsi="Times New Roman" w:cs="Times New Roman"/>
          <w:sz w:val="20"/>
          <w:szCs w:val="20"/>
        </w:rPr>
        <w:t xml:space="preserve"> EPA </w:t>
      </w:r>
      <w:r w:rsidR="005710BD" w:rsidRPr="005049BC">
        <w:rPr>
          <w:rFonts w:ascii="Times New Roman" w:hAnsi="Times New Roman" w:cs="Times New Roman"/>
          <w:sz w:val="20"/>
          <w:szCs w:val="20"/>
        </w:rPr>
        <w:t>initiated the Toxicity Forecaster (</w:t>
      </w:r>
      <w:proofErr w:type="spellStart"/>
      <w:r w:rsidR="005710BD" w:rsidRPr="005049BC">
        <w:rPr>
          <w:rFonts w:ascii="Times New Roman" w:hAnsi="Times New Roman" w:cs="Times New Roman"/>
          <w:sz w:val="20"/>
          <w:szCs w:val="20"/>
        </w:rPr>
        <w:t>ToxCast</w:t>
      </w:r>
      <w:proofErr w:type="spellEnd"/>
      <w:r w:rsidR="005710BD" w:rsidRPr="005049BC">
        <w:rPr>
          <w:rFonts w:ascii="Times New Roman" w:hAnsi="Times New Roman" w:cs="Times New Roman"/>
          <w:sz w:val="20"/>
          <w:szCs w:val="20"/>
        </w:rPr>
        <w:t xml:space="preserve">) program, and then formed the interagency Tox21 consortium involving the EPA, the National Institutes of Health, and the Food and Drug Administration. The </w:t>
      </w:r>
      <w:proofErr w:type="spellStart"/>
      <w:r w:rsidR="005710BD" w:rsidRPr="005049BC">
        <w:rPr>
          <w:rFonts w:ascii="Times New Roman" w:hAnsi="Times New Roman" w:cs="Times New Roman"/>
          <w:sz w:val="20"/>
          <w:szCs w:val="20"/>
        </w:rPr>
        <w:t>ToxCast</w:t>
      </w:r>
      <w:proofErr w:type="spellEnd"/>
      <w:r w:rsidR="005710BD" w:rsidRPr="005049BC">
        <w:rPr>
          <w:rFonts w:ascii="Times New Roman" w:hAnsi="Times New Roman" w:cs="Times New Roman"/>
          <w:sz w:val="20"/>
          <w:szCs w:val="20"/>
        </w:rPr>
        <w:t xml:space="preserve"> program and Tox21 consortium have evaluated over 8,000 chemicals using a broad range of in vitro high-throughput screening (HTS) assays to identify potential hazards through interactions with proteins, pathways, and cellular processes.</w:t>
      </w:r>
      <w:r w:rsidR="00D2382A" w:rsidRPr="005049BC">
        <w:rPr>
          <w:rFonts w:ascii="Times New Roman" w:hAnsi="Times New Roman" w:cs="Times New Roman"/>
          <w:sz w:val="20"/>
          <w:szCs w:val="20"/>
        </w:rPr>
        <w:t xml:space="preserve"> See </w:t>
      </w:r>
      <w:hyperlink r:id="rId10" w:history="1">
        <w:r w:rsidR="00D2382A" w:rsidRPr="005049BC">
          <w:rPr>
            <w:rStyle w:val="Hyperlink"/>
            <w:rFonts w:ascii="Times New Roman" w:hAnsi="Times New Roman" w:cs="Times New Roman"/>
            <w:sz w:val="20"/>
            <w:szCs w:val="20"/>
          </w:rPr>
          <w:t>https://www.epa.gov/chemical-research/toxicity-forecasting</w:t>
        </w:r>
      </w:hyperlink>
      <w:r w:rsidR="00D2382A" w:rsidRPr="005049BC">
        <w:rPr>
          <w:rFonts w:ascii="Times New Roman" w:hAnsi="Times New Roman" w:cs="Times New Roman"/>
          <w:sz w:val="20"/>
          <w:szCs w:val="20"/>
        </w:rPr>
        <w:t xml:space="preserve">. </w:t>
      </w:r>
    </w:p>
    <w:p w14:paraId="6222A5BE" w14:textId="1E1AEB6B" w:rsidR="005710BD" w:rsidRPr="005049BC" w:rsidRDefault="005710BD" w:rsidP="00CE4006">
      <w:pPr>
        <w:spacing w:line="264" w:lineRule="auto"/>
        <w:ind w:firstLine="720"/>
        <w:rPr>
          <w:rFonts w:ascii="Times New Roman" w:hAnsi="Times New Roman" w:cs="Times New Roman"/>
          <w:sz w:val="20"/>
          <w:szCs w:val="20"/>
        </w:rPr>
      </w:pPr>
      <w:r w:rsidRPr="005049BC">
        <w:rPr>
          <w:rFonts w:ascii="Times New Roman" w:hAnsi="Times New Roman" w:cs="Times New Roman"/>
          <w:sz w:val="20"/>
          <w:szCs w:val="20"/>
        </w:rPr>
        <w:t xml:space="preserve">One of the striking aspects of the EU REACH regulation is that it mandated that animal testing should be used as a last resort to address the information requirements and called for alternative approaches to be exploited in accordance with the adaptations laid out in Annex XI. This generated significant momentum resulting in </w:t>
      </w:r>
      <w:proofErr w:type="gramStart"/>
      <w:r w:rsidRPr="005049BC">
        <w:rPr>
          <w:rFonts w:ascii="Times New Roman" w:hAnsi="Times New Roman" w:cs="Times New Roman"/>
          <w:sz w:val="20"/>
          <w:szCs w:val="20"/>
        </w:rPr>
        <w:t>a number of</w:t>
      </w:r>
      <w:proofErr w:type="gramEnd"/>
      <w:r w:rsidRPr="005049BC">
        <w:rPr>
          <w:rFonts w:ascii="Times New Roman" w:hAnsi="Times New Roman" w:cs="Times New Roman"/>
          <w:sz w:val="20"/>
          <w:szCs w:val="20"/>
        </w:rPr>
        <w:t xml:space="preserve"> activities to develop alternatives approaches that could be considered for regulatory purposes. These efforts led to the establishment </w:t>
      </w:r>
      <w:r w:rsidR="00D2382A" w:rsidRPr="005049BC">
        <w:rPr>
          <w:rFonts w:ascii="Times New Roman" w:hAnsi="Times New Roman" w:cs="Times New Roman"/>
          <w:sz w:val="20"/>
          <w:szCs w:val="20"/>
        </w:rPr>
        <w:t xml:space="preserve">in 2004 </w:t>
      </w:r>
      <w:r w:rsidRPr="005049BC">
        <w:rPr>
          <w:rFonts w:ascii="Times New Roman" w:hAnsi="Times New Roman" w:cs="Times New Roman"/>
          <w:sz w:val="20"/>
          <w:szCs w:val="20"/>
        </w:rPr>
        <w:t>of the OECD Principles for the Validation of (Q)SARs (</w:t>
      </w:r>
      <w:hyperlink r:id="rId11" w:history="1">
        <w:r w:rsidR="00D2382A" w:rsidRPr="005049BC">
          <w:rPr>
            <w:rStyle w:val="Hyperlink"/>
            <w:rFonts w:ascii="Times New Roman" w:hAnsi="Times New Roman" w:cs="Times New Roman"/>
            <w:sz w:val="20"/>
            <w:szCs w:val="20"/>
          </w:rPr>
          <w:t>http://www.oecd.org/chemicalsafety/risk-assessment/validationofqsarmodels.htm</w:t>
        </w:r>
      </w:hyperlink>
      <w:r w:rsidR="00D2382A" w:rsidRPr="005049BC">
        <w:rPr>
          <w:rFonts w:ascii="Times New Roman" w:hAnsi="Times New Roman" w:cs="Times New Roman"/>
          <w:sz w:val="20"/>
          <w:szCs w:val="20"/>
        </w:rPr>
        <w:t xml:space="preserve">) followed by an OECD guidance document </w:t>
      </w:r>
      <w:hyperlink r:id="rId12" w:history="1">
        <w:r w:rsidR="00D2382A" w:rsidRPr="005049BC">
          <w:rPr>
            <w:rStyle w:val="Hyperlink"/>
            <w:rFonts w:ascii="Times New Roman" w:hAnsi="Times New Roman" w:cs="Times New Roman"/>
            <w:sz w:val="20"/>
            <w:szCs w:val="20"/>
          </w:rPr>
          <w:t>http://www.oecd.org/officialdocuments/publicdisplaydocumentpdf/?doclanguage=en&amp;cote=env/jm/mono(2007)2</w:t>
        </w:r>
      </w:hyperlink>
      <w:r w:rsidR="00D2382A" w:rsidRPr="005049BC">
        <w:rPr>
          <w:rFonts w:ascii="Times New Roman" w:hAnsi="Times New Roman" w:cs="Times New Roman"/>
          <w:sz w:val="20"/>
          <w:szCs w:val="20"/>
        </w:rPr>
        <w:t xml:space="preserve"> </w:t>
      </w:r>
      <w:r w:rsidRPr="005049BC">
        <w:rPr>
          <w:rFonts w:ascii="Times New Roman" w:hAnsi="Times New Roman" w:cs="Times New Roman"/>
          <w:sz w:val="20"/>
          <w:szCs w:val="20"/>
        </w:rPr>
        <w:t xml:space="preserve">which provided a framework for (Q)SARs to be used to address information requirements as supplemental or in lieu </w:t>
      </w:r>
      <w:r w:rsidRPr="005049BC">
        <w:rPr>
          <w:rFonts w:ascii="Times New Roman" w:hAnsi="Times New Roman" w:cs="Times New Roman"/>
          <w:sz w:val="20"/>
          <w:szCs w:val="20"/>
        </w:rPr>
        <w:lastRenderedPageBreak/>
        <w:t xml:space="preserve">of traditional experimental data. In addition, OECD developed a guidance document (GD No. 211) that describes information to be provided by method developers for non-guideline in vitro methods to help facilitate understanding of data quality and potential utility in regulatory applications (OECD 2014). </w:t>
      </w:r>
    </w:p>
    <w:p w14:paraId="6222A5BF" w14:textId="4D630BEE" w:rsidR="00FE36E3" w:rsidRPr="005049BC" w:rsidRDefault="005710BD" w:rsidP="00CE4006">
      <w:pPr>
        <w:spacing w:line="264" w:lineRule="auto"/>
        <w:ind w:firstLine="720"/>
        <w:rPr>
          <w:rFonts w:ascii="Times New Roman" w:hAnsi="Times New Roman" w:cs="Times New Roman"/>
          <w:sz w:val="20"/>
          <w:szCs w:val="20"/>
        </w:rPr>
      </w:pPr>
      <w:proofErr w:type="gramStart"/>
      <w:r w:rsidRPr="005049BC">
        <w:rPr>
          <w:rFonts w:ascii="Times New Roman" w:hAnsi="Times New Roman" w:cs="Times New Roman"/>
          <w:sz w:val="20"/>
          <w:szCs w:val="20"/>
        </w:rPr>
        <w:t>A number of</w:t>
      </w:r>
      <w:proofErr w:type="gramEnd"/>
      <w:r w:rsidRPr="005049BC">
        <w:rPr>
          <w:rFonts w:ascii="Times New Roman" w:hAnsi="Times New Roman" w:cs="Times New Roman"/>
          <w:sz w:val="20"/>
          <w:szCs w:val="20"/>
        </w:rPr>
        <w:t xml:space="preserve"> EU funded research programs had REACH as a strong focus – shifting towards applied r</w:t>
      </w:r>
      <w:r w:rsidR="00C863F8">
        <w:rPr>
          <w:rFonts w:ascii="Times New Roman" w:hAnsi="Times New Roman" w:cs="Times New Roman"/>
          <w:sz w:val="20"/>
          <w:szCs w:val="20"/>
        </w:rPr>
        <w:t xml:space="preserve">esearch that was aligned with </w:t>
      </w:r>
      <w:r w:rsidRPr="005049BC">
        <w:rPr>
          <w:rFonts w:ascii="Times New Roman" w:hAnsi="Times New Roman" w:cs="Times New Roman"/>
          <w:sz w:val="20"/>
          <w:szCs w:val="20"/>
        </w:rPr>
        <w:t xml:space="preserve">specific regulatory purposes. EU Programs such as the Optimized Strategies for Risk Assessment of Industrial Chemicals through Integration of Non-Test and Test Information (OSIRIS; </w:t>
      </w:r>
      <w:hyperlink r:id="rId13" w:history="1">
        <w:r w:rsidR="00566BB9" w:rsidRPr="005049BC">
          <w:rPr>
            <w:rStyle w:val="Hyperlink"/>
            <w:rFonts w:ascii="Times New Roman" w:hAnsi="Times New Roman" w:cs="Times New Roman"/>
            <w:sz w:val="20"/>
            <w:szCs w:val="20"/>
          </w:rPr>
          <w:t>http://www.seurat-1.eu/</w:t>
        </w:r>
      </w:hyperlink>
      <w:r w:rsidRPr="005049BC">
        <w:rPr>
          <w:rFonts w:ascii="Times New Roman" w:hAnsi="Times New Roman" w:cs="Times New Roman"/>
          <w:sz w:val="20"/>
          <w:szCs w:val="20"/>
        </w:rPr>
        <w:t xml:space="preserve">) focused on development of integrated testing strategies for endpoints (including skin sensitization), a key component for how REACH information requirements were anticipated to be met. The SEURAT-1 program (which was co-funded by Cosmetics Europe) explored strategies to replace repeated dose toxicity studies. The SEURAT-1 program was a </w:t>
      </w:r>
      <w:proofErr w:type="gramStart"/>
      <w:r w:rsidRPr="005049BC">
        <w:rPr>
          <w:rFonts w:ascii="Times New Roman" w:hAnsi="Times New Roman" w:cs="Times New Roman"/>
          <w:sz w:val="20"/>
          <w:szCs w:val="20"/>
        </w:rPr>
        <w:t>particular example</w:t>
      </w:r>
      <w:proofErr w:type="gramEnd"/>
      <w:r w:rsidRPr="005049BC">
        <w:rPr>
          <w:rFonts w:ascii="Times New Roman" w:hAnsi="Times New Roman" w:cs="Times New Roman"/>
          <w:sz w:val="20"/>
          <w:szCs w:val="20"/>
        </w:rPr>
        <w:t xml:space="preserve"> that included a significant read-across component. Templates for structuring and reporting of read-across predictions were developed and applied to a set of repeated dose toxicity case studies to </w:t>
      </w:r>
      <w:proofErr w:type="gramStart"/>
      <w:r w:rsidRPr="005049BC">
        <w:rPr>
          <w:rFonts w:ascii="Times New Roman" w:hAnsi="Times New Roman" w:cs="Times New Roman"/>
          <w:sz w:val="20"/>
          <w:szCs w:val="20"/>
        </w:rPr>
        <w:t>compare and contrast</w:t>
      </w:r>
      <w:proofErr w:type="gramEnd"/>
      <w:r w:rsidRPr="005049BC">
        <w:rPr>
          <w:rFonts w:ascii="Times New Roman" w:hAnsi="Times New Roman" w:cs="Times New Roman"/>
          <w:sz w:val="20"/>
          <w:szCs w:val="20"/>
        </w:rPr>
        <w:t xml:space="preserve"> traditional read-across as well as read-across integrating new approach methodologies (NAM) (Berggren et al, 2015; Schultz et al., 2015; Schultz and Cronin, 2017 and references within). The </w:t>
      </w:r>
      <w:proofErr w:type="spellStart"/>
      <w:r w:rsidRPr="005049BC">
        <w:rPr>
          <w:rFonts w:ascii="Times New Roman" w:hAnsi="Times New Roman" w:cs="Times New Roman"/>
          <w:sz w:val="20"/>
          <w:szCs w:val="20"/>
        </w:rPr>
        <w:t>EUToxRisk</w:t>
      </w:r>
      <w:proofErr w:type="spellEnd"/>
      <w:r w:rsidRPr="005049BC">
        <w:rPr>
          <w:rFonts w:ascii="Times New Roman" w:hAnsi="Times New Roman" w:cs="Times New Roman"/>
          <w:sz w:val="20"/>
          <w:szCs w:val="20"/>
        </w:rPr>
        <w:t xml:space="preserve"> program (http://www.eu-toxrisk.eu/), the successor to SEURAT, also has a strong focus on exploring how new approach methodologies (NAM) can be used to support read-across justifications through a series of different case studies. EU </w:t>
      </w:r>
      <w:proofErr w:type="spellStart"/>
      <w:r w:rsidRPr="005049BC">
        <w:rPr>
          <w:rFonts w:ascii="Times New Roman" w:hAnsi="Times New Roman" w:cs="Times New Roman"/>
          <w:sz w:val="20"/>
          <w:szCs w:val="20"/>
        </w:rPr>
        <w:t>ToxRisk</w:t>
      </w:r>
      <w:proofErr w:type="spellEnd"/>
      <w:r w:rsidRPr="005049BC">
        <w:rPr>
          <w:rFonts w:ascii="Times New Roman" w:hAnsi="Times New Roman" w:cs="Times New Roman"/>
          <w:sz w:val="20"/>
          <w:szCs w:val="20"/>
        </w:rPr>
        <w:t xml:space="preserve"> is focusing on advancing human cell –based assays linked to mechanistic understanding of adverse effect pathways to conduct safety evaluations and assess potential risks.  </w:t>
      </w:r>
    </w:p>
    <w:p w14:paraId="6222A5C0" w14:textId="10708878" w:rsidR="005710BD" w:rsidRPr="005049BC" w:rsidRDefault="00FE36E3" w:rsidP="00CE4006">
      <w:pPr>
        <w:spacing w:line="264" w:lineRule="auto"/>
        <w:ind w:firstLine="720"/>
        <w:rPr>
          <w:rFonts w:ascii="Times New Roman" w:hAnsi="Times New Roman" w:cs="Times New Roman"/>
          <w:sz w:val="20"/>
          <w:szCs w:val="20"/>
        </w:rPr>
      </w:pPr>
      <w:r w:rsidRPr="005049BC">
        <w:rPr>
          <w:rFonts w:ascii="Times New Roman" w:hAnsi="Times New Roman" w:cs="Times New Roman"/>
          <w:color w:val="000000"/>
          <w:sz w:val="20"/>
          <w:szCs w:val="20"/>
        </w:rPr>
        <w:t>Within the OECD, use of HTS and AOPs have been a major focus of study particularly under the auspices of the Task Force on Hazard Assessment (now termed Working Party on Hazard Assessment WPHA) where AOP-informed IATA case studies (OECD 2017</w:t>
      </w:r>
      <w:r w:rsidR="00D779E6" w:rsidRPr="005049BC">
        <w:rPr>
          <w:rFonts w:ascii="Times New Roman" w:hAnsi="Times New Roman" w:cs="Times New Roman"/>
          <w:color w:val="000000"/>
          <w:sz w:val="20"/>
          <w:szCs w:val="20"/>
        </w:rPr>
        <w:t>a</w:t>
      </w:r>
      <w:r w:rsidRPr="005049BC">
        <w:rPr>
          <w:rFonts w:ascii="Times New Roman" w:hAnsi="Times New Roman" w:cs="Times New Roman"/>
          <w:color w:val="000000"/>
          <w:sz w:val="20"/>
          <w:szCs w:val="20"/>
        </w:rPr>
        <w:t>) are being developed by different member countries. Many of case studies published or in progress to date have had a read-across focus but these have utilized HTS outcomes as a means of providing additional mechanistic information. Another focus is the OECD AOP work program itself (OECD 2017</w:t>
      </w:r>
      <w:r w:rsidR="00D779E6" w:rsidRPr="005049BC">
        <w:rPr>
          <w:rFonts w:ascii="Times New Roman" w:hAnsi="Times New Roman" w:cs="Times New Roman"/>
          <w:color w:val="000000"/>
          <w:sz w:val="20"/>
          <w:szCs w:val="20"/>
        </w:rPr>
        <w:t>b</w:t>
      </w:r>
      <w:r w:rsidRPr="005049BC">
        <w:rPr>
          <w:rFonts w:ascii="Times New Roman" w:hAnsi="Times New Roman" w:cs="Times New Roman"/>
          <w:color w:val="000000"/>
          <w:sz w:val="20"/>
          <w:szCs w:val="20"/>
        </w:rPr>
        <w:t>) which is developing AOPs for inclusion into the AOP Wiki (https://aopwiki.org/) and the AOP knowledge base (http://aopkb.org/)), as well as investigating the extent to which HTS assays as well as other non-guideline tests can be mapped to key events within AOPs. Indeed, OECD Guidance Document No. 211 (OECD 2014) describes how such assays should be described and documented.</w:t>
      </w:r>
    </w:p>
    <w:p w14:paraId="73210191" w14:textId="77777777" w:rsidR="00CE4006" w:rsidRPr="005049BC" w:rsidRDefault="00CE4006" w:rsidP="00D2382A">
      <w:pPr>
        <w:pStyle w:val="NoSpacing"/>
        <w:rPr>
          <w:rFonts w:ascii="Times New Roman" w:hAnsi="Times New Roman" w:cs="Times New Roman"/>
          <w:sz w:val="20"/>
          <w:szCs w:val="20"/>
          <w:u w:val="single"/>
        </w:rPr>
      </w:pPr>
      <w:r w:rsidRPr="005049BC">
        <w:rPr>
          <w:rFonts w:ascii="Times New Roman" w:hAnsi="Times New Roman" w:cs="Times New Roman"/>
          <w:sz w:val="20"/>
          <w:szCs w:val="20"/>
          <w:u w:val="single"/>
        </w:rPr>
        <w:t>References</w:t>
      </w:r>
    </w:p>
    <w:p w14:paraId="657822AE" w14:textId="5445FD81" w:rsidR="00566BB9" w:rsidRPr="005049BC" w:rsidRDefault="00566BB9"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 xml:space="preserve">Berggren E et al. 2015. Chemical safety assessment using read-across: assessing the use of novel testing methods to strengthen the evidence base for decision making. Environ Health </w:t>
      </w:r>
      <w:proofErr w:type="spellStart"/>
      <w:r w:rsidRPr="005049BC">
        <w:rPr>
          <w:rFonts w:ascii="Times New Roman" w:hAnsi="Times New Roman" w:cs="Times New Roman"/>
          <w:sz w:val="20"/>
          <w:szCs w:val="20"/>
        </w:rPr>
        <w:t>Perspect</w:t>
      </w:r>
      <w:proofErr w:type="spellEnd"/>
      <w:r w:rsidRPr="005049BC">
        <w:rPr>
          <w:rFonts w:ascii="Times New Roman" w:hAnsi="Times New Roman" w:cs="Times New Roman"/>
          <w:sz w:val="20"/>
          <w:szCs w:val="20"/>
        </w:rPr>
        <w:t>. 123: 1232-1240.</w:t>
      </w:r>
    </w:p>
    <w:p w14:paraId="7F0ED2DE" w14:textId="77777777" w:rsidR="00566BB9" w:rsidRPr="005049BC" w:rsidRDefault="00566BB9" w:rsidP="00D2382A">
      <w:pPr>
        <w:pStyle w:val="NoSpacing"/>
        <w:rPr>
          <w:rFonts w:ascii="Times New Roman" w:hAnsi="Times New Roman" w:cs="Times New Roman"/>
          <w:sz w:val="20"/>
          <w:szCs w:val="20"/>
        </w:rPr>
      </w:pPr>
    </w:p>
    <w:p w14:paraId="62AA8718" w14:textId="4CD76A1E" w:rsidR="00D2382A" w:rsidRPr="005049BC" w:rsidRDefault="00D2382A"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ECHA (European Chemicals Agency). 2016. Guidance on Information Requirements and Chemical Safety Assessment, Chapter R.15: Consumer exposure assessment (Version 3.0). https://echa.europa.eu/documents/10162/13632/information_requirements_r15_en.pdf [accessed 21 January 2018].</w:t>
      </w:r>
    </w:p>
    <w:p w14:paraId="430D8281" w14:textId="77777777" w:rsidR="00D2382A" w:rsidRPr="005049BC" w:rsidRDefault="00D2382A" w:rsidP="00D2382A">
      <w:pPr>
        <w:pStyle w:val="NoSpacing"/>
        <w:rPr>
          <w:rFonts w:ascii="Times New Roman" w:hAnsi="Times New Roman" w:cs="Times New Roman"/>
          <w:sz w:val="20"/>
          <w:szCs w:val="20"/>
        </w:rPr>
      </w:pPr>
    </w:p>
    <w:p w14:paraId="57F701EF" w14:textId="77777777" w:rsidR="00D2382A" w:rsidRPr="005049BC" w:rsidRDefault="00D2382A"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ECHA (European Chemicals Agency). 2017. Screening Definition Document. Scenarios to be Implemented for Searching Potential Substances of Concern for Substance Evaluation and Regulatory Risk Management. https://echa.europa.eu/documents/10162/19126370/screening_definition_document_en.pdf [accessed 21 January 2018</w:t>
      </w:r>
      <w:proofErr w:type="gramStart"/>
      <w:r w:rsidRPr="005049BC">
        <w:rPr>
          <w:rFonts w:ascii="Times New Roman" w:hAnsi="Times New Roman" w:cs="Times New Roman"/>
          <w:sz w:val="20"/>
          <w:szCs w:val="20"/>
        </w:rPr>
        <w:t>].Health</w:t>
      </w:r>
      <w:proofErr w:type="gramEnd"/>
      <w:r w:rsidRPr="005049BC">
        <w:rPr>
          <w:rFonts w:ascii="Times New Roman" w:hAnsi="Times New Roman" w:cs="Times New Roman"/>
          <w:sz w:val="20"/>
          <w:szCs w:val="20"/>
        </w:rPr>
        <w:t xml:space="preserve"> Canada. 2017. Overview of the Chemicals Management Plan. https://www.canada.ca/en/health-canada/services/chemical-substances/fact-sheets/overview-chemicals-management-plan.html. [accessed 21 January 2018].</w:t>
      </w:r>
    </w:p>
    <w:p w14:paraId="62B6BFAB" w14:textId="77777777" w:rsidR="00D2382A" w:rsidRPr="005049BC" w:rsidRDefault="00D2382A" w:rsidP="00D2382A">
      <w:pPr>
        <w:pStyle w:val="NoSpacing"/>
        <w:rPr>
          <w:rFonts w:ascii="Times New Roman" w:hAnsi="Times New Roman" w:cs="Times New Roman"/>
          <w:sz w:val="20"/>
          <w:szCs w:val="20"/>
        </w:rPr>
      </w:pPr>
    </w:p>
    <w:p w14:paraId="6EC83995" w14:textId="3A1214DA" w:rsidR="00D2382A" w:rsidRPr="005049BC" w:rsidRDefault="00D2382A"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 xml:space="preserve">Health Canada. 2017. Overview of the Chemicals Management Plan. </w:t>
      </w:r>
      <w:hyperlink r:id="rId14" w:history="1">
        <w:r w:rsidRPr="005049BC">
          <w:rPr>
            <w:rStyle w:val="Hyperlink"/>
            <w:rFonts w:ascii="Times New Roman" w:hAnsi="Times New Roman" w:cs="Times New Roman"/>
            <w:sz w:val="20"/>
            <w:szCs w:val="20"/>
          </w:rPr>
          <w:t>https://www.canada.ca/en/health-canada/services/chemical-substances/fact-sheets/overview-chemicals-management-plan.html</w:t>
        </w:r>
      </w:hyperlink>
      <w:r w:rsidRPr="005049BC">
        <w:rPr>
          <w:rFonts w:ascii="Times New Roman" w:hAnsi="Times New Roman" w:cs="Times New Roman"/>
          <w:sz w:val="20"/>
          <w:szCs w:val="20"/>
        </w:rPr>
        <w:t>.</w:t>
      </w:r>
    </w:p>
    <w:p w14:paraId="1255EAB0" w14:textId="77777777" w:rsidR="00D2382A" w:rsidRPr="005049BC" w:rsidRDefault="00D2382A" w:rsidP="00D2382A">
      <w:pPr>
        <w:spacing w:line="240" w:lineRule="auto"/>
        <w:rPr>
          <w:rFonts w:ascii="Times New Roman" w:hAnsi="Times New Roman" w:cs="Times New Roman"/>
          <w:sz w:val="20"/>
          <w:szCs w:val="20"/>
        </w:rPr>
      </w:pPr>
    </w:p>
    <w:p w14:paraId="149195D1" w14:textId="77777777" w:rsidR="00D2382A" w:rsidRPr="005049BC" w:rsidRDefault="00D2382A" w:rsidP="00D2382A">
      <w:pPr>
        <w:spacing w:line="240" w:lineRule="auto"/>
        <w:rPr>
          <w:rFonts w:ascii="Times New Roman" w:hAnsi="Times New Roman" w:cs="Times New Roman"/>
          <w:sz w:val="20"/>
          <w:szCs w:val="20"/>
        </w:rPr>
      </w:pPr>
      <w:r w:rsidRPr="005049BC">
        <w:rPr>
          <w:rFonts w:ascii="Times New Roman" w:hAnsi="Times New Roman" w:cs="Times New Roman"/>
          <w:sz w:val="20"/>
          <w:szCs w:val="20"/>
        </w:rPr>
        <w:t xml:space="preserve">NICNAS (Australian Government, Dept. of Health, National Industrial Chemicals Notification and Assessment Scheme, </w:t>
      </w:r>
      <w:r w:rsidRPr="005049BC">
        <w:rPr>
          <w:rFonts w:ascii="Times New Roman" w:hAnsi="Times New Roman" w:cs="Times New Roman"/>
          <w:color w:val="262626"/>
          <w:sz w:val="20"/>
          <w:szCs w:val="20"/>
        </w:rPr>
        <w:t>Inventory Multi-</w:t>
      </w:r>
      <w:proofErr w:type="gramStart"/>
      <w:r w:rsidRPr="005049BC">
        <w:rPr>
          <w:rFonts w:ascii="Times New Roman" w:hAnsi="Times New Roman" w:cs="Times New Roman"/>
          <w:color w:val="262626"/>
          <w:sz w:val="20"/>
          <w:szCs w:val="20"/>
        </w:rPr>
        <w:t>tiered</w:t>
      </w:r>
      <w:proofErr w:type="gramEnd"/>
      <w:r w:rsidRPr="005049BC">
        <w:rPr>
          <w:rFonts w:ascii="Times New Roman" w:hAnsi="Times New Roman" w:cs="Times New Roman"/>
          <w:color w:val="262626"/>
          <w:sz w:val="20"/>
          <w:szCs w:val="20"/>
        </w:rPr>
        <w:t xml:space="preserve"> Assessment and </w:t>
      </w:r>
      <w:proofErr w:type="spellStart"/>
      <w:r w:rsidRPr="005049BC">
        <w:rPr>
          <w:rFonts w:ascii="Times New Roman" w:hAnsi="Times New Roman" w:cs="Times New Roman"/>
          <w:color w:val="262626"/>
          <w:sz w:val="20"/>
          <w:szCs w:val="20"/>
        </w:rPr>
        <w:t>Prioritisation</w:t>
      </w:r>
      <w:proofErr w:type="spellEnd"/>
      <w:r w:rsidRPr="005049BC">
        <w:rPr>
          <w:rFonts w:ascii="Times New Roman" w:hAnsi="Times New Roman" w:cs="Times New Roman"/>
          <w:color w:val="262626"/>
          <w:sz w:val="20"/>
          <w:szCs w:val="20"/>
        </w:rPr>
        <w:t xml:space="preserve"> (IMAP) framework</w:t>
      </w:r>
      <w:r w:rsidRPr="005049BC">
        <w:rPr>
          <w:rFonts w:ascii="Times New Roman" w:hAnsi="Times New Roman" w:cs="Times New Roman"/>
          <w:sz w:val="20"/>
          <w:szCs w:val="20"/>
        </w:rPr>
        <w:t xml:space="preserve">). 2016. </w:t>
      </w:r>
      <w:hyperlink r:id="rId15" w:history="1">
        <w:r w:rsidRPr="005049BC">
          <w:rPr>
            <w:rFonts w:ascii="Times New Roman" w:hAnsi="Times New Roman" w:cs="Times New Roman"/>
            <w:color w:val="0563C1" w:themeColor="hyperlink"/>
            <w:sz w:val="20"/>
            <w:szCs w:val="20"/>
            <w:u w:val="single"/>
          </w:rPr>
          <w:t>https://www.nicnas.gov.au/chemical-information/imap-assessments/what-is-imap</w:t>
        </w:r>
      </w:hyperlink>
      <w:r w:rsidRPr="005049BC">
        <w:rPr>
          <w:rFonts w:ascii="Times New Roman" w:hAnsi="Times New Roman" w:cs="Times New Roman"/>
          <w:sz w:val="20"/>
          <w:szCs w:val="20"/>
        </w:rPr>
        <w:t>. [accessed 21 January 2018].</w:t>
      </w:r>
    </w:p>
    <w:p w14:paraId="107A5D90" w14:textId="77777777" w:rsidR="00D2382A" w:rsidRPr="005049BC" w:rsidRDefault="00D2382A"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 xml:space="preserve">OECD 2014 Guidance Document for Describing Non-Guideline In Vitro Test Methods. Series on Testing and Assessment, No. 211. </w:t>
      </w:r>
      <w:r w:rsidRPr="005049BC">
        <w:rPr>
          <w:rFonts w:ascii="Times New Roman" w:hAnsi="Times New Roman" w:cs="Times New Roman"/>
          <w:sz w:val="20"/>
          <w:szCs w:val="20"/>
        </w:rPr>
        <w:lastRenderedPageBreak/>
        <w:t>http://www.oecd.org/officialdocuments/publicdisplaydocumentpdf/?cote=ENV/JM/MONO(2014)35&amp;doclanguage=en [accessed 21 January 2018].</w:t>
      </w:r>
    </w:p>
    <w:p w14:paraId="41641223" w14:textId="77777777" w:rsidR="00D2382A" w:rsidRPr="005049BC" w:rsidRDefault="00D2382A" w:rsidP="00D2382A">
      <w:pPr>
        <w:pStyle w:val="NoSpacing"/>
        <w:rPr>
          <w:rFonts w:ascii="Times New Roman" w:hAnsi="Times New Roman" w:cs="Times New Roman"/>
          <w:sz w:val="20"/>
          <w:szCs w:val="20"/>
        </w:rPr>
      </w:pPr>
    </w:p>
    <w:p w14:paraId="55C67F85" w14:textId="77777777" w:rsidR="00D779E6" w:rsidRPr="005049BC" w:rsidRDefault="00D779E6"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OECD 2017a. Integrated Approaches to Testing and Assessment (IATA) http://www.oecd.org/chemicalsafety/risk-assessment/iata-integrated-approaches-to-testing-and-assessment.htm [accessed 21 January 2018].</w:t>
      </w:r>
    </w:p>
    <w:p w14:paraId="7B7B95DA" w14:textId="77777777" w:rsidR="00D779E6" w:rsidRPr="005049BC" w:rsidRDefault="00D779E6" w:rsidP="00D2382A">
      <w:pPr>
        <w:pStyle w:val="NoSpacing"/>
        <w:rPr>
          <w:rFonts w:ascii="Times New Roman" w:hAnsi="Times New Roman" w:cs="Times New Roman"/>
          <w:sz w:val="20"/>
          <w:szCs w:val="20"/>
        </w:rPr>
      </w:pPr>
    </w:p>
    <w:p w14:paraId="3718A4BA" w14:textId="3B16F9D8" w:rsidR="00D2382A" w:rsidRPr="005049BC" w:rsidRDefault="00D2382A" w:rsidP="00D2382A">
      <w:pPr>
        <w:pStyle w:val="NoSpacing"/>
        <w:rPr>
          <w:rFonts w:ascii="Times New Roman" w:hAnsi="Times New Roman" w:cs="Times New Roman"/>
          <w:sz w:val="20"/>
          <w:szCs w:val="20"/>
        </w:rPr>
      </w:pPr>
      <w:r w:rsidRPr="005049BC">
        <w:rPr>
          <w:rFonts w:ascii="Times New Roman" w:hAnsi="Times New Roman" w:cs="Times New Roman"/>
          <w:sz w:val="20"/>
          <w:szCs w:val="20"/>
        </w:rPr>
        <w:t>OECD 2017</w:t>
      </w:r>
      <w:r w:rsidR="00D779E6" w:rsidRPr="005049BC">
        <w:rPr>
          <w:rFonts w:ascii="Times New Roman" w:hAnsi="Times New Roman" w:cs="Times New Roman"/>
          <w:sz w:val="20"/>
          <w:szCs w:val="20"/>
        </w:rPr>
        <w:t>b</w:t>
      </w:r>
      <w:r w:rsidRPr="005049BC">
        <w:rPr>
          <w:rFonts w:ascii="Times New Roman" w:hAnsi="Times New Roman" w:cs="Times New Roman"/>
          <w:sz w:val="20"/>
          <w:szCs w:val="20"/>
        </w:rPr>
        <w:t xml:space="preserve">. Adverse Outcome Pathways, Molecular Screening and </w:t>
      </w:r>
      <w:proofErr w:type="spellStart"/>
      <w:r w:rsidRPr="005049BC">
        <w:rPr>
          <w:rFonts w:ascii="Times New Roman" w:hAnsi="Times New Roman" w:cs="Times New Roman"/>
          <w:sz w:val="20"/>
          <w:szCs w:val="20"/>
        </w:rPr>
        <w:t>Toxicogenomics</w:t>
      </w:r>
      <w:proofErr w:type="spellEnd"/>
      <w:r w:rsidRPr="005049BC">
        <w:rPr>
          <w:rFonts w:ascii="Times New Roman" w:hAnsi="Times New Roman" w:cs="Times New Roman"/>
          <w:sz w:val="20"/>
          <w:szCs w:val="20"/>
        </w:rPr>
        <w:t>.  http://www.oecd.org/chemicalsafety/testing/adverse-outcome-pathways-molecular-screening-and-toxicogenomics.htm [accessed 21 January 2018].</w:t>
      </w:r>
    </w:p>
    <w:p w14:paraId="47744F82" w14:textId="77777777" w:rsidR="00D2382A" w:rsidRPr="005049BC" w:rsidRDefault="00D2382A" w:rsidP="00D2382A">
      <w:pPr>
        <w:pStyle w:val="NoSpacing"/>
        <w:rPr>
          <w:rFonts w:ascii="Times New Roman" w:hAnsi="Times New Roman" w:cs="Times New Roman"/>
          <w:sz w:val="20"/>
          <w:szCs w:val="20"/>
        </w:rPr>
      </w:pPr>
    </w:p>
    <w:p w14:paraId="497FF368" w14:textId="77777777" w:rsidR="00566BB9" w:rsidRPr="005049BC" w:rsidRDefault="00566BB9" w:rsidP="00566BB9">
      <w:pPr>
        <w:spacing w:after="0" w:line="240" w:lineRule="auto"/>
        <w:rPr>
          <w:rFonts w:ascii="Times New Roman" w:hAnsi="Times New Roman" w:cs="Times New Roman"/>
          <w:sz w:val="20"/>
          <w:szCs w:val="20"/>
        </w:rPr>
      </w:pPr>
      <w:r w:rsidRPr="005049BC">
        <w:rPr>
          <w:rFonts w:ascii="Times New Roman" w:hAnsi="Times New Roman" w:cs="Times New Roman"/>
          <w:sz w:val="20"/>
          <w:szCs w:val="20"/>
        </w:rPr>
        <w:t xml:space="preserve">Schultz TW et al. 2015. A strategy for structuring and reporting a read-across prediction of toxicity. </w:t>
      </w:r>
      <w:proofErr w:type="spellStart"/>
      <w:r w:rsidRPr="005049BC">
        <w:rPr>
          <w:rFonts w:ascii="Times New Roman" w:hAnsi="Times New Roman" w:cs="Times New Roman"/>
          <w:sz w:val="20"/>
          <w:szCs w:val="20"/>
        </w:rPr>
        <w:t>Regul</w:t>
      </w:r>
      <w:proofErr w:type="spellEnd"/>
      <w:r w:rsidRPr="005049BC">
        <w:rPr>
          <w:rFonts w:ascii="Times New Roman" w:hAnsi="Times New Roman" w:cs="Times New Roman"/>
          <w:sz w:val="20"/>
          <w:szCs w:val="20"/>
        </w:rPr>
        <w:t xml:space="preserve">. </w:t>
      </w:r>
      <w:proofErr w:type="spellStart"/>
      <w:r w:rsidRPr="005049BC">
        <w:rPr>
          <w:rFonts w:ascii="Times New Roman" w:hAnsi="Times New Roman" w:cs="Times New Roman"/>
          <w:sz w:val="20"/>
          <w:szCs w:val="20"/>
        </w:rPr>
        <w:t>Toxicol</w:t>
      </w:r>
      <w:proofErr w:type="spellEnd"/>
      <w:r w:rsidRPr="005049BC">
        <w:rPr>
          <w:rFonts w:ascii="Times New Roman" w:hAnsi="Times New Roman" w:cs="Times New Roman"/>
          <w:sz w:val="20"/>
          <w:szCs w:val="20"/>
        </w:rPr>
        <w:t xml:space="preserve">. </w:t>
      </w:r>
      <w:proofErr w:type="spellStart"/>
      <w:r w:rsidRPr="005049BC">
        <w:rPr>
          <w:rFonts w:ascii="Times New Roman" w:hAnsi="Times New Roman" w:cs="Times New Roman"/>
          <w:sz w:val="20"/>
          <w:szCs w:val="20"/>
        </w:rPr>
        <w:t>Pharmacol</w:t>
      </w:r>
      <w:proofErr w:type="spellEnd"/>
      <w:r w:rsidRPr="005049BC">
        <w:rPr>
          <w:rFonts w:ascii="Times New Roman" w:hAnsi="Times New Roman" w:cs="Times New Roman"/>
          <w:sz w:val="20"/>
          <w:szCs w:val="20"/>
        </w:rPr>
        <w:t>. 72: 586-601.</w:t>
      </w:r>
    </w:p>
    <w:p w14:paraId="4CA9B918" w14:textId="77777777" w:rsidR="00566BB9" w:rsidRPr="005049BC" w:rsidRDefault="00566BB9" w:rsidP="00566BB9">
      <w:pPr>
        <w:spacing w:line="240" w:lineRule="auto"/>
        <w:rPr>
          <w:rFonts w:ascii="Times New Roman" w:hAnsi="Times New Roman" w:cs="Times New Roman"/>
          <w:sz w:val="20"/>
          <w:szCs w:val="20"/>
        </w:rPr>
      </w:pPr>
    </w:p>
    <w:p w14:paraId="262E9F2B" w14:textId="77777777" w:rsidR="00566BB9" w:rsidRPr="005049BC" w:rsidRDefault="00566BB9" w:rsidP="00566BB9">
      <w:pPr>
        <w:spacing w:line="240" w:lineRule="auto"/>
        <w:rPr>
          <w:rFonts w:ascii="Times New Roman" w:hAnsi="Times New Roman" w:cs="Times New Roman"/>
          <w:sz w:val="20"/>
          <w:szCs w:val="20"/>
        </w:rPr>
      </w:pPr>
      <w:r w:rsidRPr="005049BC">
        <w:rPr>
          <w:rFonts w:ascii="Times New Roman" w:hAnsi="Times New Roman" w:cs="Times New Roman"/>
          <w:sz w:val="20"/>
          <w:szCs w:val="20"/>
        </w:rPr>
        <w:t xml:space="preserve">Schultz TW and Cronin MTD.  2017. Lessons learned from read-across case studies for repeated-dose toxicity. </w:t>
      </w:r>
      <w:proofErr w:type="spellStart"/>
      <w:r w:rsidRPr="005049BC">
        <w:rPr>
          <w:rFonts w:ascii="Times New Roman" w:hAnsi="Times New Roman" w:cs="Times New Roman"/>
          <w:sz w:val="20"/>
          <w:szCs w:val="20"/>
        </w:rPr>
        <w:t>Regul</w:t>
      </w:r>
      <w:proofErr w:type="spellEnd"/>
      <w:r w:rsidRPr="005049BC">
        <w:rPr>
          <w:rFonts w:ascii="Times New Roman" w:hAnsi="Times New Roman" w:cs="Times New Roman"/>
          <w:sz w:val="20"/>
          <w:szCs w:val="20"/>
        </w:rPr>
        <w:t xml:space="preserve"> </w:t>
      </w:r>
      <w:proofErr w:type="spellStart"/>
      <w:r w:rsidRPr="005049BC">
        <w:rPr>
          <w:rFonts w:ascii="Times New Roman" w:hAnsi="Times New Roman" w:cs="Times New Roman"/>
          <w:sz w:val="20"/>
          <w:szCs w:val="20"/>
        </w:rPr>
        <w:t>Toxicol</w:t>
      </w:r>
      <w:proofErr w:type="spellEnd"/>
      <w:r w:rsidRPr="005049BC">
        <w:rPr>
          <w:rFonts w:ascii="Times New Roman" w:hAnsi="Times New Roman" w:cs="Times New Roman"/>
          <w:sz w:val="20"/>
          <w:szCs w:val="20"/>
        </w:rPr>
        <w:t xml:space="preserve"> </w:t>
      </w:r>
      <w:proofErr w:type="spellStart"/>
      <w:r w:rsidRPr="005049BC">
        <w:rPr>
          <w:rFonts w:ascii="Times New Roman" w:hAnsi="Times New Roman" w:cs="Times New Roman"/>
          <w:sz w:val="20"/>
          <w:szCs w:val="20"/>
        </w:rPr>
        <w:t>Pharmacol</w:t>
      </w:r>
      <w:proofErr w:type="spellEnd"/>
      <w:r w:rsidRPr="005049BC">
        <w:rPr>
          <w:rFonts w:ascii="Times New Roman" w:hAnsi="Times New Roman" w:cs="Times New Roman"/>
          <w:sz w:val="20"/>
          <w:szCs w:val="20"/>
        </w:rPr>
        <w:t xml:space="preserve">. 88: 185-191.  </w:t>
      </w:r>
    </w:p>
    <w:p w14:paraId="3974B91C" w14:textId="21A4FC4E" w:rsidR="00E65387" w:rsidRPr="005049BC" w:rsidRDefault="00E65387">
      <w:pPr>
        <w:rPr>
          <w:rFonts w:ascii="Times New Roman" w:hAnsi="Times New Roman" w:cs="Times New Roman"/>
          <w:sz w:val="20"/>
          <w:szCs w:val="20"/>
        </w:rPr>
      </w:pPr>
      <w:r w:rsidRPr="005049BC">
        <w:rPr>
          <w:rFonts w:ascii="Times New Roman" w:hAnsi="Times New Roman" w:cs="Times New Roman"/>
          <w:sz w:val="20"/>
          <w:szCs w:val="20"/>
        </w:rPr>
        <w:br w:type="page"/>
      </w:r>
    </w:p>
    <w:p w14:paraId="3CFBE4E1" w14:textId="77777777" w:rsidR="00397036" w:rsidRPr="005049BC" w:rsidRDefault="00397036">
      <w:pPr>
        <w:rPr>
          <w:rFonts w:ascii="Times New Roman" w:hAnsi="Times New Roman" w:cs="Times New Roman"/>
          <w:b/>
          <w:sz w:val="20"/>
          <w:szCs w:val="20"/>
        </w:rPr>
      </w:pPr>
      <w:r w:rsidRPr="005049BC">
        <w:rPr>
          <w:rFonts w:ascii="Times New Roman" w:hAnsi="Times New Roman" w:cs="Times New Roman"/>
          <w:b/>
          <w:sz w:val="20"/>
          <w:szCs w:val="20"/>
        </w:rPr>
        <w:lastRenderedPageBreak/>
        <w:t>Analyzing the dataset through the TTC workflow as outlined in Figure 2</w:t>
      </w:r>
    </w:p>
    <w:p w14:paraId="112930F2" w14:textId="77777777" w:rsidR="00397036" w:rsidRPr="005049BC" w:rsidRDefault="00397036">
      <w:pPr>
        <w:rPr>
          <w:rFonts w:ascii="Times New Roman" w:hAnsi="Times New Roman" w:cs="Times New Roman"/>
          <w:b/>
          <w:sz w:val="20"/>
          <w:szCs w:val="20"/>
        </w:rPr>
      </w:pPr>
    </w:p>
    <w:p w14:paraId="19C38628" w14:textId="77777777" w:rsidR="00CD226D" w:rsidRPr="005049BC" w:rsidRDefault="00CD226D" w:rsidP="005049BC">
      <w:pPr>
        <w:spacing w:line="480" w:lineRule="auto"/>
        <w:jc w:val="both"/>
        <w:rPr>
          <w:rFonts w:ascii="Times New Roman" w:eastAsia="Times New Roman" w:hAnsi="Times New Roman" w:cs="Times New Roman"/>
          <w:color w:val="000000"/>
          <w:sz w:val="20"/>
          <w:szCs w:val="20"/>
        </w:rPr>
      </w:pPr>
      <w:r w:rsidRPr="005049BC">
        <w:rPr>
          <w:rFonts w:ascii="Times New Roman" w:eastAsia="Times New Roman" w:hAnsi="Times New Roman" w:cs="Times New Roman"/>
          <w:color w:val="000000"/>
          <w:sz w:val="20"/>
          <w:szCs w:val="20"/>
        </w:rPr>
        <w:t xml:space="preserve">Chemical structures were available for 7699 substances in the dataset as extracted from </w:t>
      </w:r>
      <w:proofErr w:type="spellStart"/>
      <w:r w:rsidRPr="005049BC">
        <w:rPr>
          <w:rFonts w:ascii="Times New Roman" w:eastAsia="Times New Roman" w:hAnsi="Times New Roman" w:cs="Times New Roman"/>
          <w:color w:val="000000"/>
          <w:sz w:val="20"/>
          <w:szCs w:val="20"/>
        </w:rPr>
        <w:t>DSSTox</w:t>
      </w:r>
      <w:proofErr w:type="spellEnd"/>
      <w:r w:rsidRPr="005049BC">
        <w:rPr>
          <w:rFonts w:ascii="Times New Roman" w:eastAsia="Times New Roman" w:hAnsi="Times New Roman" w:cs="Times New Roman"/>
          <w:color w:val="000000"/>
          <w:sz w:val="20"/>
          <w:szCs w:val="20"/>
        </w:rPr>
        <w:t xml:space="preserve"> within the EPA </w:t>
      </w:r>
      <w:proofErr w:type="spellStart"/>
      <w:r w:rsidRPr="005049BC">
        <w:rPr>
          <w:rFonts w:ascii="Times New Roman" w:eastAsia="Times New Roman" w:hAnsi="Times New Roman" w:cs="Times New Roman"/>
          <w:color w:val="000000"/>
          <w:sz w:val="20"/>
          <w:szCs w:val="20"/>
        </w:rPr>
        <w:t>CompTox</w:t>
      </w:r>
      <w:proofErr w:type="spellEnd"/>
      <w:r w:rsidRPr="005049BC">
        <w:rPr>
          <w:rFonts w:ascii="Times New Roman" w:eastAsia="Times New Roman" w:hAnsi="Times New Roman" w:cs="Times New Roman"/>
          <w:color w:val="000000"/>
          <w:sz w:val="20"/>
          <w:szCs w:val="20"/>
        </w:rPr>
        <w:t xml:space="preserve"> dashboard (https://comptox.epa.gov/dashboard). </w:t>
      </w:r>
    </w:p>
    <w:p w14:paraId="49607641" w14:textId="4D5A8A76" w:rsidR="00CD226D" w:rsidRPr="005049BC" w:rsidRDefault="00CD226D" w:rsidP="005049BC">
      <w:pPr>
        <w:spacing w:line="480" w:lineRule="auto"/>
        <w:jc w:val="both"/>
        <w:rPr>
          <w:rFonts w:ascii="Times New Roman" w:eastAsia="Times New Roman" w:hAnsi="Times New Roman" w:cs="Times New Roman"/>
          <w:color w:val="000000"/>
          <w:sz w:val="20"/>
          <w:szCs w:val="20"/>
        </w:rPr>
      </w:pPr>
      <w:r w:rsidRPr="00CD226D">
        <w:rPr>
          <w:rFonts w:ascii="Times New Roman" w:eastAsia="Times New Roman" w:hAnsi="Times New Roman" w:cs="Times New Roman"/>
          <w:color w:val="000000"/>
          <w:sz w:val="20"/>
          <w:szCs w:val="20"/>
        </w:rPr>
        <w:t>Filters were used to identify and exclude dioxin-like substances, metals, mixtures, salts, high potency carcinogens, and steroids</w:t>
      </w:r>
      <w:r w:rsidRPr="00CD226D" w:rsidDel="00343ABE">
        <w:rPr>
          <w:rFonts w:ascii="Times New Roman" w:eastAsia="Times New Roman" w:hAnsi="Times New Roman" w:cs="Times New Roman"/>
          <w:color w:val="000000"/>
          <w:sz w:val="20"/>
          <w:szCs w:val="20"/>
        </w:rPr>
        <w:t xml:space="preserve"> </w:t>
      </w:r>
      <w:r w:rsidRPr="00CD226D">
        <w:rPr>
          <w:rFonts w:ascii="Times New Roman" w:eastAsia="Times New Roman" w:hAnsi="Times New Roman" w:cs="Times New Roman"/>
          <w:color w:val="000000"/>
          <w:sz w:val="20"/>
          <w:szCs w:val="20"/>
        </w:rPr>
        <w:t xml:space="preserve">from the set of 7699 substances. </w:t>
      </w:r>
      <w:r w:rsidRPr="005049BC">
        <w:rPr>
          <w:rFonts w:ascii="Times New Roman" w:eastAsia="Times New Roman" w:hAnsi="Times New Roman" w:cs="Times New Roman"/>
          <w:color w:val="000000"/>
          <w:sz w:val="20"/>
          <w:szCs w:val="20"/>
        </w:rPr>
        <w:t xml:space="preserve">Inorganics, </w:t>
      </w:r>
      <w:proofErr w:type="spellStart"/>
      <w:r w:rsidRPr="005049BC">
        <w:rPr>
          <w:rFonts w:ascii="Times New Roman" w:eastAsia="Times New Roman" w:hAnsi="Times New Roman" w:cs="Times New Roman"/>
          <w:color w:val="000000"/>
          <w:sz w:val="20"/>
          <w:szCs w:val="20"/>
        </w:rPr>
        <w:t>bioaccumulative</w:t>
      </w:r>
      <w:proofErr w:type="spellEnd"/>
      <w:r w:rsidRPr="005049BC">
        <w:rPr>
          <w:rFonts w:ascii="Times New Roman" w:eastAsia="Times New Roman" w:hAnsi="Times New Roman" w:cs="Times New Roman"/>
          <w:color w:val="000000"/>
          <w:sz w:val="20"/>
          <w:szCs w:val="20"/>
        </w:rPr>
        <w:t xml:space="preserve"> substances, steroids were identified using the </w:t>
      </w:r>
      <w:proofErr w:type="spellStart"/>
      <w:r w:rsidRPr="005049BC">
        <w:rPr>
          <w:rFonts w:ascii="Times New Roman" w:eastAsia="Times New Roman" w:hAnsi="Times New Roman" w:cs="Times New Roman"/>
          <w:color w:val="000000"/>
          <w:sz w:val="20"/>
          <w:szCs w:val="20"/>
        </w:rPr>
        <w:t>Kroes</w:t>
      </w:r>
      <w:proofErr w:type="spellEnd"/>
      <w:r w:rsidRPr="005049BC">
        <w:rPr>
          <w:rFonts w:ascii="Times New Roman" w:eastAsia="Times New Roman" w:hAnsi="Times New Roman" w:cs="Times New Roman"/>
          <w:color w:val="000000"/>
          <w:sz w:val="20"/>
          <w:szCs w:val="20"/>
        </w:rPr>
        <w:t xml:space="preserve"> et al (2004) workflow module contained within </w:t>
      </w:r>
      <w:proofErr w:type="spellStart"/>
      <w:r w:rsidRPr="005049BC">
        <w:rPr>
          <w:rFonts w:ascii="Times New Roman" w:eastAsia="Times New Roman" w:hAnsi="Times New Roman" w:cs="Times New Roman"/>
          <w:color w:val="000000"/>
          <w:sz w:val="20"/>
          <w:szCs w:val="20"/>
        </w:rPr>
        <w:t>Toxtree</w:t>
      </w:r>
      <w:proofErr w:type="spellEnd"/>
      <w:r w:rsidRPr="005049BC">
        <w:rPr>
          <w:rFonts w:ascii="Times New Roman" w:eastAsia="Times New Roman" w:hAnsi="Times New Roman" w:cs="Times New Roman"/>
          <w:color w:val="000000"/>
          <w:sz w:val="20"/>
          <w:szCs w:val="20"/>
        </w:rPr>
        <w:t xml:space="preserve"> v2.5 (</w:t>
      </w:r>
      <w:proofErr w:type="spellStart"/>
      <w:r w:rsidRPr="005049BC">
        <w:rPr>
          <w:rFonts w:ascii="Times New Roman" w:eastAsia="Times New Roman" w:hAnsi="Times New Roman" w:cs="Times New Roman"/>
          <w:color w:val="000000"/>
          <w:sz w:val="20"/>
          <w:szCs w:val="20"/>
        </w:rPr>
        <w:t>Ideaconsult</w:t>
      </w:r>
      <w:proofErr w:type="spellEnd"/>
      <w:r w:rsidRPr="005049BC">
        <w:rPr>
          <w:rFonts w:ascii="Times New Roman" w:eastAsia="Times New Roman" w:hAnsi="Times New Roman" w:cs="Times New Roman"/>
          <w:color w:val="000000"/>
          <w:sz w:val="20"/>
          <w:szCs w:val="20"/>
        </w:rPr>
        <w:t xml:space="preserve"> Ltd), the OECD Toolbox’s ‘structure type’ profiler and </w:t>
      </w:r>
      <w:proofErr w:type="spellStart"/>
      <w:r w:rsidRPr="005049BC">
        <w:rPr>
          <w:rFonts w:ascii="Times New Roman" w:eastAsia="Times New Roman" w:hAnsi="Times New Roman" w:cs="Times New Roman"/>
          <w:color w:val="000000"/>
          <w:sz w:val="20"/>
          <w:szCs w:val="20"/>
        </w:rPr>
        <w:t>Leadscope</w:t>
      </w:r>
      <w:proofErr w:type="spellEnd"/>
      <w:r w:rsidRPr="005049BC">
        <w:rPr>
          <w:rFonts w:ascii="Times New Roman" w:eastAsia="Times New Roman" w:hAnsi="Times New Roman" w:cs="Times New Roman"/>
          <w:color w:val="000000"/>
          <w:sz w:val="20"/>
          <w:szCs w:val="20"/>
        </w:rPr>
        <w:t xml:space="preserve"> structural features (</w:t>
      </w:r>
      <w:hyperlink r:id="rId16" w:history="1">
        <w:r w:rsidRPr="005049BC">
          <w:rPr>
            <w:rStyle w:val="Hyperlink"/>
            <w:rFonts w:ascii="Times New Roman" w:eastAsia="Times New Roman" w:hAnsi="Times New Roman" w:cs="Times New Roman"/>
            <w:sz w:val="20"/>
            <w:szCs w:val="20"/>
          </w:rPr>
          <w:t>www.leadscope.com</w:t>
        </w:r>
      </w:hyperlink>
      <w:r w:rsidRPr="005049BC">
        <w:rPr>
          <w:rFonts w:ascii="Times New Roman" w:eastAsia="Times New Roman" w:hAnsi="Times New Roman" w:cs="Times New Roman"/>
          <w:color w:val="000000"/>
          <w:sz w:val="20"/>
          <w:szCs w:val="20"/>
        </w:rPr>
        <w:t xml:space="preserve">). </w:t>
      </w:r>
    </w:p>
    <w:p w14:paraId="5FF09A12" w14:textId="5F8B4D80" w:rsidR="00CD226D" w:rsidRPr="005049BC" w:rsidRDefault="00CD226D" w:rsidP="005049BC">
      <w:pPr>
        <w:shd w:val="clear" w:color="auto" w:fill="FFFFFF"/>
        <w:spacing w:after="0" w:line="480" w:lineRule="auto"/>
        <w:jc w:val="both"/>
        <w:rPr>
          <w:rFonts w:ascii="Times New Roman" w:hAnsi="Times New Roman" w:cs="Times New Roman"/>
          <w:sz w:val="20"/>
          <w:szCs w:val="20"/>
        </w:rPr>
      </w:pPr>
      <w:r w:rsidRPr="00CD226D">
        <w:rPr>
          <w:rFonts w:ascii="Times New Roman" w:hAnsi="Times New Roman" w:cs="Times New Roman"/>
          <w:sz w:val="20"/>
          <w:szCs w:val="20"/>
        </w:rPr>
        <w:t xml:space="preserve">Using the starting dataset of 7699 substances, application of the </w:t>
      </w:r>
      <w:proofErr w:type="spellStart"/>
      <w:r w:rsidRPr="00CD226D">
        <w:rPr>
          <w:rFonts w:ascii="Times New Roman" w:hAnsi="Times New Roman" w:cs="Times New Roman"/>
          <w:sz w:val="20"/>
          <w:szCs w:val="20"/>
        </w:rPr>
        <w:t>Kroes</w:t>
      </w:r>
      <w:proofErr w:type="spellEnd"/>
      <w:r w:rsidRPr="00CD226D">
        <w:rPr>
          <w:rFonts w:ascii="Times New Roman" w:hAnsi="Times New Roman" w:cs="Times New Roman"/>
          <w:sz w:val="20"/>
          <w:szCs w:val="20"/>
        </w:rPr>
        <w:t xml:space="preserve"> exclusions </w:t>
      </w:r>
      <w:r w:rsidR="00B94D47">
        <w:rPr>
          <w:rFonts w:ascii="Times New Roman" w:hAnsi="Times New Roman" w:cs="Times New Roman"/>
          <w:sz w:val="20"/>
          <w:szCs w:val="20"/>
        </w:rPr>
        <w:t xml:space="preserve">within </w:t>
      </w:r>
      <w:proofErr w:type="spellStart"/>
      <w:r w:rsidR="00B94D47">
        <w:rPr>
          <w:rFonts w:ascii="Times New Roman" w:hAnsi="Times New Roman" w:cs="Times New Roman"/>
          <w:sz w:val="20"/>
          <w:szCs w:val="20"/>
        </w:rPr>
        <w:t>Toxtree</w:t>
      </w:r>
      <w:proofErr w:type="spellEnd"/>
      <w:r w:rsidR="00B94D47">
        <w:rPr>
          <w:rFonts w:ascii="Times New Roman" w:hAnsi="Times New Roman" w:cs="Times New Roman"/>
          <w:sz w:val="20"/>
          <w:szCs w:val="20"/>
        </w:rPr>
        <w:t xml:space="preserve"> </w:t>
      </w:r>
      <w:r w:rsidRPr="00CD226D">
        <w:rPr>
          <w:rFonts w:ascii="Times New Roman" w:hAnsi="Times New Roman" w:cs="Times New Roman"/>
          <w:sz w:val="20"/>
          <w:szCs w:val="20"/>
        </w:rPr>
        <w:t xml:space="preserve">removed 414 substances. Applying the steroids filter </w:t>
      </w:r>
      <w:r w:rsidR="00361896">
        <w:rPr>
          <w:rFonts w:ascii="Times New Roman" w:hAnsi="Times New Roman" w:cs="Times New Roman"/>
          <w:sz w:val="20"/>
          <w:szCs w:val="20"/>
        </w:rPr>
        <w:t xml:space="preserve">using the </w:t>
      </w:r>
      <w:proofErr w:type="spellStart"/>
      <w:r w:rsidR="00361896">
        <w:rPr>
          <w:rFonts w:ascii="Times New Roman" w:hAnsi="Times New Roman" w:cs="Times New Roman"/>
          <w:sz w:val="20"/>
          <w:szCs w:val="20"/>
        </w:rPr>
        <w:t>Leadscope</w:t>
      </w:r>
      <w:proofErr w:type="spellEnd"/>
      <w:r w:rsidR="00361896">
        <w:rPr>
          <w:rFonts w:ascii="Times New Roman" w:hAnsi="Times New Roman" w:cs="Times New Roman"/>
          <w:sz w:val="20"/>
          <w:szCs w:val="20"/>
        </w:rPr>
        <w:t xml:space="preserve"> structural feature </w:t>
      </w:r>
      <w:r w:rsidR="00B94D47">
        <w:rPr>
          <w:rFonts w:ascii="Times New Roman" w:hAnsi="Times New Roman" w:cs="Times New Roman"/>
          <w:sz w:val="20"/>
          <w:szCs w:val="20"/>
        </w:rPr>
        <w:t xml:space="preserve">hierarchy </w:t>
      </w:r>
      <w:r w:rsidRPr="00CD226D">
        <w:rPr>
          <w:rFonts w:ascii="Times New Roman" w:hAnsi="Times New Roman" w:cs="Times New Roman"/>
          <w:sz w:val="20"/>
          <w:szCs w:val="20"/>
        </w:rPr>
        <w:t>removed a further 211 substances</w:t>
      </w:r>
      <w:r w:rsidR="00B94D47">
        <w:rPr>
          <w:rFonts w:ascii="Times New Roman" w:hAnsi="Times New Roman" w:cs="Times New Roman"/>
          <w:sz w:val="20"/>
          <w:szCs w:val="20"/>
        </w:rPr>
        <w:t>.</w:t>
      </w:r>
      <w:r w:rsidRPr="00CD226D">
        <w:rPr>
          <w:rFonts w:ascii="Times New Roman" w:hAnsi="Times New Roman" w:cs="Times New Roman"/>
          <w:sz w:val="20"/>
          <w:szCs w:val="20"/>
        </w:rPr>
        <w:t xml:space="preserve"> </w:t>
      </w:r>
      <w:r w:rsidR="00B94D47">
        <w:rPr>
          <w:rFonts w:ascii="Times New Roman" w:hAnsi="Times New Roman" w:cs="Times New Roman"/>
          <w:sz w:val="20"/>
          <w:szCs w:val="20"/>
        </w:rPr>
        <w:t>A</w:t>
      </w:r>
      <w:r w:rsidR="00B94D47" w:rsidRPr="00CD226D">
        <w:rPr>
          <w:rFonts w:ascii="Times New Roman" w:hAnsi="Times New Roman" w:cs="Times New Roman"/>
          <w:sz w:val="20"/>
          <w:szCs w:val="20"/>
        </w:rPr>
        <w:t xml:space="preserve"> further 271 substances </w:t>
      </w:r>
      <w:r w:rsidR="00B94D47">
        <w:rPr>
          <w:rFonts w:ascii="Times New Roman" w:hAnsi="Times New Roman" w:cs="Times New Roman"/>
          <w:sz w:val="20"/>
          <w:szCs w:val="20"/>
        </w:rPr>
        <w:t xml:space="preserve">which were </w:t>
      </w:r>
      <w:r w:rsidR="00B94D47" w:rsidRPr="00CD226D">
        <w:rPr>
          <w:rFonts w:ascii="Times New Roman" w:hAnsi="Times New Roman" w:cs="Times New Roman"/>
          <w:sz w:val="20"/>
          <w:szCs w:val="20"/>
        </w:rPr>
        <w:t>metals</w:t>
      </w:r>
      <w:r w:rsidR="00B94D47">
        <w:rPr>
          <w:rFonts w:ascii="Times New Roman" w:hAnsi="Times New Roman" w:cs="Times New Roman"/>
          <w:sz w:val="20"/>
          <w:szCs w:val="20"/>
        </w:rPr>
        <w:t xml:space="preserve">, </w:t>
      </w:r>
      <w:r w:rsidR="00B94D47" w:rsidRPr="00CD226D">
        <w:rPr>
          <w:rFonts w:ascii="Times New Roman" w:hAnsi="Times New Roman" w:cs="Times New Roman"/>
          <w:sz w:val="20"/>
          <w:szCs w:val="20"/>
        </w:rPr>
        <w:t>inorganics</w:t>
      </w:r>
      <w:r w:rsidR="00B94D47">
        <w:rPr>
          <w:rFonts w:ascii="Times New Roman" w:hAnsi="Times New Roman" w:cs="Times New Roman"/>
          <w:sz w:val="20"/>
          <w:szCs w:val="20"/>
        </w:rPr>
        <w:t xml:space="preserve"> or mixtures</w:t>
      </w:r>
      <w:r w:rsidR="00B94D47" w:rsidRPr="00CD226D">
        <w:rPr>
          <w:rFonts w:ascii="Times New Roman" w:hAnsi="Times New Roman" w:cs="Times New Roman"/>
          <w:sz w:val="20"/>
          <w:szCs w:val="20"/>
        </w:rPr>
        <w:t xml:space="preserve"> </w:t>
      </w:r>
      <w:r w:rsidR="00B94D47">
        <w:rPr>
          <w:rFonts w:ascii="Times New Roman" w:hAnsi="Times New Roman" w:cs="Times New Roman"/>
          <w:sz w:val="20"/>
          <w:szCs w:val="20"/>
        </w:rPr>
        <w:t xml:space="preserve">were identified </w:t>
      </w:r>
      <w:r w:rsidR="00F7783F" w:rsidRPr="00CD226D">
        <w:rPr>
          <w:rFonts w:ascii="Times New Roman" w:hAnsi="Times New Roman" w:cs="Times New Roman"/>
          <w:sz w:val="20"/>
          <w:szCs w:val="20"/>
        </w:rPr>
        <w:t xml:space="preserve">using the Toolbox </w:t>
      </w:r>
      <w:r w:rsidR="00F7783F">
        <w:rPr>
          <w:rFonts w:ascii="Times New Roman" w:hAnsi="Times New Roman" w:cs="Times New Roman"/>
          <w:sz w:val="20"/>
          <w:szCs w:val="20"/>
        </w:rPr>
        <w:t xml:space="preserve">“structure type’ profiler </w:t>
      </w:r>
      <w:r w:rsidR="00B94D47">
        <w:rPr>
          <w:rFonts w:ascii="Times New Roman" w:hAnsi="Times New Roman" w:cs="Times New Roman"/>
          <w:sz w:val="20"/>
          <w:szCs w:val="20"/>
        </w:rPr>
        <w:t xml:space="preserve">and </w:t>
      </w:r>
      <w:r w:rsidR="00F7783F" w:rsidRPr="00CD226D">
        <w:rPr>
          <w:rFonts w:ascii="Times New Roman" w:hAnsi="Times New Roman" w:cs="Times New Roman"/>
          <w:sz w:val="20"/>
          <w:szCs w:val="20"/>
        </w:rPr>
        <w:t>removed</w:t>
      </w:r>
      <w:r w:rsidRPr="00CD226D">
        <w:rPr>
          <w:rFonts w:ascii="Times New Roman" w:hAnsi="Times New Roman" w:cs="Times New Roman"/>
          <w:sz w:val="20"/>
          <w:szCs w:val="20"/>
        </w:rPr>
        <w:t xml:space="preserve">. </w:t>
      </w:r>
      <w:r w:rsidR="00F7783F">
        <w:rPr>
          <w:rFonts w:ascii="Times New Roman" w:hAnsi="Times New Roman" w:cs="Times New Roman"/>
          <w:sz w:val="20"/>
          <w:szCs w:val="20"/>
        </w:rPr>
        <w:t>H</w:t>
      </w:r>
      <w:r w:rsidRPr="00CD226D">
        <w:rPr>
          <w:rFonts w:ascii="Times New Roman" w:hAnsi="Times New Roman" w:cs="Times New Roman"/>
          <w:sz w:val="20"/>
          <w:szCs w:val="20"/>
        </w:rPr>
        <w:t xml:space="preserve">igh potency carcinogen alerting groups </w:t>
      </w:r>
      <w:r w:rsidR="00F7783F">
        <w:rPr>
          <w:rFonts w:ascii="Times New Roman" w:hAnsi="Times New Roman" w:cs="Times New Roman"/>
          <w:sz w:val="20"/>
          <w:szCs w:val="20"/>
        </w:rPr>
        <w:t xml:space="preserve">identified using </w:t>
      </w:r>
      <w:r w:rsidR="00F7783F" w:rsidRPr="005049BC">
        <w:rPr>
          <w:rFonts w:ascii="Times New Roman" w:eastAsia="Times New Roman" w:hAnsi="Times New Roman" w:cs="Times New Roman"/>
          <w:color w:val="000000"/>
          <w:sz w:val="20"/>
          <w:szCs w:val="20"/>
        </w:rPr>
        <w:t xml:space="preserve">the </w:t>
      </w:r>
      <w:r w:rsidR="00F7783F" w:rsidRPr="005049BC">
        <w:rPr>
          <w:rFonts w:ascii="Times New Roman" w:hAnsi="Times New Roman" w:cs="Times New Roman"/>
          <w:i/>
          <w:sz w:val="20"/>
          <w:szCs w:val="20"/>
        </w:rPr>
        <w:t>in vitro</w:t>
      </w:r>
      <w:r w:rsidR="00F7783F" w:rsidRPr="005049BC">
        <w:rPr>
          <w:rFonts w:ascii="Times New Roman" w:hAnsi="Times New Roman" w:cs="Times New Roman"/>
          <w:sz w:val="20"/>
          <w:szCs w:val="20"/>
        </w:rPr>
        <w:t xml:space="preserve"> mutagenicity alerts in the ISS profiler within the OECD Toolbox v3.4</w:t>
      </w:r>
      <w:r w:rsidR="00F7783F">
        <w:rPr>
          <w:rFonts w:ascii="Times New Roman" w:hAnsi="Times New Roman" w:cs="Times New Roman"/>
          <w:sz w:val="20"/>
          <w:szCs w:val="20"/>
        </w:rPr>
        <w:t xml:space="preserve"> removed</w:t>
      </w:r>
      <w:r w:rsidRPr="00CD226D">
        <w:rPr>
          <w:rFonts w:ascii="Times New Roman" w:hAnsi="Times New Roman" w:cs="Times New Roman"/>
          <w:sz w:val="20"/>
          <w:szCs w:val="20"/>
        </w:rPr>
        <w:t xml:space="preserve"> 8 further substances</w:t>
      </w:r>
      <w:r w:rsidR="005049BC" w:rsidRPr="005049BC">
        <w:rPr>
          <w:rFonts w:ascii="Times New Roman" w:hAnsi="Times New Roman" w:cs="Times New Roman"/>
          <w:sz w:val="20"/>
          <w:szCs w:val="20"/>
        </w:rPr>
        <w:t xml:space="preserve"> (4 nitroso, 3 azoxy and 1 aflatoxin substance)</w:t>
      </w:r>
      <w:r w:rsidRPr="00CD226D">
        <w:rPr>
          <w:rFonts w:ascii="Times New Roman" w:hAnsi="Times New Roman" w:cs="Times New Roman"/>
          <w:sz w:val="20"/>
          <w:szCs w:val="20"/>
        </w:rPr>
        <w:t xml:space="preserve">.  </w:t>
      </w:r>
      <w:r w:rsidR="00B94D47">
        <w:rPr>
          <w:rFonts w:ascii="Times New Roman" w:hAnsi="Times New Roman" w:cs="Times New Roman"/>
          <w:sz w:val="20"/>
          <w:szCs w:val="20"/>
        </w:rPr>
        <w:t>Overall</w:t>
      </w:r>
      <w:r w:rsidRPr="00CD226D">
        <w:rPr>
          <w:rFonts w:ascii="Times New Roman" w:hAnsi="Times New Roman" w:cs="Times New Roman"/>
          <w:sz w:val="20"/>
          <w:szCs w:val="20"/>
        </w:rPr>
        <w:t xml:space="preserve">, 904 substances out of the starting 7966 structures were not applicable to be evaluated by the TTC approach. </w:t>
      </w:r>
    </w:p>
    <w:p w14:paraId="2C797F9B" w14:textId="27B9285C" w:rsidR="00CD226D" w:rsidRPr="005049BC" w:rsidRDefault="005049BC" w:rsidP="005049BC">
      <w:pPr>
        <w:spacing w:line="480" w:lineRule="auto"/>
        <w:jc w:val="both"/>
        <w:rPr>
          <w:rFonts w:ascii="Times New Roman" w:hAnsi="Times New Roman" w:cs="Times New Roman"/>
          <w:sz w:val="20"/>
          <w:szCs w:val="20"/>
        </w:rPr>
      </w:pPr>
      <w:r w:rsidRPr="00CD226D">
        <w:rPr>
          <w:rFonts w:ascii="Times New Roman" w:eastAsia="Times New Roman" w:hAnsi="Times New Roman" w:cs="Times New Roman"/>
          <w:color w:val="000000"/>
          <w:sz w:val="20"/>
          <w:szCs w:val="20"/>
        </w:rPr>
        <w:t>The remaining set of 6795 substances applicable for consideration of the TTC were then evaluated further to determine which TTC value was most appropriate. 1853 substances contained a structural alert for genotoxicity</w:t>
      </w:r>
      <w:r w:rsidRPr="005049BC">
        <w:rPr>
          <w:rFonts w:ascii="Times New Roman" w:eastAsia="Times New Roman" w:hAnsi="Times New Roman" w:cs="Times New Roman"/>
          <w:color w:val="000000"/>
          <w:sz w:val="20"/>
          <w:szCs w:val="20"/>
        </w:rPr>
        <w:t xml:space="preserve"> using the </w:t>
      </w:r>
      <w:r w:rsidRPr="005049BC">
        <w:rPr>
          <w:rFonts w:ascii="Times New Roman" w:hAnsi="Times New Roman" w:cs="Times New Roman"/>
          <w:i/>
          <w:sz w:val="20"/>
          <w:szCs w:val="20"/>
        </w:rPr>
        <w:t>in vitro</w:t>
      </w:r>
      <w:r w:rsidRPr="005049BC">
        <w:rPr>
          <w:rFonts w:ascii="Times New Roman" w:hAnsi="Times New Roman" w:cs="Times New Roman"/>
          <w:sz w:val="20"/>
          <w:szCs w:val="20"/>
        </w:rPr>
        <w:t xml:space="preserve"> mutagenicity alerts in the ISS profiler within the OECD Toolbox v3.4</w:t>
      </w:r>
      <w:r w:rsidRPr="005049BC">
        <w:rPr>
          <w:rFonts w:ascii="Times New Roman" w:eastAsia="Times New Roman" w:hAnsi="Times New Roman" w:cs="Times New Roman"/>
          <w:color w:val="000000"/>
          <w:sz w:val="20"/>
          <w:szCs w:val="20"/>
        </w:rPr>
        <w:t>.</w:t>
      </w:r>
      <w:r w:rsidRPr="00CD226D">
        <w:rPr>
          <w:rFonts w:ascii="Times New Roman" w:eastAsia="Times New Roman" w:hAnsi="Times New Roman" w:cs="Times New Roman"/>
          <w:color w:val="000000"/>
          <w:sz w:val="20"/>
          <w:szCs w:val="20"/>
        </w:rPr>
        <w:t xml:space="preserve"> </w:t>
      </w:r>
      <w:r w:rsidRPr="005049BC">
        <w:rPr>
          <w:rFonts w:ascii="Times New Roman" w:eastAsia="Times New Roman" w:hAnsi="Times New Roman" w:cs="Times New Roman"/>
          <w:color w:val="000000"/>
          <w:sz w:val="20"/>
          <w:szCs w:val="20"/>
        </w:rPr>
        <w:t xml:space="preserve">Organophosphates </w:t>
      </w:r>
      <w:r w:rsidR="00F7783F">
        <w:rPr>
          <w:rFonts w:ascii="Times New Roman" w:eastAsia="Times New Roman" w:hAnsi="Times New Roman" w:cs="Times New Roman"/>
          <w:color w:val="000000"/>
          <w:sz w:val="20"/>
          <w:szCs w:val="20"/>
        </w:rPr>
        <w:t>(OP)</w:t>
      </w:r>
      <w:r w:rsidR="00F7783F" w:rsidRPr="00F7783F">
        <w:rPr>
          <w:rFonts w:ascii="Times New Roman" w:eastAsia="Times New Roman" w:hAnsi="Times New Roman" w:cs="Times New Roman"/>
          <w:color w:val="000000"/>
          <w:sz w:val="20"/>
          <w:szCs w:val="20"/>
        </w:rPr>
        <w:t xml:space="preserve"> </w:t>
      </w:r>
      <w:r w:rsidR="00F7783F" w:rsidRPr="005049BC">
        <w:rPr>
          <w:rFonts w:ascii="Times New Roman" w:eastAsia="Times New Roman" w:hAnsi="Times New Roman" w:cs="Times New Roman"/>
          <w:color w:val="000000"/>
          <w:sz w:val="20"/>
          <w:szCs w:val="20"/>
        </w:rPr>
        <w:t>w</w:t>
      </w:r>
      <w:r w:rsidRPr="005049BC">
        <w:rPr>
          <w:rFonts w:ascii="Times New Roman" w:eastAsia="Times New Roman" w:hAnsi="Times New Roman" w:cs="Times New Roman"/>
          <w:color w:val="000000"/>
          <w:sz w:val="20"/>
          <w:szCs w:val="20"/>
        </w:rPr>
        <w:t xml:space="preserve">ere identified using a specific SMARTS pattern encoded within </w:t>
      </w:r>
      <w:proofErr w:type="spellStart"/>
      <w:r w:rsidRPr="005049BC">
        <w:rPr>
          <w:rFonts w:ascii="Times New Roman" w:eastAsia="Times New Roman" w:hAnsi="Times New Roman" w:cs="Times New Roman"/>
          <w:color w:val="000000"/>
          <w:sz w:val="20"/>
          <w:szCs w:val="20"/>
        </w:rPr>
        <w:t>Toxtree</w:t>
      </w:r>
      <w:proofErr w:type="spellEnd"/>
      <w:r w:rsidRPr="005049BC">
        <w:rPr>
          <w:rFonts w:ascii="Times New Roman" w:eastAsia="Times New Roman" w:hAnsi="Times New Roman" w:cs="Times New Roman"/>
          <w:color w:val="000000"/>
          <w:sz w:val="20"/>
          <w:szCs w:val="20"/>
        </w:rPr>
        <w:t xml:space="preserve"> as a new module </w:t>
      </w:r>
      <w:r w:rsidR="00F7783F">
        <w:rPr>
          <w:rFonts w:ascii="Times New Roman" w:eastAsia="Times New Roman" w:hAnsi="Times New Roman" w:cs="Times New Roman"/>
          <w:color w:val="000000"/>
          <w:sz w:val="20"/>
          <w:szCs w:val="20"/>
        </w:rPr>
        <w:t xml:space="preserve">(taking the same SMARTS pattern as included in the </w:t>
      </w:r>
      <w:proofErr w:type="spellStart"/>
      <w:r w:rsidR="00F7783F">
        <w:rPr>
          <w:rFonts w:ascii="Times New Roman" w:eastAsia="Times New Roman" w:hAnsi="Times New Roman" w:cs="Times New Roman"/>
          <w:color w:val="000000"/>
          <w:sz w:val="20"/>
          <w:szCs w:val="20"/>
        </w:rPr>
        <w:t>Kroes</w:t>
      </w:r>
      <w:proofErr w:type="spellEnd"/>
      <w:r w:rsidR="00F7783F">
        <w:rPr>
          <w:rFonts w:ascii="Times New Roman" w:eastAsia="Times New Roman" w:hAnsi="Times New Roman" w:cs="Times New Roman"/>
          <w:color w:val="000000"/>
          <w:sz w:val="20"/>
          <w:szCs w:val="20"/>
        </w:rPr>
        <w:t xml:space="preserve"> workflow) </w:t>
      </w:r>
      <w:r w:rsidRPr="005049BC">
        <w:rPr>
          <w:rFonts w:ascii="Times New Roman" w:eastAsia="Times New Roman" w:hAnsi="Times New Roman" w:cs="Times New Roman"/>
          <w:color w:val="000000"/>
          <w:sz w:val="20"/>
          <w:szCs w:val="20"/>
        </w:rPr>
        <w:t xml:space="preserve">whereas carbamates were identified as structural features using </w:t>
      </w:r>
      <w:proofErr w:type="spellStart"/>
      <w:r w:rsidRPr="005049BC">
        <w:rPr>
          <w:rFonts w:ascii="Times New Roman" w:eastAsia="Times New Roman" w:hAnsi="Times New Roman" w:cs="Times New Roman"/>
          <w:color w:val="000000"/>
          <w:sz w:val="20"/>
          <w:szCs w:val="20"/>
        </w:rPr>
        <w:t>Leadscope’s</w:t>
      </w:r>
      <w:proofErr w:type="spellEnd"/>
      <w:r w:rsidRPr="005049BC">
        <w:rPr>
          <w:rFonts w:ascii="Times New Roman" w:eastAsia="Times New Roman" w:hAnsi="Times New Roman" w:cs="Times New Roman"/>
          <w:color w:val="000000"/>
          <w:sz w:val="20"/>
          <w:szCs w:val="20"/>
        </w:rPr>
        <w:t xml:space="preserve"> structural feature hierarchy. </w:t>
      </w:r>
      <w:r w:rsidRPr="00CD226D">
        <w:rPr>
          <w:rFonts w:ascii="Times New Roman" w:eastAsia="Times New Roman" w:hAnsi="Times New Roman" w:cs="Times New Roman"/>
          <w:color w:val="000000"/>
          <w:sz w:val="20"/>
          <w:szCs w:val="20"/>
        </w:rPr>
        <w:t xml:space="preserve">102 substances met the criteria for categorization as organophosphates or carbamates (no </w:t>
      </w:r>
      <w:r w:rsidRPr="005049BC">
        <w:rPr>
          <w:rFonts w:ascii="Times New Roman" w:eastAsia="Times New Roman" w:hAnsi="Times New Roman" w:cs="Times New Roman"/>
          <w:color w:val="000000"/>
          <w:sz w:val="20"/>
          <w:szCs w:val="20"/>
        </w:rPr>
        <w:t>organophosphates</w:t>
      </w:r>
      <w:r w:rsidRPr="00CD226D">
        <w:rPr>
          <w:rFonts w:ascii="Times New Roman" w:eastAsia="Times New Roman" w:hAnsi="Times New Roman" w:cs="Times New Roman"/>
          <w:color w:val="000000"/>
          <w:sz w:val="20"/>
          <w:szCs w:val="20"/>
        </w:rPr>
        <w:t xml:space="preserve"> were identified).</w:t>
      </w:r>
      <w:r w:rsidRPr="00CD226D">
        <w:rPr>
          <w:rFonts w:ascii="Times New Roman" w:hAnsi="Times New Roman" w:cs="Times New Roman"/>
          <w:sz w:val="20"/>
          <w:szCs w:val="20"/>
        </w:rPr>
        <w:t xml:space="preserve"> </w:t>
      </w:r>
      <w:r w:rsidRPr="00CD226D">
        <w:rPr>
          <w:rFonts w:ascii="Times New Roman" w:eastAsia="Times New Roman" w:hAnsi="Times New Roman" w:cs="Times New Roman"/>
          <w:color w:val="000000"/>
          <w:sz w:val="20"/>
          <w:szCs w:val="20"/>
        </w:rPr>
        <w:t xml:space="preserve">The remaining </w:t>
      </w:r>
      <w:r w:rsidRPr="00CD226D">
        <w:rPr>
          <w:rFonts w:ascii="Times New Roman" w:eastAsia="Times New Roman" w:hAnsi="Times New Roman" w:cs="Times New Roman"/>
          <w:color w:val="212121"/>
          <w:sz w:val="20"/>
          <w:szCs w:val="20"/>
        </w:rPr>
        <w:t xml:space="preserve">4840 substances were evaluated using the Cramer structural classes decision tree in </w:t>
      </w:r>
      <w:proofErr w:type="spellStart"/>
      <w:r w:rsidRPr="00CD226D">
        <w:rPr>
          <w:rFonts w:ascii="Times New Roman" w:eastAsia="Times New Roman" w:hAnsi="Times New Roman" w:cs="Times New Roman"/>
          <w:color w:val="212121"/>
          <w:sz w:val="20"/>
          <w:szCs w:val="20"/>
        </w:rPr>
        <w:t>Toxtree</w:t>
      </w:r>
      <w:proofErr w:type="spellEnd"/>
      <w:r w:rsidRPr="00CD226D">
        <w:rPr>
          <w:rFonts w:ascii="Times New Roman" w:eastAsia="Times New Roman" w:hAnsi="Times New Roman" w:cs="Times New Roman"/>
          <w:color w:val="212121"/>
          <w:sz w:val="20"/>
          <w:szCs w:val="20"/>
        </w:rPr>
        <w:t xml:space="preserve"> v2.5. Of these, 3214 substances were </w:t>
      </w:r>
      <w:proofErr w:type="spellStart"/>
      <w:r w:rsidRPr="00CD226D">
        <w:rPr>
          <w:rFonts w:ascii="Times New Roman" w:eastAsia="Times New Roman" w:hAnsi="Times New Roman" w:cs="Times New Roman"/>
          <w:color w:val="212121"/>
          <w:sz w:val="20"/>
          <w:szCs w:val="20"/>
        </w:rPr>
        <w:t>categorised</w:t>
      </w:r>
      <w:proofErr w:type="spellEnd"/>
      <w:r w:rsidRPr="00CD226D">
        <w:rPr>
          <w:rFonts w:ascii="Times New Roman" w:eastAsia="Times New Roman" w:hAnsi="Times New Roman" w:cs="Times New Roman"/>
          <w:color w:val="212121"/>
          <w:sz w:val="20"/>
          <w:szCs w:val="20"/>
        </w:rPr>
        <w:t xml:space="preserve"> as Cramer III, 32 substances were </w:t>
      </w:r>
      <w:proofErr w:type="spellStart"/>
      <w:r w:rsidRPr="00CD226D">
        <w:rPr>
          <w:rFonts w:ascii="Times New Roman" w:eastAsia="Times New Roman" w:hAnsi="Times New Roman" w:cs="Times New Roman"/>
          <w:color w:val="212121"/>
          <w:sz w:val="20"/>
          <w:szCs w:val="20"/>
        </w:rPr>
        <w:t>categorised</w:t>
      </w:r>
      <w:proofErr w:type="spellEnd"/>
      <w:r w:rsidRPr="00CD226D">
        <w:rPr>
          <w:rFonts w:ascii="Times New Roman" w:eastAsia="Times New Roman" w:hAnsi="Times New Roman" w:cs="Times New Roman"/>
          <w:color w:val="212121"/>
          <w:sz w:val="20"/>
          <w:szCs w:val="20"/>
        </w:rPr>
        <w:t xml:space="preserve"> as Cramer II, and 1294 substances were </w:t>
      </w:r>
      <w:proofErr w:type="spellStart"/>
      <w:r w:rsidRPr="00CD226D">
        <w:rPr>
          <w:rFonts w:ascii="Times New Roman" w:eastAsia="Times New Roman" w:hAnsi="Times New Roman" w:cs="Times New Roman"/>
          <w:color w:val="212121"/>
          <w:sz w:val="20"/>
          <w:szCs w:val="20"/>
        </w:rPr>
        <w:t>categorised</w:t>
      </w:r>
      <w:proofErr w:type="spellEnd"/>
      <w:r w:rsidRPr="00CD226D">
        <w:rPr>
          <w:rFonts w:ascii="Times New Roman" w:eastAsia="Times New Roman" w:hAnsi="Times New Roman" w:cs="Times New Roman"/>
          <w:color w:val="212121"/>
          <w:sz w:val="20"/>
          <w:szCs w:val="20"/>
        </w:rPr>
        <w:t xml:space="preserve"> as Cramer I.</w:t>
      </w:r>
    </w:p>
    <w:p w14:paraId="754CAC49" w14:textId="1064F110" w:rsidR="00397036" w:rsidRPr="005049BC" w:rsidRDefault="00397036">
      <w:pPr>
        <w:rPr>
          <w:rFonts w:ascii="Times New Roman" w:hAnsi="Times New Roman" w:cs="Times New Roman"/>
          <w:b/>
          <w:sz w:val="20"/>
          <w:szCs w:val="20"/>
        </w:rPr>
      </w:pPr>
      <w:r w:rsidRPr="005049BC">
        <w:rPr>
          <w:rFonts w:ascii="Times New Roman" w:hAnsi="Times New Roman" w:cs="Times New Roman"/>
          <w:b/>
          <w:sz w:val="20"/>
          <w:szCs w:val="20"/>
        </w:rPr>
        <w:br w:type="page"/>
      </w:r>
    </w:p>
    <w:p w14:paraId="516FF2E2" w14:textId="1E852798" w:rsidR="00566BB9" w:rsidRPr="005049BC" w:rsidRDefault="00E65387">
      <w:pPr>
        <w:rPr>
          <w:rFonts w:ascii="Times New Roman" w:hAnsi="Times New Roman" w:cs="Times New Roman"/>
          <w:b/>
          <w:sz w:val="20"/>
          <w:szCs w:val="20"/>
        </w:rPr>
      </w:pPr>
      <w:r w:rsidRPr="005049BC">
        <w:rPr>
          <w:rFonts w:ascii="Times New Roman" w:hAnsi="Times New Roman" w:cs="Times New Roman"/>
          <w:b/>
          <w:sz w:val="20"/>
          <w:szCs w:val="20"/>
        </w:rPr>
        <w:lastRenderedPageBreak/>
        <w:t xml:space="preserve">Re-analyzing the dataset using </w:t>
      </w:r>
      <w:proofErr w:type="spellStart"/>
      <w:r w:rsidRPr="005049BC">
        <w:rPr>
          <w:rFonts w:ascii="Times New Roman" w:hAnsi="Times New Roman" w:cs="Times New Roman"/>
          <w:b/>
          <w:sz w:val="20"/>
          <w:szCs w:val="20"/>
        </w:rPr>
        <w:t>Kroes</w:t>
      </w:r>
      <w:proofErr w:type="spellEnd"/>
      <w:r w:rsidRPr="005049BC">
        <w:rPr>
          <w:rFonts w:ascii="Times New Roman" w:hAnsi="Times New Roman" w:cs="Times New Roman"/>
          <w:b/>
          <w:sz w:val="20"/>
          <w:szCs w:val="20"/>
        </w:rPr>
        <w:t xml:space="preserve"> et al workflow within </w:t>
      </w:r>
      <w:proofErr w:type="spellStart"/>
      <w:r w:rsidRPr="005049BC">
        <w:rPr>
          <w:rFonts w:ascii="Times New Roman" w:hAnsi="Times New Roman" w:cs="Times New Roman"/>
          <w:b/>
          <w:sz w:val="20"/>
          <w:szCs w:val="20"/>
        </w:rPr>
        <w:t>Toxtree</w:t>
      </w:r>
      <w:proofErr w:type="spellEnd"/>
    </w:p>
    <w:p w14:paraId="19E6027F" w14:textId="0A78EAB5" w:rsidR="00E65387" w:rsidRPr="005049BC" w:rsidRDefault="00E65387">
      <w:pPr>
        <w:rPr>
          <w:rFonts w:ascii="Times New Roman" w:hAnsi="Times New Roman" w:cs="Times New Roman"/>
          <w:sz w:val="20"/>
          <w:szCs w:val="20"/>
        </w:rPr>
      </w:pPr>
    </w:p>
    <w:p w14:paraId="5BD0C951" w14:textId="179B42E8" w:rsidR="00E65387" w:rsidRPr="005049BC" w:rsidRDefault="00E65387"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As noted in the manuscript, a more straightforward approach might have been to take </w:t>
      </w:r>
      <w:r w:rsidR="00F7783F">
        <w:rPr>
          <w:rFonts w:ascii="Times New Roman" w:hAnsi="Times New Roman" w:cs="Times New Roman"/>
          <w:sz w:val="20"/>
          <w:szCs w:val="20"/>
        </w:rPr>
        <w:t xml:space="preserve">full </w:t>
      </w:r>
      <w:r w:rsidRPr="005049BC">
        <w:rPr>
          <w:rFonts w:ascii="Times New Roman" w:hAnsi="Times New Roman" w:cs="Times New Roman"/>
          <w:sz w:val="20"/>
          <w:szCs w:val="20"/>
        </w:rPr>
        <w:t xml:space="preserve">advantage of the </w:t>
      </w:r>
      <w:proofErr w:type="spellStart"/>
      <w:r w:rsidRPr="005049BC">
        <w:rPr>
          <w:rFonts w:ascii="Times New Roman" w:hAnsi="Times New Roman" w:cs="Times New Roman"/>
          <w:sz w:val="20"/>
          <w:szCs w:val="20"/>
        </w:rPr>
        <w:t>Kroes</w:t>
      </w:r>
      <w:proofErr w:type="spellEnd"/>
      <w:r w:rsidRPr="005049BC">
        <w:rPr>
          <w:rFonts w:ascii="Times New Roman" w:hAnsi="Times New Roman" w:cs="Times New Roman"/>
          <w:sz w:val="20"/>
          <w:szCs w:val="20"/>
        </w:rPr>
        <w:t xml:space="preserve"> workflow as implemented in the </w:t>
      </w:r>
      <w:proofErr w:type="spellStart"/>
      <w:r w:rsidRPr="005049BC">
        <w:rPr>
          <w:rFonts w:ascii="Times New Roman" w:hAnsi="Times New Roman" w:cs="Times New Roman"/>
          <w:sz w:val="20"/>
          <w:szCs w:val="20"/>
        </w:rPr>
        <w:t>Toxtree</w:t>
      </w:r>
      <w:proofErr w:type="spellEnd"/>
      <w:r w:rsidRPr="005049BC">
        <w:rPr>
          <w:rFonts w:ascii="Times New Roman" w:hAnsi="Times New Roman" w:cs="Times New Roman"/>
          <w:sz w:val="20"/>
          <w:szCs w:val="20"/>
        </w:rPr>
        <w:t xml:space="preserve"> application. From our findings, this </w:t>
      </w:r>
      <w:r w:rsidR="008C0D47" w:rsidRPr="005049BC">
        <w:rPr>
          <w:rFonts w:ascii="Times New Roman" w:hAnsi="Times New Roman" w:cs="Times New Roman"/>
          <w:sz w:val="20"/>
          <w:szCs w:val="20"/>
        </w:rPr>
        <w:t>was not practically feasible to do in a batch form for several thousand substances</w:t>
      </w:r>
      <w:r w:rsidR="00CA32F7" w:rsidRPr="005049BC">
        <w:rPr>
          <w:rFonts w:ascii="Times New Roman" w:hAnsi="Times New Roman" w:cs="Times New Roman"/>
          <w:sz w:val="20"/>
          <w:szCs w:val="20"/>
        </w:rPr>
        <w:t xml:space="preserve"> as an exposure level needs to be identified upfront for each substance. Although th</w:t>
      </w:r>
      <w:r w:rsidR="0013097E" w:rsidRPr="005049BC">
        <w:rPr>
          <w:rFonts w:ascii="Times New Roman" w:hAnsi="Times New Roman" w:cs="Times New Roman"/>
          <w:sz w:val="20"/>
          <w:szCs w:val="20"/>
        </w:rPr>
        <w:t>ere</w:t>
      </w:r>
      <w:r w:rsidR="00CA32F7" w:rsidRPr="005049BC">
        <w:rPr>
          <w:rFonts w:ascii="Times New Roman" w:hAnsi="Times New Roman" w:cs="Times New Roman"/>
          <w:sz w:val="20"/>
          <w:szCs w:val="20"/>
        </w:rPr>
        <w:t xml:space="preserve"> is a means by which this can be “silenced” in the tool, our experience found that this prevented the workflow from being processed to completion and many incorrect assignments resulted given no substance in the entire 7699 set was assigned in any of the Cramer structural classes or </w:t>
      </w:r>
      <w:r w:rsidR="00EB3666" w:rsidRPr="005049BC">
        <w:rPr>
          <w:rFonts w:ascii="Times New Roman" w:hAnsi="Times New Roman" w:cs="Times New Roman"/>
          <w:sz w:val="20"/>
          <w:szCs w:val="20"/>
        </w:rPr>
        <w:t>was</w:t>
      </w:r>
      <w:r w:rsidR="00CA32F7" w:rsidRPr="005049BC">
        <w:rPr>
          <w:rFonts w:ascii="Times New Roman" w:hAnsi="Times New Roman" w:cs="Times New Roman"/>
          <w:sz w:val="20"/>
          <w:szCs w:val="20"/>
        </w:rPr>
        <w:t xml:space="preserve"> correctly identified as an OP or carbamate. This prompted</w:t>
      </w:r>
      <w:r w:rsidR="00EB3666" w:rsidRPr="005049BC">
        <w:rPr>
          <w:rFonts w:ascii="Times New Roman" w:hAnsi="Times New Roman" w:cs="Times New Roman"/>
          <w:sz w:val="20"/>
          <w:szCs w:val="20"/>
        </w:rPr>
        <w:t xml:space="preserve"> separate filters to be created </w:t>
      </w:r>
      <w:r w:rsidR="00CA32F7" w:rsidRPr="005049BC">
        <w:rPr>
          <w:rFonts w:ascii="Times New Roman" w:hAnsi="Times New Roman" w:cs="Times New Roman"/>
          <w:sz w:val="20"/>
          <w:szCs w:val="20"/>
        </w:rPr>
        <w:t>though these were found to be overly conservative in some cases based on the lack of OPs and number of steroids and carb</w:t>
      </w:r>
      <w:r w:rsidR="0013097E" w:rsidRPr="005049BC">
        <w:rPr>
          <w:rFonts w:ascii="Times New Roman" w:hAnsi="Times New Roman" w:cs="Times New Roman"/>
          <w:sz w:val="20"/>
          <w:szCs w:val="20"/>
        </w:rPr>
        <w:t>a</w:t>
      </w:r>
      <w:r w:rsidR="00CA32F7" w:rsidRPr="005049BC">
        <w:rPr>
          <w:rFonts w:ascii="Times New Roman" w:hAnsi="Times New Roman" w:cs="Times New Roman"/>
          <w:sz w:val="20"/>
          <w:szCs w:val="20"/>
        </w:rPr>
        <w:t>mates being identified</w:t>
      </w:r>
      <w:r w:rsidR="0013097E" w:rsidRPr="005049BC">
        <w:rPr>
          <w:rFonts w:ascii="Times New Roman" w:hAnsi="Times New Roman" w:cs="Times New Roman"/>
          <w:sz w:val="20"/>
          <w:szCs w:val="20"/>
        </w:rPr>
        <w:t xml:space="preserve"> in the original analysis</w:t>
      </w:r>
      <w:r w:rsidR="00CA32F7" w:rsidRPr="005049BC">
        <w:rPr>
          <w:rFonts w:ascii="Times New Roman" w:hAnsi="Times New Roman" w:cs="Times New Roman"/>
          <w:sz w:val="20"/>
          <w:szCs w:val="20"/>
        </w:rPr>
        <w:t xml:space="preserve">. </w:t>
      </w:r>
    </w:p>
    <w:p w14:paraId="2C37C7FE" w14:textId="5CE448CA" w:rsidR="00CA32F7" w:rsidRPr="005049BC" w:rsidRDefault="00CA32F7"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In reviewing the output file for the </w:t>
      </w:r>
      <w:proofErr w:type="spellStart"/>
      <w:r w:rsidRPr="005049BC">
        <w:rPr>
          <w:rFonts w:ascii="Times New Roman" w:hAnsi="Times New Roman" w:cs="Times New Roman"/>
          <w:sz w:val="20"/>
          <w:szCs w:val="20"/>
        </w:rPr>
        <w:t>Kroes</w:t>
      </w:r>
      <w:proofErr w:type="spellEnd"/>
      <w:r w:rsidRPr="005049BC">
        <w:rPr>
          <w:rFonts w:ascii="Times New Roman" w:hAnsi="Times New Roman" w:cs="Times New Roman"/>
          <w:sz w:val="20"/>
          <w:szCs w:val="20"/>
        </w:rPr>
        <w:t xml:space="preserve"> workflow, we found that certain elements could be extracted to address some of the TTC categories but that it was necessary to parse out some of the specific rules – carbamates, steroids and to devise a </w:t>
      </w:r>
      <w:r w:rsidR="0013097E" w:rsidRPr="005049BC">
        <w:rPr>
          <w:rFonts w:ascii="Times New Roman" w:hAnsi="Times New Roman" w:cs="Times New Roman"/>
          <w:sz w:val="20"/>
          <w:szCs w:val="20"/>
        </w:rPr>
        <w:t xml:space="preserve">new </w:t>
      </w:r>
      <w:r w:rsidRPr="005049BC">
        <w:rPr>
          <w:rFonts w:ascii="Times New Roman" w:hAnsi="Times New Roman" w:cs="Times New Roman"/>
          <w:sz w:val="20"/>
          <w:szCs w:val="20"/>
        </w:rPr>
        <w:t>rule for OPs</w:t>
      </w:r>
      <w:r w:rsidR="0013097E" w:rsidRPr="005049BC">
        <w:rPr>
          <w:rFonts w:ascii="Times New Roman" w:hAnsi="Times New Roman" w:cs="Times New Roman"/>
          <w:sz w:val="20"/>
          <w:szCs w:val="20"/>
        </w:rPr>
        <w:t xml:space="preserve">. </w:t>
      </w:r>
      <w:proofErr w:type="gramStart"/>
      <w:r w:rsidR="0013097E" w:rsidRPr="005049BC">
        <w:rPr>
          <w:rFonts w:ascii="Times New Roman" w:hAnsi="Times New Roman" w:cs="Times New Roman"/>
          <w:sz w:val="20"/>
          <w:szCs w:val="20"/>
        </w:rPr>
        <w:t>All of these</w:t>
      </w:r>
      <w:proofErr w:type="gramEnd"/>
      <w:r w:rsidR="0013097E" w:rsidRPr="005049BC">
        <w:rPr>
          <w:rFonts w:ascii="Times New Roman" w:hAnsi="Times New Roman" w:cs="Times New Roman"/>
          <w:sz w:val="20"/>
          <w:szCs w:val="20"/>
        </w:rPr>
        <w:t xml:space="preserve"> could be done as </w:t>
      </w:r>
      <w:r w:rsidR="00EB3666" w:rsidRPr="005049BC">
        <w:rPr>
          <w:rFonts w:ascii="Times New Roman" w:hAnsi="Times New Roman" w:cs="Times New Roman"/>
          <w:sz w:val="20"/>
          <w:szCs w:val="20"/>
        </w:rPr>
        <w:t>using the existing</w:t>
      </w:r>
      <w:r w:rsidR="0013097E" w:rsidRPr="005049BC">
        <w:rPr>
          <w:rFonts w:ascii="Times New Roman" w:hAnsi="Times New Roman" w:cs="Times New Roman"/>
          <w:sz w:val="20"/>
          <w:szCs w:val="20"/>
        </w:rPr>
        <w:t xml:space="preserve"> rules </w:t>
      </w:r>
      <w:r w:rsidR="00EB3666" w:rsidRPr="005049BC">
        <w:rPr>
          <w:rFonts w:ascii="Times New Roman" w:hAnsi="Times New Roman" w:cs="Times New Roman"/>
          <w:sz w:val="20"/>
          <w:szCs w:val="20"/>
        </w:rPr>
        <w:t xml:space="preserve">in the </w:t>
      </w:r>
      <w:proofErr w:type="spellStart"/>
      <w:r w:rsidR="00EB3666" w:rsidRPr="005049BC">
        <w:rPr>
          <w:rFonts w:ascii="Times New Roman" w:hAnsi="Times New Roman" w:cs="Times New Roman"/>
          <w:sz w:val="20"/>
          <w:szCs w:val="20"/>
        </w:rPr>
        <w:t>Kroes</w:t>
      </w:r>
      <w:proofErr w:type="spellEnd"/>
      <w:r w:rsidR="00EB3666" w:rsidRPr="005049BC">
        <w:rPr>
          <w:rFonts w:ascii="Times New Roman" w:hAnsi="Times New Roman" w:cs="Times New Roman"/>
          <w:sz w:val="20"/>
          <w:szCs w:val="20"/>
        </w:rPr>
        <w:t xml:space="preserve"> workflow simply re-saved </w:t>
      </w:r>
      <w:r w:rsidRPr="005049BC">
        <w:rPr>
          <w:rFonts w:ascii="Times New Roman" w:hAnsi="Times New Roman" w:cs="Times New Roman"/>
          <w:sz w:val="20"/>
          <w:szCs w:val="20"/>
        </w:rPr>
        <w:t xml:space="preserve">as new modules in the </w:t>
      </w:r>
      <w:proofErr w:type="spellStart"/>
      <w:r w:rsidRPr="005049BC">
        <w:rPr>
          <w:rFonts w:ascii="Times New Roman" w:hAnsi="Times New Roman" w:cs="Times New Roman"/>
          <w:sz w:val="20"/>
          <w:szCs w:val="20"/>
        </w:rPr>
        <w:t>Toxtree</w:t>
      </w:r>
      <w:proofErr w:type="spellEnd"/>
      <w:r w:rsidRPr="005049BC">
        <w:rPr>
          <w:rFonts w:ascii="Times New Roman" w:hAnsi="Times New Roman" w:cs="Times New Roman"/>
          <w:sz w:val="20"/>
          <w:szCs w:val="20"/>
        </w:rPr>
        <w:t xml:space="preserve"> platform itself. </w:t>
      </w:r>
      <w:r w:rsidR="00EB3666" w:rsidRPr="005049BC">
        <w:rPr>
          <w:rFonts w:ascii="Times New Roman" w:hAnsi="Times New Roman" w:cs="Times New Roman"/>
          <w:sz w:val="20"/>
          <w:szCs w:val="20"/>
        </w:rPr>
        <w:t>This did require some manipulation of the original output file, some reprocessing through these new module</w:t>
      </w:r>
      <w:r w:rsidR="00EA59DE" w:rsidRPr="005049BC">
        <w:rPr>
          <w:rFonts w:ascii="Times New Roman" w:hAnsi="Times New Roman" w:cs="Times New Roman"/>
          <w:sz w:val="20"/>
          <w:szCs w:val="20"/>
        </w:rPr>
        <w:t>s</w:t>
      </w:r>
      <w:r w:rsidR="00EB3666" w:rsidRPr="005049BC">
        <w:rPr>
          <w:rFonts w:ascii="Times New Roman" w:hAnsi="Times New Roman" w:cs="Times New Roman"/>
          <w:sz w:val="20"/>
          <w:szCs w:val="20"/>
        </w:rPr>
        <w:t xml:space="preserve"> and use of the Cramer module itself.</w:t>
      </w:r>
    </w:p>
    <w:p w14:paraId="7880CBD9" w14:textId="1BFB14DD" w:rsidR="00CA32F7" w:rsidRPr="005049BC" w:rsidRDefault="00CA32F7"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To investigate the outcomes from a modified approach that relied upon one tool – </w:t>
      </w:r>
      <w:proofErr w:type="spellStart"/>
      <w:r w:rsidRPr="005049BC">
        <w:rPr>
          <w:rFonts w:ascii="Times New Roman" w:hAnsi="Times New Roman" w:cs="Times New Roman"/>
          <w:sz w:val="20"/>
          <w:szCs w:val="20"/>
        </w:rPr>
        <w:t>Toxtree</w:t>
      </w:r>
      <w:proofErr w:type="spellEnd"/>
      <w:r w:rsidRPr="005049BC">
        <w:rPr>
          <w:rFonts w:ascii="Times New Roman" w:hAnsi="Times New Roman" w:cs="Times New Roman"/>
          <w:sz w:val="20"/>
          <w:szCs w:val="20"/>
        </w:rPr>
        <w:t xml:space="preserve"> to process the file rather than 3 tools as used in the original analysis</w:t>
      </w:r>
      <w:r w:rsidR="0013097E" w:rsidRPr="005049BC">
        <w:rPr>
          <w:rFonts w:ascii="Times New Roman" w:hAnsi="Times New Roman" w:cs="Times New Roman"/>
          <w:sz w:val="20"/>
          <w:szCs w:val="20"/>
        </w:rPr>
        <w:t>, the following steps were undertaken</w:t>
      </w:r>
      <w:r w:rsidRPr="005049BC">
        <w:rPr>
          <w:rFonts w:ascii="Times New Roman" w:hAnsi="Times New Roman" w:cs="Times New Roman"/>
          <w:sz w:val="20"/>
          <w:szCs w:val="20"/>
        </w:rPr>
        <w:t xml:space="preserve">. </w:t>
      </w:r>
    </w:p>
    <w:p w14:paraId="12CD3E7E" w14:textId="7F99FFC8" w:rsidR="00CA32F7" w:rsidRPr="005049BC" w:rsidRDefault="00CA32F7"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Steps followed were:</w:t>
      </w:r>
    </w:p>
    <w:p w14:paraId="51F6A932" w14:textId="69AD68EF" w:rsidR="00CA32F7" w:rsidRPr="005049BC" w:rsidRDefault="00CA32F7"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Process a </w:t>
      </w:r>
      <w:proofErr w:type="spellStart"/>
      <w:r w:rsidRPr="005049BC">
        <w:rPr>
          <w:rFonts w:ascii="Times New Roman" w:hAnsi="Times New Roman" w:cs="Times New Roman"/>
          <w:sz w:val="20"/>
          <w:szCs w:val="20"/>
        </w:rPr>
        <w:t>sdf</w:t>
      </w:r>
      <w:proofErr w:type="spellEnd"/>
      <w:r w:rsidRPr="005049BC">
        <w:rPr>
          <w:rFonts w:ascii="Times New Roman" w:hAnsi="Times New Roman" w:cs="Times New Roman"/>
          <w:sz w:val="20"/>
          <w:szCs w:val="20"/>
        </w:rPr>
        <w:t xml:space="preserve"> of the dataset through the </w:t>
      </w:r>
      <w:proofErr w:type="spellStart"/>
      <w:r w:rsidRPr="005049BC">
        <w:rPr>
          <w:rFonts w:ascii="Times New Roman" w:hAnsi="Times New Roman" w:cs="Times New Roman"/>
          <w:sz w:val="20"/>
          <w:szCs w:val="20"/>
        </w:rPr>
        <w:t>Kroes</w:t>
      </w:r>
      <w:proofErr w:type="spellEnd"/>
      <w:r w:rsidRPr="005049BC">
        <w:rPr>
          <w:rFonts w:ascii="Times New Roman" w:hAnsi="Times New Roman" w:cs="Times New Roman"/>
          <w:sz w:val="20"/>
          <w:szCs w:val="20"/>
        </w:rPr>
        <w:t xml:space="preserve"> workflow in </w:t>
      </w:r>
      <w:proofErr w:type="spellStart"/>
      <w:r w:rsidRPr="005049BC">
        <w:rPr>
          <w:rFonts w:ascii="Times New Roman" w:hAnsi="Times New Roman" w:cs="Times New Roman"/>
          <w:sz w:val="20"/>
          <w:szCs w:val="20"/>
        </w:rPr>
        <w:t>Toxtree</w:t>
      </w:r>
      <w:proofErr w:type="spellEnd"/>
    </w:p>
    <w:p w14:paraId="2712E8E1" w14:textId="0A5B4D63"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Parse out substances that require a compound specific risk assessment – Nominally N/A to TTC</w:t>
      </w:r>
    </w:p>
    <w:p w14:paraId="3C9F92F5" w14:textId="7FD59542" w:rsidR="00CA32F7"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Subset from these substances those that flag for being </w:t>
      </w:r>
      <w:r w:rsidR="00CA32F7" w:rsidRPr="005049BC">
        <w:rPr>
          <w:rFonts w:ascii="Times New Roman" w:hAnsi="Times New Roman" w:cs="Times New Roman"/>
          <w:sz w:val="20"/>
          <w:szCs w:val="20"/>
        </w:rPr>
        <w:t>High</w:t>
      </w:r>
      <w:r w:rsidRPr="005049BC">
        <w:rPr>
          <w:rFonts w:ascii="Times New Roman" w:hAnsi="Times New Roman" w:cs="Times New Roman"/>
          <w:sz w:val="20"/>
          <w:szCs w:val="20"/>
        </w:rPr>
        <w:t xml:space="preserve"> </w:t>
      </w:r>
      <w:r w:rsidR="00CA32F7" w:rsidRPr="005049BC">
        <w:rPr>
          <w:rFonts w:ascii="Times New Roman" w:hAnsi="Times New Roman" w:cs="Times New Roman"/>
          <w:sz w:val="20"/>
          <w:szCs w:val="20"/>
        </w:rPr>
        <w:t>Potency genotoxic carcinogens based on the outcomes to Q3 in the workflow</w:t>
      </w:r>
      <w:r w:rsidRPr="005049BC">
        <w:rPr>
          <w:rFonts w:ascii="Times New Roman" w:hAnsi="Times New Roman" w:cs="Times New Roman"/>
          <w:sz w:val="20"/>
          <w:szCs w:val="20"/>
        </w:rPr>
        <w:t xml:space="preserve"> (Q2YQY3)</w:t>
      </w:r>
    </w:p>
    <w:p w14:paraId="14DA68B0" w14:textId="2F282318" w:rsidR="00CA32F7" w:rsidRPr="005049BC" w:rsidRDefault="00CA32F7"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Parse out the substances </w:t>
      </w:r>
      <w:r w:rsidR="00BD0E8C" w:rsidRPr="005049BC">
        <w:rPr>
          <w:rFonts w:ascii="Times New Roman" w:hAnsi="Times New Roman" w:cs="Times New Roman"/>
          <w:sz w:val="20"/>
          <w:szCs w:val="20"/>
        </w:rPr>
        <w:t xml:space="preserve">from the NA substances those that resulted in a Yes </w:t>
      </w:r>
      <w:r w:rsidRPr="005049BC">
        <w:rPr>
          <w:rFonts w:ascii="Times New Roman" w:hAnsi="Times New Roman" w:cs="Times New Roman"/>
          <w:sz w:val="20"/>
          <w:szCs w:val="20"/>
        </w:rPr>
        <w:t>to Q1.</w:t>
      </w:r>
    </w:p>
    <w:p w14:paraId="1811EB54" w14:textId="643A4940" w:rsidR="00CA32F7" w:rsidRPr="005049BC" w:rsidRDefault="00CA32F7"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Reprocess the substances from Q1Y through a new module to identify OPs</w:t>
      </w:r>
      <w:r w:rsidR="00853F7B" w:rsidRPr="005049BC">
        <w:rPr>
          <w:rFonts w:ascii="Times New Roman" w:hAnsi="Times New Roman" w:cs="Times New Roman"/>
          <w:sz w:val="20"/>
          <w:szCs w:val="20"/>
        </w:rPr>
        <w:t xml:space="preserve"> [using an existing rule in </w:t>
      </w:r>
      <w:proofErr w:type="spellStart"/>
      <w:r w:rsidR="00853F7B" w:rsidRPr="005049BC">
        <w:rPr>
          <w:rFonts w:ascii="Times New Roman" w:hAnsi="Times New Roman" w:cs="Times New Roman"/>
          <w:sz w:val="20"/>
          <w:szCs w:val="20"/>
        </w:rPr>
        <w:t>Kroes</w:t>
      </w:r>
      <w:proofErr w:type="spellEnd"/>
      <w:r w:rsidR="00853F7B" w:rsidRPr="005049BC">
        <w:rPr>
          <w:rFonts w:ascii="Times New Roman" w:hAnsi="Times New Roman" w:cs="Times New Roman"/>
          <w:sz w:val="20"/>
          <w:szCs w:val="20"/>
        </w:rPr>
        <w:t>]</w:t>
      </w:r>
    </w:p>
    <w:p w14:paraId="2453853D" w14:textId="34ED7078"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Parse out substances that flag for an alert for genotoxicity</w:t>
      </w:r>
      <w:r w:rsidR="00853F7B" w:rsidRPr="005049BC">
        <w:rPr>
          <w:rFonts w:ascii="Times New Roman" w:hAnsi="Times New Roman" w:cs="Times New Roman"/>
          <w:sz w:val="20"/>
          <w:szCs w:val="20"/>
        </w:rPr>
        <w:t xml:space="preserve"> </w:t>
      </w:r>
    </w:p>
    <w:p w14:paraId="657AAFDC" w14:textId="270FCBC1"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Reprocess this set to identify steroids and carbamates through new modules</w:t>
      </w:r>
      <w:r w:rsidR="00853F7B" w:rsidRPr="005049BC">
        <w:rPr>
          <w:rFonts w:ascii="Times New Roman" w:hAnsi="Times New Roman" w:cs="Times New Roman"/>
          <w:sz w:val="20"/>
          <w:szCs w:val="20"/>
        </w:rPr>
        <w:t xml:space="preserve"> [using existing rules in </w:t>
      </w:r>
      <w:proofErr w:type="spellStart"/>
      <w:r w:rsidR="00853F7B" w:rsidRPr="005049BC">
        <w:rPr>
          <w:rFonts w:ascii="Times New Roman" w:hAnsi="Times New Roman" w:cs="Times New Roman"/>
          <w:sz w:val="20"/>
          <w:szCs w:val="20"/>
        </w:rPr>
        <w:t>Kroes</w:t>
      </w:r>
      <w:proofErr w:type="spellEnd"/>
      <w:r w:rsidR="00853F7B" w:rsidRPr="005049BC">
        <w:rPr>
          <w:rFonts w:ascii="Times New Roman" w:hAnsi="Times New Roman" w:cs="Times New Roman"/>
          <w:sz w:val="20"/>
          <w:szCs w:val="20"/>
        </w:rPr>
        <w:t>]</w:t>
      </w:r>
    </w:p>
    <w:p w14:paraId="1EAC2E31" w14:textId="2D7104E6"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Exclude the steroids and carbamates set from the subset of substances flagged</w:t>
      </w:r>
      <w:r w:rsidR="00B94D47">
        <w:rPr>
          <w:rFonts w:ascii="Times New Roman" w:hAnsi="Times New Roman" w:cs="Times New Roman"/>
          <w:sz w:val="20"/>
          <w:szCs w:val="20"/>
        </w:rPr>
        <w:t xml:space="preserve"> with</w:t>
      </w:r>
      <w:r w:rsidRPr="005049BC">
        <w:rPr>
          <w:rFonts w:ascii="Times New Roman" w:hAnsi="Times New Roman" w:cs="Times New Roman"/>
          <w:sz w:val="20"/>
          <w:szCs w:val="20"/>
        </w:rPr>
        <w:t xml:space="preserve"> a genotoxicity alert</w:t>
      </w:r>
    </w:p>
    <w:p w14:paraId="7FB7623A" w14:textId="5E13E9A7"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lastRenderedPageBreak/>
        <w:t>Combine the steroid set with the remaining compound specific risk assessment set but excluding the OPs</w:t>
      </w:r>
      <w:r w:rsidR="0013097E" w:rsidRPr="005049BC">
        <w:rPr>
          <w:rFonts w:ascii="Times New Roman" w:hAnsi="Times New Roman" w:cs="Times New Roman"/>
          <w:sz w:val="20"/>
          <w:szCs w:val="20"/>
        </w:rPr>
        <w:t xml:space="preserve"> to derive the total of substances for which it was not appropriate to use TTC for.</w:t>
      </w:r>
    </w:p>
    <w:p w14:paraId="559D10F9" w14:textId="5876E69D" w:rsidR="00BD0E8C" w:rsidRPr="005049BC" w:rsidRDefault="00BD0E8C" w:rsidP="005049BC">
      <w:pPr>
        <w:pStyle w:val="ListParagraph"/>
        <w:numPr>
          <w:ilvl w:val="0"/>
          <w:numId w:val="2"/>
        </w:num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Process the remaining </w:t>
      </w:r>
      <w:r w:rsidR="0013097E" w:rsidRPr="005049BC">
        <w:rPr>
          <w:rFonts w:ascii="Times New Roman" w:hAnsi="Times New Roman" w:cs="Times New Roman"/>
          <w:sz w:val="20"/>
          <w:szCs w:val="20"/>
        </w:rPr>
        <w:t xml:space="preserve">dataset after removal of substances NA or flagging an alert for </w:t>
      </w:r>
      <w:proofErr w:type="spellStart"/>
      <w:r w:rsidR="0013097E" w:rsidRPr="005049BC">
        <w:rPr>
          <w:rFonts w:ascii="Times New Roman" w:hAnsi="Times New Roman" w:cs="Times New Roman"/>
          <w:sz w:val="20"/>
          <w:szCs w:val="20"/>
        </w:rPr>
        <w:t>genetox</w:t>
      </w:r>
      <w:proofErr w:type="spellEnd"/>
      <w:r w:rsidR="0013097E" w:rsidRPr="005049BC">
        <w:rPr>
          <w:rFonts w:ascii="Times New Roman" w:hAnsi="Times New Roman" w:cs="Times New Roman"/>
          <w:sz w:val="20"/>
          <w:szCs w:val="20"/>
        </w:rPr>
        <w:t xml:space="preserve"> or an OP/carbamate</w:t>
      </w:r>
      <w:r w:rsidRPr="005049BC">
        <w:rPr>
          <w:rFonts w:ascii="Times New Roman" w:hAnsi="Times New Roman" w:cs="Times New Roman"/>
          <w:sz w:val="20"/>
          <w:szCs w:val="20"/>
        </w:rPr>
        <w:t xml:space="preserve"> through the Cramer </w:t>
      </w:r>
      <w:proofErr w:type="spellStart"/>
      <w:r w:rsidRPr="005049BC">
        <w:rPr>
          <w:rFonts w:ascii="Times New Roman" w:hAnsi="Times New Roman" w:cs="Times New Roman"/>
          <w:sz w:val="20"/>
          <w:szCs w:val="20"/>
        </w:rPr>
        <w:t>Toxtree</w:t>
      </w:r>
      <w:proofErr w:type="spellEnd"/>
      <w:r w:rsidRPr="005049BC">
        <w:rPr>
          <w:rFonts w:ascii="Times New Roman" w:hAnsi="Times New Roman" w:cs="Times New Roman"/>
          <w:sz w:val="20"/>
          <w:szCs w:val="20"/>
        </w:rPr>
        <w:t xml:space="preserve"> module</w:t>
      </w:r>
    </w:p>
    <w:p w14:paraId="501EE8D9" w14:textId="3D5188ED" w:rsidR="00853F7B" w:rsidRPr="005049BC" w:rsidRDefault="00853F7B"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 xml:space="preserve">For each of the respective sets of categories, a count of the number of substances that exceeded the Total median or UCI was performed using the </w:t>
      </w:r>
      <w:proofErr w:type="spellStart"/>
      <w:r w:rsidRPr="005049BC">
        <w:rPr>
          <w:rFonts w:ascii="Times New Roman" w:hAnsi="Times New Roman" w:cs="Times New Roman"/>
          <w:sz w:val="20"/>
          <w:szCs w:val="20"/>
        </w:rPr>
        <w:t>dplyr</w:t>
      </w:r>
      <w:proofErr w:type="spellEnd"/>
      <w:r w:rsidRPr="005049BC">
        <w:rPr>
          <w:rFonts w:ascii="Times New Roman" w:hAnsi="Times New Roman" w:cs="Times New Roman"/>
          <w:sz w:val="20"/>
          <w:szCs w:val="20"/>
        </w:rPr>
        <w:t xml:space="preserve"> in R. </w:t>
      </w:r>
    </w:p>
    <w:p w14:paraId="7BB3E667" w14:textId="04F9DBE7" w:rsidR="00853F7B" w:rsidRPr="005049BC" w:rsidRDefault="00853F7B"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The outputs of this re-analysis result</w:t>
      </w:r>
      <w:r w:rsidR="005049BC" w:rsidRPr="005049BC">
        <w:rPr>
          <w:rFonts w:ascii="Times New Roman" w:hAnsi="Times New Roman" w:cs="Times New Roman"/>
          <w:sz w:val="20"/>
          <w:szCs w:val="20"/>
        </w:rPr>
        <w:t>ed</w:t>
      </w:r>
      <w:r w:rsidRPr="005049BC">
        <w:rPr>
          <w:rFonts w:ascii="Times New Roman" w:hAnsi="Times New Roman" w:cs="Times New Roman"/>
          <w:sz w:val="20"/>
          <w:szCs w:val="20"/>
        </w:rPr>
        <w:t xml:space="preserve"> in the following revised tables 2 and 3.</w:t>
      </w:r>
    </w:p>
    <w:p w14:paraId="4EED5EA3" w14:textId="77777777" w:rsidR="00853F7B" w:rsidRPr="005049BC" w:rsidRDefault="00853F7B" w:rsidP="00853F7B">
      <w:pPr>
        <w:shd w:val="clear" w:color="auto" w:fill="FFFFFF"/>
        <w:spacing w:after="0" w:line="480" w:lineRule="auto"/>
        <w:rPr>
          <w:rFonts w:ascii="Times New Roman" w:eastAsia="Times New Roman" w:hAnsi="Times New Roman" w:cs="Times New Roman"/>
          <w:color w:val="212121"/>
          <w:sz w:val="20"/>
          <w:szCs w:val="20"/>
        </w:rPr>
      </w:pPr>
      <w:r w:rsidRPr="005049BC">
        <w:rPr>
          <w:rFonts w:ascii="Times New Roman" w:eastAsia="Times New Roman" w:hAnsi="Times New Roman" w:cs="Times New Roman"/>
          <w:b/>
          <w:color w:val="212121"/>
          <w:sz w:val="20"/>
          <w:szCs w:val="20"/>
        </w:rPr>
        <w:t>Table 2. Results of filtering the dataset based on structures to categorize substances for application of structural category-specific TTC values</w:t>
      </w:r>
      <w:r w:rsidRPr="005049BC">
        <w:rPr>
          <w:rFonts w:ascii="Times New Roman" w:eastAsia="Times New Roman" w:hAnsi="Times New Roman" w:cs="Times New Roman"/>
          <w:color w:val="212121"/>
          <w:sz w:val="20"/>
          <w:szCs w:val="20"/>
        </w:rPr>
        <w:t>.</w:t>
      </w:r>
    </w:p>
    <w:tbl>
      <w:tblPr>
        <w:tblStyle w:val="TableGrid"/>
        <w:tblW w:w="9625" w:type="dxa"/>
        <w:tblLook w:val="04A0" w:firstRow="1" w:lastRow="0" w:firstColumn="1" w:lastColumn="0" w:noHBand="0" w:noVBand="1"/>
      </w:tblPr>
      <w:tblGrid>
        <w:gridCol w:w="4675"/>
        <w:gridCol w:w="4950"/>
      </w:tblGrid>
      <w:tr w:rsidR="00853F7B" w:rsidRPr="005049BC" w14:paraId="70E74C2A" w14:textId="77777777" w:rsidTr="00A375C8">
        <w:tc>
          <w:tcPr>
            <w:tcW w:w="4675" w:type="dxa"/>
          </w:tcPr>
          <w:p w14:paraId="03547048"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TTC category</w:t>
            </w:r>
          </w:p>
        </w:tc>
        <w:tc>
          <w:tcPr>
            <w:tcW w:w="4950" w:type="dxa"/>
          </w:tcPr>
          <w:p w14:paraId="59641E32"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 of chemicals</w:t>
            </w:r>
          </w:p>
        </w:tc>
      </w:tr>
      <w:tr w:rsidR="00853F7B" w:rsidRPr="005049BC" w14:paraId="07C32C32" w14:textId="77777777" w:rsidTr="00A375C8">
        <w:tc>
          <w:tcPr>
            <w:tcW w:w="4675" w:type="dxa"/>
          </w:tcPr>
          <w:p w14:paraId="7461DC98"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Total dataset</w:t>
            </w:r>
          </w:p>
        </w:tc>
        <w:tc>
          <w:tcPr>
            <w:tcW w:w="4950" w:type="dxa"/>
          </w:tcPr>
          <w:p w14:paraId="69589E70"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7968</w:t>
            </w:r>
          </w:p>
        </w:tc>
      </w:tr>
      <w:tr w:rsidR="00853F7B" w:rsidRPr="005049BC" w14:paraId="58CFFEC1" w14:textId="77777777" w:rsidTr="00A375C8">
        <w:tc>
          <w:tcPr>
            <w:tcW w:w="4675" w:type="dxa"/>
          </w:tcPr>
          <w:p w14:paraId="65833727"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Dataset with available structures</w:t>
            </w:r>
          </w:p>
        </w:tc>
        <w:tc>
          <w:tcPr>
            <w:tcW w:w="4950" w:type="dxa"/>
          </w:tcPr>
          <w:p w14:paraId="75E7CDD3"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 xml:space="preserve">7699 </w:t>
            </w:r>
          </w:p>
        </w:tc>
      </w:tr>
      <w:tr w:rsidR="00853F7B" w:rsidRPr="005049BC" w14:paraId="4184D6F3" w14:textId="77777777" w:rsidTr="00A375C8">
        <w:tc>
          <w:tcPr>
            <w:tcW w:w="4675" w:type="dxa"/>
          </w:tcPr>
          <w:p w14:paraId="3E6D098E"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TTC is not appropriate</w:t>
            </w:r>
          </w:p>
        </w:tc>
        <w:tc>
          <w:tcPr>
            <w:tcW w:w="4950" w:type="dxa"/>
          </w:tcPr>
          <w:p w14:paraId="78146573"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231</w:t>
            </w:r>
          </w:p>
        </w:tc>
      </w:tr>
      <w:tr w:rsidR="00853F7B" w:rsidRPr="005049BC" w14:paraId="326D42C8" w14:textId="77777777" w:rsidTr="00A375C8">
        <w:tc>
          <w:tcPr>
            <w:tcW w:w="4675" w:type="dxa"/>
          </w:tcPr>
          <w:p w14:paraId="203710F4"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TTC is appropriate</w:t>
            </w:r>
          </w:p>
        </w:tc>
        <w:tc>
          <w:tcPr>
            <w:tcW w:w="4950" w:type="dxa"/>
          </w:tcPr>
          <w:p w14:paraId="7B9230F6"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eastAsia="Times New Roman" w:hAnsi="Times New Roman" w:cs="Times New Roman"/>
                <w:color w:val="000000"/>
                <w:sz w:val="20"/>
                <w:szCs w:val="20"/>
              </w:rPr>
              <w:t>5378*</w:t>
            </w:r>
          </w:p>
        </w:tc>
      </w:tr>
      <w:tr w:rsidR="00853F7B" w:rsidRPr="005049BC" w14:paraId="11991C26" w14:textId="77777777" w:rsidTr="00A375C8">
        <w:tc>
          <w:tcPr>
            <w:tcW w:w="4675" w:type="dxa"/>
          </w:tcPr>
          <w:p w14:paraId="24A7BE69"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Genotoxic chemicals</w:t>
            </w:r>
          </w:p>
        </w:tc>
        <w:tc>
          <w:tcPr>
            <w:tcW w:w="4950" w:type="dxa"/>
          </w:tcPr>
          <w:p w14:paraId="52408E1F"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1827</w:t>
            </w:r>
          </w:p>
        </w:tc>
      </w:tr>
      <w:tr w:rsidR="00853F7B" w:rsidRPr="005049BC" w14:paraId="191A682C" w14:textId="77777777" w:rsidTr="00A375C8">
        <w:tc>
          <w:tcPr>
            <w:tcW w:w="4675" w:type="dxa"/>
          </w:tcPr>
          <w:p w14:paraId="39D98BF6" w14:textId="77777777" w:rsidR="00853F7B" w:rsidRPr="005049BC" w:rsidRDefault="00853F7B" w:rsidP="00A375C8">
            <w:pPr>
              <w:spacing w:line="480" w:lineRule="auto"/>
              <w:rPr>
                <w:rFonts w:ascii="Times New Roman" w:hAnsi="Times New Roman" w:cs="Times New Roman"/>
                <w:sz w:val="20"/>
                <w:szCs w:val="20"/>
              </w:rPr>
            </w:pPr>
            <w:proofErr w:type="spellStart"/>
            <w:r w:rsidRPr="005049BC">
              <w:rPr>
                <w:rFonts w:ascii="Times New Roman" w:hAnsi="Times New Roman" w:cs="Times New Roman"/>
                <w:sz w:val="20"/>
                <w:szCs w:val="20"/>
              </w:rPr>
              <w:t>AChEIs</w:t>
            </w:r>
            <w:proofErr w:type="spellEnd"/>
          </w:p>
        </w:tc>
        <w:tc>
          <w:tcPr>
            <w:tcW w:w="4950" w:type="dxa"/>
          </w:tcPr>
          <w:p w14:paraId="69DB3202"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263</w:t>
            </w:r>
          </w:p>
        </w:tc>
      </w:tr>
      <w:tr w:rsidR="00853F7B" w:rsidRPr="005049BC" w14:paraId="250BC64E" w14:textId="77777777" w:rsidTr="00A375C8">
        <w:tc>
          <w:tcPr>
            <w:tcW w:w="4675" w:type="dxa"/>
          </w:tcPr>
          <w:p w14:paraId="251B139D"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Cramer class III</w:t>
            </w:r>
          </w:p>
        </w:tc>
        <w:tc>
          <w:tcPr>
            <w:tcW w:w="4950" w:type="dxa"/>
          </w:tcPr>
          <w:p w14:paraId="1ACC2748"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3957</w:t>
            </w:r>
          </w:p>
        </w:tc>
      </w:tr>
      <w:tr w:rsidR="00853F7B" w:rsidRPr="005049BC" w14:paraId="5AB8270F" w14:textId="77777777" w:rsidTr="00A375C8">
        <w:tc>
          <w:tcPr>
            <w:tcW w:w="4675" w:type="dxa"/>
          </w:tcPr>
          <w:p w14:paraId="4FC36D4F"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Cramer class II</w:t>
            </w:r>
          </w:p>
        </w:tc>
        <w:tc>
          <w:tcPr>
            <w:tcW w:w="4950" w:type="dxa"/>
          </w:tcPr>
          <w:p w14:paraId="17455AC6"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165</w:t>
            </w:r>
          </w:p>
        </w:tc>
      </w:tr>
      <w:tr w:rsidR="00853F7B" w:rsidRPr="005049BC" w14:paraId="5B3D5D3B" w14:textId="77777777" w:rsidTr="00A375C8">
        <w:tc>
          <w:tcPr>
            <w:tcW w:w="4675" w:type="dxa"/>
          </w:tcPr>
          <w:p w14:paraId="65BF4F13"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Cramer class I</w:t>
            </w:r>
          </w:p>
        </w:tc>
        <w:tc>
          <w:tcPr>
            <w:tcW w:w="4950" w:type="dxa"/>
          </w:tcPr>
          <w:p w14:paraId="774989EE" w14:textId="77777777" w:rsidR="00853F7B" w:rsidRPr="005049BC" w:rsidRDefault="00853F7B" w:rsidP="00A375C8">
            <w:pPr>
              <w:spacing w:line="480" w:lineRule="auto"/>
              <w:rPr>
                <w:rFonts w:ascii="Times New Roman" w:hAnsi="Times New Roman" w:cs="Times New Roman"/>
                <w:sz w:val="20"/>
                <w:szCs w:val="20"/>
              </w:rPr>
            </w:pPr>
            <w:r w:rsidRPr="005049BC">
              <w:rPr>
                <w:rFonts w:ascii="Times New Roman" w:hAnsi="Times New Roman" w:cs="Times New Roman"/>
                <w:sz w:val="20"/>
                <w:szCs w:val="20"/>
              </w:rPr>
              <w:t>1253</w:t>
            </w:r>
          </w:p>
        </w:tc>
      </w:tr>
    </w:tbl>
    <w:p w14:paraId="5C2E7E51" w14:textId="0BD63E51" w:rsidR="00853F7B" w:rsidRPr="005049BC" w:rsidRDefault="00853F7B" w:rsidP="00853F7B">
      <w:pPr>
        <w:rPr>
          <w:rFonts w:ascii="Times New Roman" w:hAnsi="Times New Roman" w:cs="Times New Roman"/>
          <w:sz w:val="20"/>
          <w:szCs w:val="20"/>
        </w:rPr>
      </w:pPr>
      <w:r w:rsidRPr="005049BC">
        <w:rPr>
          <w:rFonts w:ascii="Times New Roman" w:hAnsi="Times New Roman" w:cs="Times New Roman"/>
          <w:sz w:val="20"/>
          <w:szCs w:val="20"/>
        </w:rPr>
        <w:t>#3 substances were corrupted during Cramer class processing hence final number is 5375</w:t>
      </w:r>
    </w:p>
    <w:p w14:paraId="7EB0DA1D" w14:textId="77777777" w:rsidR="00853F7B" w:rsidRPr="005049BC" w:rsidRDefault="00853F7B" w:rsidP="00853F7B">
      <w:pPr>
        <w:rPr>
          <w:rFonts w:ascii="Times New Roman" w:hAnsi="Times New Roman" w:cs="Times New Roman"/>
          <w:sz w:val="20"/>
          <w:szCs w:val="20"/>
        </w:rPr>
      </w:pPr>
    </w:p>
    <w:p w14:paraId="61AC91EE" w14:textId="77777777" w:rsidR="00853F7B" w:rsidRPr="005049BC" w:rsidRDefault="00853F7B" w:rsidP="00853F7B">
      <w:pPr>
        <w:spacing w:line="480" w:lineRule="auto"/>
        <w:rPr>
          <w:rFonts w:ascii="Times New Roman" w:hAnsi="Times New Roman" w:cs="Times New Roman"/>
          <w:b/>
          <w:sz w:val="20"/>
          <w:szCs w:val="20"/>
        </w:rPr>
      </w:pPr>
      <w:r w:rsidRPr="005049BC">
        <w:rPr>
          <w:rFonts w:ascii="Times New Roman" w:hAnsi="Times New Roman" w:cs="Times New Roman"/>
          <w:b/>
          <w:sz w:val="20"/>
          <w:szCs w:val="20"/>
        </w:rPr>
        <w:t>Table 3. Risk-Based Prioritization Results Based on the HTE: TTC Exposure to Activity Ratio Method</w:t>
      </w:r>
    </w:p>
    <w:tbl>
      <w:tblPr>
        <w:tblStyle w:val="TableGrid"/>
        <w:tblW w:w="9805" w:type="dxa"/>
        <w:tblLook w:val="04A0" w:firstRow="1" w:lastRow="0" w:firstColumn="1" w:lastColumn="0" w:noHBand="0" w:noVBand="1"/>
      </w:tblPr>
      <w:tblGrid>
        <w:gridCol w:w="1705"/>
        <w:gridCol w:w="1096"/>
        <w:gridCol w:w="2414"/>
        <w:gridCol w:w="2430"/>
        <w:gridCol w:w="2160"/>
      </w:tblGrid>
      <w:tr w:rsidR="00853F7B" w:rsidRPr="005049BC" w14:paraId="766E004F" w14:textId="77777777" w:rsidTr="00A375C8">
        <w:tc>
          <w:tcPr>
            <w:tcW w:w="1705" w:type="dxa"/>
            <w:vMerge w:val="restart"/>
          </w:tcPr>
          <w:p w14:paraId="346739FE"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TTC category</w:t>
            </w:r>
          </w:p>
        </w:tc>
        <w:tc>
          <w:tcPr>
            <w:tcW w:w="1096" w:type="dxa"/>
            <w:vMerge w:val="restart"/>
          </w:tcPr>
          <w:p w14:paraId="772899A4"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Number of chemicals</w:t>
            </w:r>
          </w:p>
        </w:tc>
        <w:tc>
          <w:tcPr>
            <w:tcW w:w="2414" w:type="dxa"/>
            <w:vMerge w:val="restart"/>
          </w:tcPr>
          <w:p w14:paraId="6B9B16A5"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TTC (µg/kg-day for 60 kg adult)</w:t>
            </w:r>
          </w:p>
        </w:tc>
        <w:tc>
          <w:tcPr>
            <w:tcW w:w="4590" w:type="dxa"/>
            <w:gridSpan w:val="2"/>
          </w:tcPr>
          <w:p w14:paraId="37C0B1B3" w14:textId="77777777" w:rsidR="00853F7B" w:rsidRPr="005049BC" w:rsidRDefault="00853F7B" w:rsidP="00A375C8">
            <w:pPr>
              <w:pStyle w:val="NoSpacing"/>
              <w:jc w:val="center"/>
              <w:rPr>
                <w:rFonts w:ascii="Times New Roman" w:hAnsi="Times New Roman" w:cs="Times New Roman"/>
                <w:sz w:val="20"/>
                <w:szCs w:val="20"/>
              </w:rPr>
            </w:pPr>
            <w:r w:rsidRPr="005049BC">
              <w:rPr>
                <w:rFonts w:ascii="Times New Roman" w:hAnsi="Times New Roman" w:cs="Times New Roman"/>
                <w:sz w:val="20"/>
                <w:szCs w:val="20"/>
              </w:rPr>
              <w:t>Percentage of Substances Exceeding the TTC</w:t>
            </w:r>
          </w:p>
        </w:tc>
      </w:tr>
      <w:tr w:rsidR="00853F7B" w:rsidRPr="005049BC" w14:paraId="2C2FAC6A" w14:textId="77777777" w:rsidTr="00A375C8">
        <w:tc>
          <w:tcPr>
            <w:tcW w:w="1705" w:type="dxa"/>
            <w:vMerge/>
          </w:tcPr>
          <w:p w14:paraId="750EC032" w14:textId="77777777" w:rsidR="00853F7B" w:rsidRPr="005049BC" w:rsidRDefault="00853F7B" w:rsidP="00A375C8">
            <w:pPr>
              <w:pStyle w:val="NoSpacing"/>
              <w:rPr>
                <w:rFonts w:ascii="Times New Roman" w:hAnsi="Times New Roman" w:cs="Times New Roman"/>
                <w:sz w:val="20"/>
                <w:szCs w:val="20"/>
              </w:rPr>
            </w:pPr>
          </w:p>
        </w:tc>
        <w:tc>
          <w:tcPr>
            <w:tcW w:w="1096" w:type="dxa"/>
            <w:vMerge/>
          </w:tcPr>
          <w:p w14:paraId="51F034C6" w14:textId="77777777" w:rsidR="00853F7B" w:rsidRPr="005049BC" w:rsidRDefault="00853F7B" w:rsidP="00A375C8">
            <w:pPr>
              <w:pStyle w:val="NoSpacing"/>
              <w:rPr>
                <w:rFonts w:ascii="Times New Roman" w:hAnsi="Times New Roman" w:cs="Times New Roman"/>
                <w:sz w:val="20"/>
                <w:szCs w:val="20"/>
              </w:rPr>
            </w:pPr>
          </w:p>
        </w:tc>
        <w:tc>
          <w:tcPr>
            <w:tcW w:w="2414" w:type="dxa"/>
            <w:vMerge/>
          </w:tcPr>
          <w:p w14:paraId="07257E74" w14:textId="77777777" w:rsidR="00853F7B" w:rsidRPr="005049BC" w:rsidRDefault="00853F7B" w:rsidP="00A375C8">
            <w:pPr>
              <w:pStyle w:val="NoSpacing"/>
              <w:rPr>
                <w:rFonts w:ascii="Times New Roman" w:hAnsi="Times New Roman" w:cs="Times New Roman"/>
                <w:sz w:val="20"/>
                <w:szCs w:val="20"/>
              </w:rPr>
            </w:pPr>
          </w:p>
        </w:tc>
        <w:tc>
          <w:tcPr>
            <w:tcW w:w="2430" w:type="dxa"/>
          </w:tcPr>
          <w:p w14:paraId="4470D88B"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UCI Exposure Value (number of chemicals)</w:t>
            </w:r>
          </w:p>
        </w:tc>
        <w:tc>
          <w:tcPr>
            <w:tcW w:w="2160" w:type="dxa"/>
          </w:tcPr>
          <w:p w14:paraId="38303360"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Median Exposure Value (number of chemicals)</w:t>
            </w:r>
          </w:p>
        </w:tc>
      </w:tr>
      <w:tr w:rsidR="00853F7B" w:rsidRPr="005049BC" w14:paraId="35A5CEF9" w14:textId="77777777" w:rsidTr="00A375C8">
        <w:tc>
          <w:tcPr>
            <w:tcW w:w="1705" w:type="dxa"/>
          </w:tcPr>
          <w:p w14:paraId="3BF61D60"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Cramer class III</w:t>
            </w:r>
          </w:p>
        </w:tc>
        <w:tc>
          <w:tcPr>
            <w:tcW w:w="1096" w:type="dxa"/>
          </w:tcPr>
          <w:p w14:paraId="6BD1AE8F"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3957</w:t>
            </w:r>
          </w:p>
        </w:tc>
        <w:tc>
          <w:tcPr>
            <w:tcW w:w="2414" w:type="dxa"/>
          </w:tcPr>
          <w:p w14:paraId="6622971D"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1.5 μg/kg-day</w:t>
            </w:r>
          </w:p>
        </w:tc>
        <w:tc>
          <w:tcPr>
            <w:tcW w:w="2430" w:type="dxa"/>
          </w:tcPr>
          <w:p w14:paraId="580C146B"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 (51)</w:t>
            </w:r>
          </w:p>
        </w:tc>
        <w:tc>
          <w:tcPr>
            <w:tcW w:w="2160" w:type="dxa"/>
          </w:tcPr>
          <w:p w14:paraId="62782163"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r>
      <w:tr w:rsidR="00853F7B" w:rsidRPr="005049BC" w14:paraId="31648ECC" w14:textId="77777777" w:rsidTr="00A375C8">
        <w:tc>
          <w:tcPr>
            <w:tcW w:w="1705" w:type="dxa"/>
          </w:tcPr>
          <w:p w14:paraId="3501F189"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Cramer class II</w:t>
            </w:r>
          </w:p>
        </w:tc>
        <w:tc>
          <w:tcPr>
            <w:tcW w:w="1096" w:type="dxa"/>
          </w:tcPr>
          <w:p w14:paraId="269BEEC3"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165</w:t>
            </w:r>
          </w:p>
        </w:tc>
        <w:tc>
          <w:tcPr>
            <w:tcW w:w="2414" w:type="dxa"/>
          </w:tcPr>
          <w:p w14:paraId="47236816"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9.0 μg/kg-day</w:t>
            </w:r>
          </w:p>
        </w:tc>
        <w:tc>
          <w:tcPr>
            <w:tcW w:w="2430" w:type="dxa"/>
          </w:tcPr>
          <w:p w14:paraId="345CE524"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c>
          <w:tcPr>
            <w:tcW w:w="2160" w:type="dxa"/>
          </w:tcPr>
          <w:p w14:paraId="6ACF650D"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r>
      <w:tr w:rsidR="00853F7B" w:rsidRPr="005049BC" w14:paraId="7D88F17A" w14:textId="77777777" w:rsidTr="00A375C8">
        <w:tc>
          <w:tcPr>
            <w:tcW w:w="1705" w:type="dxa"/>
          </w:tcPr>
          <w:p w14:paraId="79C6F150"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Cramer class I</w:t>
            </w:r>
          </w:p>
        </w:tc>
        <w:tc>
          <w:tcPr>
            <w:tcW w:w="1096" w:type="dxa"/>
          </w:tcPr>
          <w:p w14:paraId="602475A8"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1253</w:t>
            </w:r>
          </w:p>
        </w:tc>
        <w:tc>
          <w:tcPr>
            <w:tcW w:w="2414" w:type="dxa"/>
          </w:tcPr>
          <w:p w14:paraId="71C2A7F0"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30 μg/kg-day</w:t>
            </w:r>
          </w:p>
        </w:tc>
        <w:tc>
          <w:tcPr>
            <w:tcW w:w="2430" w:type="dxa"/>
          </w:tcPr>
          <w:p w14:paraId="53B19055"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c>
          <w:tcPr>
            <w:tcW w:w="2160" w:type="dxa"/>
          </w:tcPr>
          <w:p w14:paraId="5DFAE751"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r>
      <w:tr w:rsidR="00853F7B" w:rsidRPr="005049BC" w14:paraId="2FD90120" w14:textId="77777777" w:rsidTr="00A375C8">
        <w:tc>
          <w:tcPr>
            <w:tcW w:w="1705" w:type="dxa"/>
          </w:tcPr>
          <w:p w14:paraId="09A4DA79" w14:textId="77777777" w:rsidR="00853F7B" w:rsidRPr="005049BC" w:rsidRDefault="00853F7B" w:rsidP="00A375C8">
            <w:pPr>
              <w:pStyle w:val="NoSpacing"/>
              <w:rPr>
                <w:rFonts w:ascii="Times New Roman" w:hAnsi="Times New Roman" w:cs="Times New Roman"/>
                <w:sz w:val="20"/>
                <w:szCs w:val="20"/>
              </w:rPr>
            </w:pPr>
            <w:proofErr w:type="spellStart"/>
            <w:r w:rsidRPr="005049BC">
              <w:rPr>
                <w:rFonts w:ascii="Times New Roman" w:hAnsi="Times New Roman" w:cs="Times New Roman"/>
                <w:sz w:val="20"/>
                <w:szCs w:val="20"/>
              </w:rPr>
              <w:t>AChEIs</w:t>
            </w:r>
            <w:proofErr w:type="spellEnd"/>
          </w:p>
        </w:tc>
        <w:tc>
          <w:tcPr>
            <w:tcW w:w="1096" w:type="dxa"/>
          </w:tcPr>
          <w:p w14:paraId="145DFEE5"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263</w:t>
            </w:r>
          </w:p>
        </w:tc>
        <w:tc>
          <w:tcPr>
            <w:tcW w:w="2414" w:type="dxa"/>
          </w:tcPr>
          <w:p w14:paraId="75084DBC"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0.3 μg/kg-day</w:t>
            </w:r>
          </w:p>
        </w:tc>
        <w:tc>
          <w:tcPr>
            <w:tcW w:w="2430" w:type="dxa"/>
          </w:tcPr>
          <w:p w14:paraId="5A9B2E7D"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3% (8)</w:t>
            </w:r>
          </w:p>
        </w:tc>
        <w:tc>
          <w:tcPr>
            <w:tcW w:w="2160" w:type="dxa"/>
          </w:tcPr>
          <w:p w14:paraId="0E5361BB"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0</w:t>
            </w:r>
          </w:p>
        </w:tc>
      </w:tr>
      <w:tr w:rsidR="00853F7B" w:rsidRPr="005049BC" w14:paraId="115CBE97" w14:textId="77777777" w:rsidTr="00A375C8">
        <w:tc>
          <w:tcPr>
            <w:tcW w:w="1705" w:type="dxa"/>
            <w:vMerge w:val="restart"/>
          </w:tcPr>
          <w:p w14:paraId="330CF953"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Genotoxic alerts</w:t>
            </w:r>
          </w:p>
        </w:tc>
        <w:tc>
          <w:tcPr>
            <w:tcW w:w="1096" w:type="dxa"/>
            <w:vMerge w:val="restart"/>
          </w:tcPr>
          <w:p w14:paraId="13C5B0AF"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1827</w:t>
            </w:r>
          </w:p>
        </w:tc>
        <w:tc>
          <w:tcPr>
            <w:tcW w:w="2414" w:type="dxa"/>
          </w:tcPr>
          <w:p w14:paraId="2217E0A6" w14:textId="77777777" w:rsidR="00853F7B" w:rsidRPr="005049BC" w:rsidRDefault="00853F7B" w:rsidP="00A375C8">
            <w:pPr>
              <w:pStyle w:val="NoSpacing"/>
              <w:rPr>
                <w:rFonts w:ascii="Times New Roman" w:hAnsi="Times New Roman" w:cs="Times New Roman"/>
                <w:sz w:val="20"/>
                <w:szCs w:val="20"/>
              </w:rPr>
            </w:pPr>
            <w:proofErr w:type="spellStart"/>
            <w:r w:rsidRPr="005049BC">
              <w:rPr>
                <w:rFonts w:ascii="Times New Roman" w:hAnsi="Times New Roman" w:cs="Times New Roman"/>
                <w:sz w:val="20"/>
                <w:szCs w:val="20"/>
              </w:rPr>
              <w:t>Kroes</w:t>
            </w:r>
            <w:proofErr w:type="spellEnd"/>
            <w:r w:rsidRPr="005049BC">
              <w:rPr>
                <w:rFonts w:ascii="Times New Roman" w:hAnsi="Times New Roman" w:cs="Times New Roman"/>
                <w:sz w:val="20"/>
                <w:szCs w:val="20"/>
              </w:rPr>
              <w:t xml:space="preserve"> 0.0025 </w:t>
            </w:r>
            <w:proofErr w:type="spellStart"/>
            <w:r w:rsidRPr="005049BC">
              <w:rPr>
                <w:rFonts w:ascii="Times New Roman" w:hAnsi="Times New Roman" w:cs="Times New Roman"/>
                <w:sz w:val="20"/>
                <w:szCs w:val="20"/>
              </w:rPr>
              <w:t>μg</w:t>
            </w:r>
            <w:proofErr w:type="spellEnd"/>
            <w:r w:rsidRPr="005049BC">
              <w:rPr>
                <w:rFonts w:ascii="Times New Roman" w:hAnsi="Times New Roman" w:cs="Times New Roman"/>
                <w:sz w:val="20"/>
                <w:szCs w:val="20"/>
              </w:rPr>
              <w:t xml:space="preserve">/kg-day </w:t>
            </w:r>
          </w:p>
        </w:tc>
        <w:tc>
          <w:tcPr>
            <w:tcW w:w="2430" w:type="dxa"/>
          </w:tcPr>
          <w:p w14:paraId="09120731"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94% (1723)</w:t>
            </w:r>
          </w:p>
        </w:tc>
        <w:tc>
          <w:tcPr>
            <w:tcW w:w="2160" w:type="dxa"/>
          </w:tcPr>
          <w:p w14:paraId="13AA8FD6"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4% (77)</w:t>
            </w:r>
          </w:p>
        </w:tc>
      </w:tr>
      <w:tr w:rsidR="00853F7B" w:rsidRPr="005049BC" w14:paraId="668A52D7" w14:textId="77777777" w:rsidTr="00A375C8">
        <w:tc>
          <w:tcPr>
            <w:tcW w:w="1705" w:type="dxa"/>
            <w:vMerge/>
          </w:tcPr>
          <w:p w14:paraId="2E086306" w14:textId="77777777" w:rsidR="00853F7B" w:rsidRPr="005049BC" w:rsidRDefault="00853F7B" w:rsidP="00A375C8">
            <w:pPr>
              <w:pStyle w:val="NoSpacing"/>
              <w:rPr>
                <w:rFonts w:ascii="Times New Roman" w:hAnsi="Times New Roman" w:cs="Times New Roman"/>
                <w:sz w:val="20"/>
                <w:szCs w:val="20"/>
              </w:rPr>
            </w:pPr>
          </w:p>
        </w:tc>
        <w:tc>
          <w:tcPr>
            <w:tcW w:w="1096" w:type="dxa"/>
            <w:vMerge/>
          </w:tcPr>
          <w:p w14:paraId="12CBB18D" w14:textId="77777777" w:rsidR="00853F7B" w:rsidRPr="005049BC" w:rsidRDefault="00853F7B" w:rsidP="00A375C8">
            <w:pPr>
              <w:pStyle w:val="NoSpacing"/>
              <w:rPr>
                <w:rFonts w:ascii="Times New Roman" w:hAnsi="Times New Roman" w:cs="Times New Roman"/>
                <w:sz w:val="20"/>
                <w:szCs w:val="20"/>
              </w:rPr>
            </w:pPr>
          </w:p>
        </w:tc>
        <w:tc>
          <w:tcPr>
            <w:tcW w:w="2414" w:type="dxa"/>
          </w:tcPr>
          <w:p w14:paraId="2B6735EE"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 xml:space="preserve">ICH    0.025 μg/kg-day </w:t>
            </w:r>
          </w:p>
        </w:tc>
        <w:tc>
          <w:tcPr>
            <w:tcW w:w="2430" w:type="dxa"/>
          </w:tcPr>
          <w:p w14:paraId="318CBEC8"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19% (341)</w:t>
            </w:r>
          </w:p>
        </w:tc>
        <w:tc>
          <w:tcPr>
            <w:tcW w:w="2160" w:type="dxa"/>
          </w:tcPr>
          <w:p w14:paraId="7F7FD7E4" w14:textId="77777777" w:rsidR="00853F7B" w:rsidRPr="005049BC" w:rsidRDefault="00853F7B" w:rsidP="00A375C8">
            <w:pPr>
              <w:pStyle w:val="NoSpacing"/>
              <w:rPr>
                <w:rFonts w:ascii="Times New Roman" w:hAnsi="Times New Roman" w:cs="Times New Roman"/>
                <w:sz w:val="20"/>
                <w:szCs w:val="20"/>
              </w:rPr>
            </w:pPr>
            <w:r w:rsidRPr="005049BC">
              <w:rPr>
                <w:rFonts w:ascii="Times New Roman" w:hAnsi="Times New Roman" w:cs="Times New Roman"/>
                <w:sz w:val="20"/>
                <w:szCs w:val="20"/>
              </w:rPr>
              <w:t>1% (22)</w:t>
            </w:r>
          </w:p>
        </w:tc>
      </w:tr>
    </w:tbl>
    <w:p w14:paraId="6398FC9D" w14:textId="77777777" w:rsidR="00853F7B" w:rsidRPr="005049BC" w:rsidRDefault="00853F7B" w:rsidP="00853F7B">
      <w:pPr>
        <w:rPr>
          <w:rFonts w:ascii="Times New Roman" w:hAnsi="Times New Roman" w:cs="Times New Roman"/>
          <w:sz w:val="20"/>
          <w:szCs w:val="20"/>
        </w:rPr>
      </w:pPr>
    </w:p>
    <w:p w14:paraId="4A0F7A2C" w14:textId="3069524F" w:rsidR="00853F7B" w:rsidRPr="005049BC" w:rsidRDefault="00853F7B"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Although some of the numbers of some of the categories in Table 2 have change</w:t>
      </w:r>
      <w:r w:rsidR="00EB3666" w:rsidRPr="005049BC">
        <w:rPr>
          <w:rFonts w:ascii="Times New Roman" w:hAnsi="Times New Roman" w:cs="Times New Roman"/>
          <w:sz w:val="20"/>
          <w:szCs w:val="20"/>
        </w:rPr>
        <w:t>d</w:t>
      </w:r>
      <w:r w:rsidRPr="005049BC">
        <w:rPr>
          <w:rFonts w:ascii="Times New Roman" w:hAnsi="Times New Roman" w:cs="Times New Roman"/>
          <w:sz w:val="20"/>
          <w:szCs w:val="20"/>
        </w:rPr>
        <w:t xml:space="preserve">, there </w:t>
      </w:r>
      <w:r w:rsidR="00EB3666" w:rsidRPr="005049BC">
        <w:rPr>
          <w:rFonts w:ascii="Times New Roman" w:hAnsi="Times New Roman" w:cs="Times New Roman"/>
          <w:sz w:val="20"/>
          <w:szCs w:val="20"/>
        </w:rPr>
        <w:t>was</w:t>
      </w:r>
      <w:r w:rsidRPr="005049BC">
        <w:rPr>
          <w:rFonts w:ascii="Times New Roman" w:hAnsi="Times New Roman" w:cs="Times New Roman"/>
          <w:sz w:val="20"/>
          <w:szCs w:val="20"/>
        </w:rPr>
        <w:t xml:space="preserve"> no significant impact in the outcomes in Table 3 – the number of substances exceeded the exposures are very comparable as that in the original analysis. Our insights </w:t>
      </w:r>
      <w:r w:rsidR="00EB3666" w:rsidRPr="005049BC">
        <w:rPr>
          <w:rFonts w:ascii="Times New Roman" w:hAnsi="Times New Roman" w:cs="Times New Roman"/>
          <w:sz w:val="20"/>
          <w:szCs w:val="20"/>
        </w:rPr>
        <w:t>did</w:t>
      </w:r>
      <w:r w:rsidR="00756199" w:rsidRPr="005049BC">
        <w:rPr>
          <w:rFonts w:ascii="Times New Roman" w:hAnsi="Times New Roman" w:cs="Times New Roman"/>
          <w:sz w:val="20"/>
          <w:szCs w:val="20"/>
        </w:rPr>
        <w:t xml:space="preserve"> not change</w:t>
      </w:r>
      <w:r w:rsidRPr="005049BC">
        <w:rPr>
          <w:rFonts w:ascii="Times New Roman" w:hAnsi="Times New Roman" w:cs="Times New Roman"/>
          <w:sz w:val="20"/>
          <w:szCs w:val="20"/>
        </w:rPr>
        <w:t xml:space="preserve"> despite the difference</w:t>
      </w:r>
      <w:r w:rsidR="00EB3666" w:rsidRPr="005049BC">
        <w:rPr>
          <w:rFonts w:ascii="Times New Roman" w:hAnsi="Times New Roman" w:cs="Times New Roman"/>
          <w:sz w:val="20"/>
          <w:szCs w:val="20"/>
        </w:rPr>
        <w:t>s</w:t>
      </w:r>
      <w:r w:rsidRPr="005049BC">
        <w:rPr>
          <w:rFonts w:ascii="Times New Roman" w:hAnsi="Times New Roman" w:cs="Times New Roman"/>
          <w:sz w:val="20"/>
          <w:szCs w:val="20"/>
        </w:rPr>
        <w:t xml:space="preserve"> in the tools applied. </w:t>
      </w:r>
    </w:p>
    <w:p w14:paraId="67ABAAF3" w14:textId="2A21AB12" w:rsidR="00853F7B" w:rsidRDefault="00853F7B" w:rsidP="005049BC">
      <w:pPr>
        <w:spacing w:line="480" w:lineRule="auto"/>
        <w:jc w:val="both"/>
        <w:rPr>
          <w:rFonts w:ascii="Times New Roman" w:hAnsi="Times New Roman" w:cs="Times New Roman"/>
          <w:sz w:val="20"/>
          <w:szCs w:val="20"/>
        </w:rPr>
      </w:pPr>
      <w:r w:rsidRPr="005049BC">
        <w:rPr>
          <w:rFonts w:ascii="Times New Roman" w:hAnsi="Times New Roman" w:cs="Times New Roman"/>
          <w:sz w:val="20"/>
          <w:szCs w:val="20"/>
        </w:rPr>
        <w:t>Prioritizing large numbers of substances presents some challenges using existing software for TTC. Users should be pay careful attention to the output produced.</w:t>
      </w:r>
      <w:r w:rsidR="00EB3666" w:rsidRPr="005049BC">
        <w:rPr>
          <w:rFonts w:ascii="Times New Roman" w:hAnsi="Times New Roman" w:cs="Times New Roman"/>
          <w:sz w:val="20"/>
          <w:szCs w:val="20"/>
        </w:rPr>
        <w:t xml:space="preserve"> The learnings gained from processing this file through the </w:t>
      </w:r>
      <w:proofErr w:type="spellStart"/>
      <w:r w:rsidR="00EB3666" w:rsidRPr="005049BC">
        <w:rPr>
          <w:rFonts w:ascii="Times New Roman" w:hAnsi="Times New Roman" w:cs="Times New Roman"/>
          <w:sz w:val="20"/>
          <w:szCs w:val="20"/>
        </w:rPr>
        <w:t>Kroes</w:t>
      </w:r>
      <w:proofErr w:type="spellEnd"/>
      <w:r w:rsidR="00EB3666" w:rsidRPr="005049BC">
        <w:rPr>
          <w:rFonts w:ascii="Times New Roman" w:hAnsi="Times New Roman" w:cs="Times New Roman"/>
          <w:sz w:val="20"/>
          <w:szCs w:val="20"/>
        </w:rPr>
        <w:t xml:space="preserve"> workflow in </w:t>
      </w:r>
      <w:proofErr w:type="spellStart"/>
      <w:r w:rsidR="00EB3666" w:rsidRPr="005049BC">
        <w:rPr>
          <w:rFonts w:ascii="Times New Roman" w:hAnsi="Times New Roman" w:cs="Times New Roman"/>
          <w:sz w:val="20"/>
          <w:szCs w:val="20"/>
        </w:rPr>
        <w:t>Toxtree</w:t>
      </w:r>
      <w:proofErr w:type="spellEnd"/>
      <w:r w:rsidR="00EB3666" w:rsidRPr="005049BC">
        <w:rPr>
          <w:rFonts w:ascii="Times New Roman" w:hAnsi="Times New Roman" w:cs="Times New Roman"/>
          <w:sz w:val="20"/>
          <w:szCs w:val="20"/>
        </w:rPr>
        <w:t xml:space="preserve"> will be described in more detail in a subsequent manuscript.</w:t>
      </w:r>
      <w:r w:rsidRPr="005049BC">
        <w:rPr>
          <w:rFonts w:ascii="Times New Roman" w:hAnsi="Times New Roman" w:cs="Times New Roman"/>
          <w:sz w:val="20"/>
          <w:szCs w:val="20"/>
        </w:rPr>
        <w:t xml:space="preserve"> </w:t>
      </w:r>
    </w:p>
    <w:p w14:paraId="68AC9353" w14:textId="76555050" w:rsidR="00CF4EAB" w:rsidRPr="005049BC" w:rsidRDefault="00CF4EAB" w:rsidP="005049BC">
      <w:pPr>
        <w:spacing w:line="480" w:lineRule="auto"/>
        <w:jc w:val="both"/>
        <w:rPr>
          <w:rFonts w:ascii="Times New Roman" w:hAnsi="Times New Roman" w:cs="Times New Roman"/>
          <w:sz w:val="20"/>
          <w:szCs w:val="20"/>
        </w:rPr>
      </w:pPr>
      <w:r>
        <w:rPr>
          <w:rFonts w:ascii="Times New Roman" w:hAnsi="Times New Roman" w:cs="Times New Roman"/>
          <w:sz w:val="20"/>
          <w:szCs w:val="20"/>
        </w:rPr>
        <w:t xml:space="preserve">The R code, associated R data file as well as the specific </w:t>
      </w:r>
      <w:proofErr w:type="spellStart"/>
      <w:r>
        <w:rPr>
          <w:rFonts w:ascii="Times New Roman" w:hAnsi="Times New Roman" w:cs="Times New Roman"/>
          <w:sz w:val="20"/>
          <w:szCs w:val="20"/>
        </w:rPr>
        <w:t>Toxtree</w:t>
      </w:r>
      <w:proofErr w:type="spellEnd"/>
      <w:r>
        <w:rPr>
          <w:rFonts w:ascii="Times New Roman" w:hAnsi="Times New Roman" w:cs="Times New Roman"/>
          <w:sz w:val="20"/>
          <w:szCs w:val="20"/>
        </w:rPr>
        <w:t xml:space="preserve"> schemes to identify OPs, carbamates and steroids are provided as part of this supplementary information.</w:t>
      </w:r>
      <w:bookmarkStart w:id="0" w:name="_GoBack"/>
      <w:bookmarkEnd w:id="0"/>
    </w:p>
    <w:sectPr w:rsidR="00CF4EAB" w:rsidRPr="005049BC">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44A2F" w14:textId="77777777" w:rsidR="0013097E" w:rsidRDefault="0013097E" w:rsidP="00CE4006">
      <w:pPr>
        <w:spacing w:after="0" w:line="240" w:lineRule="auto"/>
      </w:pPr>
      <w:r>
        <w:separator/>
      </w:r>
    </w:p>
  </w:endnote>
  <w:endnote w:type="continuationSeparator" w:id="0">
    <w:p w14:paraId="11071A32" w14:textId="77777777" w:rsidR="0013097E" w:rsidRDefault="0013097E" w:rsidP="00CE4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794999"/>
      <w:docPartObj>
        <w:docPartGallery w:val="Page Numbers (Bottom of Page)"/>
        <w:docPartUnique/>
      </w:docPartObj>
    </w:sdtPr>
    <w:sdtEndPr>
      <w:rPr>
        <w:rFonts w:ascii="Times New Roman" w:hAnsi="Times New Roman" w:cs="Times New Roman"/>
        <w:noProof/>
        <w:sz w:val="22"/>
      </w:rPr>
    </w:sdtEndPr>
    <w:sdtContent>
      <w:p w14:paraId="6437BA60" w14:textId="4B177716" w:rsidR="0013097E" w:rsidRPr="00CE4006" w:rsidRDefault="0013097E">
        <w:pPr>
          <w:pStyle w:val="Footer"/>
          <w:jc w:val="center"/>
          <w:rPr>
            <w:rFonts w:ascii="Times New Roman" w:hAnsi="Times New Roman" w:cs="Times New Roman"/>
            <w:sz w:val="22"/>
          </w:rPr>
        </w:pPr>
        <w:r w:rsidRPr="00CE4006">
          <w:rPr>
            <w:rFonts w:ascii="Times New Roman" w:hAnsi="Times New Roman" w:cs="Times New Roman"/>
            <w:sz w:val="22"/>
          </w:rPr>
          <w:fldChar w:fldCharType="begin"/>
        </w:r>
        <w:r w:rsidRPr="00CE4006">
          <w:rPr>
            <w:rFonts w:ascii="Times New Roman" w:hAnsi="Times New Roman" w:cs="Times New Roman"/>
            <w:sz w:val="22"/>
          </w:rPr>
          <w:instrText xml:space="preserve"> PAGE   \* MERGEFORMAT </w:instrText>
        </w:r>
        <w:r w:rsidRPr="00CE4006">
          <w:rPr>
            <w:rFonts w:ascii="Times New Roman" w:hAnsi="Times New Roman" w:cs="Times New Roman"/>
            <w:sz w:val="22"/>
          </w:rPr>
          <w:fldChar w:fldCharType="separate"/>
        </w:r>
        <w:r w:rsidR="00FB0F66">
          <w:rPr>
            <w:rFonts w:ascii="Times New Roman" w:hAnsi="Times New Roman" w:cs="Times New Roman"/>
            <w:noProof/>
            <w:sz w:val="22"/>
          </w:rPr>
          <w:t>7</w:t>
        </w:r>
        <w:r w:rsidRPr="00CE4006">
          <w:rPr>
            <w:rFonts w:ascii="Times New Roman" w:hAnsi="Times New Roman" w:cs="Times New Roman"/>
            <w:noProof/>
            <w:sz w:val="22"/>
          </w:rPr>
          <w:fldChar w:fldCharType="end"/>
        </w:r>
      </w:p>
    </w:sdtContent>
  </w:sdt>
  <w:p w14:paraId="0CD63349" w14:textId="77777777" w:rsidR="0013097E" w:rsidRDefault="00130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25C48" w14:textId="77777777" w:rsidR="0013097E" w:rsidRDefault="0013097E" w:rsidP="00CE4006">
      <w:pPr>
        <w:spacing w:after="0" w:line="240" w:lineRule="auto"/>
      </w:pPr>
      <w:r>
        <w:separator/>
      </w:r>
    </w:p>
  </w:footnote>
  <w:footnote w:type="continuationSeparator" w:id="0">
    <w:p w14:paraId="6FC3A2BC" w14:textId="77777777" w:rsidR="0013097E" w:rsidRDefault="0013097E" w:rsidP="00CE4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54F1F" w14:textId="762A0801" w:rsidR="0013097E" w:rsidRPr="00CE4006" w:rsidRDefault="005049BC">
    <w:pPr>
      <w:pStyle w:val="Header"/>
      <w:rPr>
        <w:rFonts w:ascii="Times New Roman" w:hAnsi="Times New Roman" w:cs="Times New Roman"/>
        <w:sz w:val="22"/>
      </w:rPr>
    </w:pPr>
    <w:r>
      <w:rPr>
        <w:rFonts w:ascii="Times New Roman" w:hAnsi="Times New Roman" w:cs="Times New Roman"/>
        <w:sz w:val="22"/>
      </w:rPr>
      <w:t>Final draft</w:t>
    </w:r>
    <w:r w:rsidR="0013097E" w:rsidRPr="00CE4006">
      <w:rPr>
        <w:rFonts w:ascii="Times New Roman" w:hAnsi="Times New Roman" w:cs="Times New Roman"/>
        <w:sz w:val="22"/>
      </w:rPr>
      <w:tab/>
    </w:r>
    <w:r w:rsidR="0013097E" w:rsidRPr="00CE4006">
      <w:rPr>
        <w:rFonts w:ascii="Times New Roman" w:hAnsi="Times New Roman" w:cs="Times New Roman"/>
        <w:sz w:val="22"/>
      </w:rPr>
      <w:tab/>
    </w:r>
    <w:r>
      <w:rPr>
        <w:rFonts w:ascii="Times New Roman" w:hAnsi="Times New Roman" w:cs="Times New Roman"/>
        <w:sz w:val="22"/>
      </w:rPr>
      <w:t>April 24th</w:t>
    </w:r>
    <w:r w:rsidR="0013097E" w:rsidRPr="00CE4006">
      <w:rPr>
        <w:rFonts w:ascii="Times New Roman" w:hAnsi="Times New Roman" w:cs="Times New Roman"/>
        <w:sz w:val="22"/>
      </w:rPr>
      <w: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E4596"/>
    <w:multiLevelType w:val="hybridMultilevel"/>
    <w:tmpl w:val="14765B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B31C5"/>
    <w:multiLevelType w:val="hybridMultilevel"/>
    <w:tmpl w:val="39E42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0BD"/>
    <w:rsid w:val="00013D83"/>
    <w:rsid w:val="00107F13"/>
    <w:rsid w:val="0013097E"/>
    <w:rsid w:val="00361896"/>
    <w:rsid w:val="0038571A"/>
    <w:rsid w:val="00397036"/>
    <w:rsid w:val="004C045C"/>
    <w:rsid w:val="005049BC"/>
    <w:rsid w:val="00566BB9"/>
    <w:rsid w:val="005710BD"/>
    <w:rsid w:val="00756199"/>
    <w:rsid w:val="00805A5B"/>
    <w:rsid w:val="008364F2"/>
    <w:rsid w:val="00853F7B"/>
    <w:rsid w:val="008C0D47"/>
    <w:rsid w:val="00AB603A"/>
    <w:rsid w:val="00B94D47"/>
    <w:rsid w:val="00BD0E8C"/>
    <w:rsid w:val="00C863F8"/>
    <w:rsid w:val="00CA32F7"/>
    <w:rsid w:val="00CD226D"/>
    <w:rsid w:val="00CE4006"/>
    <w:rsid w:val="00CF4EAB"/>
    <w:rsid w:val="00D2382A"/>
    <w:rsid w:val="00D779E6"/>
    <w:rsid w:val="00D810FE"/>
    <w:rsid w:val="00E0409A"/>
    <w:rsid w:val="00E65387"/>
    <w:rsid w:val="00EA59DE"/>
    <w:rsid w:val="00EB3666"/>
    <w:rsid w:val="00F7783F"/>
    <w:rsid w:val="00FB0F66"/>
    <w:rsid w:val="00FE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22A5B2"/>
  <w15:chartTrackingRefBased/>
  <w15:docId w15:val="{B0095E76-BCA0-40DD-A637-1C62E7A8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0BD"/>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0BD"/>
    <w:pPr>
      <w:ind w:left="720"/>
      <w:contextualSpacing/>
    </w:pPr>
  </w:style>
  <w:style w:type="character" w:styleId="Hyperlink">
    <w:name w:val="Hyperlink"/>
    <w:basedOn w:val="DefaultParagraphFont"/>
    <w:uiPriority w:val="99"/>
    <w:unhideWhenUsed/>
    <w:rsid w:val="00D2382A"/>
    <w:rPr>
      <w:color w:val="0563C1" w:themeColor="hyperlink"/>
      <w:u w:val="single"/>
    </w:rPr>
  </w:style>
  <w:style w:type="paragraph" w:styleId="NoSpacing">
    <w:name w:val="No Spacing"/>
    <w:uiPriority w:val="1"/>
    <w:qFormat/>
    <w:rsid w:val="00D2382A"/>
    <w:pPr>
      <w:spacing w:after="0" w:line="240" w:lineRule="auto"/>
    </w:pPr>
    <w:rPr>
      <w:rFonts w:ascii="Comic Sans MS" w:hAnsi="Comic Sans MS"/>
      <w:sz w:val="24"/>
    </w:rPr>
  </w:style>
  <w:style w:type="paragraph" w:styleId="Header">
    <w:name w:val="header"/>
    <w:basedOn w:val="Normal"/>
    <w:link w:val="HeaderChar"/>
    <w:uiPriority w:val="99"/>
    <w:unhideWhenUsed/>
    <w:rsid w:val="00CE4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006"/>
    <w:rPr>
      <w:rFonts w:ascii="Comic Sans MS" w:hAnsi="Comic Sans MS"/>
      <w:sz w:val="24"/>
    </w:rPr>
  </w:style>
  <w:style w:type="paragraph" w:styleId="Footer">
    <w:name w:val="footer"/>
    <w:basedOn w:val="Normal"/>
    <w:link w:val="FooterChar"/>
    <w:uiPriority w:val="99"/>
    <w:unhideWhenUsed/>
    <w:rsid w:val="00CE4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006"/>
    <w:rPr>
      <w:rFonts w:ascii="Comic Sans MS" w:hAnsi="Comic Sans MS"/>
      <w:sz w:val="24"/>
    </w:rPr>
  </w:style>
  <w:style w:type="table" w:styleId="TableGrid">
    <w:name w:val="Table Grid"/>
    <w:basedOn w:val="TableNormal"/>
    <w:uiPriority w:val="39"/>
    <w:rsid w:val="00853F7B"/>
    <w:pPr>
      <w:spacing w:after="0" w:line="240" w:lineRule="auto"/>
    </w:pPr>
    <w:rPr>
      <w:rFonts w:ascii="Comic Sans MS" w:hAnsi="Comic Sans M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D226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urat-1.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ecd.org/officialdocuments/publicdisplaydocumentpdf/?doclanguage=en&amp;cote=env/jm/mono(2007)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ad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ecd.org/chemicalsafety/risk-assessment/validationofqsarmodels.htm" TargetMode="External"/><Relationship Id="rId5" Type="http://schemas.openxmlformats.org/officeDocument/2006/relationships/styles" Target="styles.xml"/><Relationship Id="rId15" Type="http://schemas.openxmlformats.org/officeDocument/2006/relationships/hyperlink" Target="https://www.nicnas.gov.au/chemical-information/imap-assessments/what-is-imap" TargetMode="External"/><Relationship Id="rId10" Type="http://schemas.openxmlformats.org/officeDocument/2006/relationships/hyperlink" Target="https://www.epa.gov/chemical-research/toxicity-forecastin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anada.ca/en/health-canada/services/chemical-substances/fact-sheets/overview-chemicals-management-pl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cipients xmlns="7091e234-1f7b-413e-8eed-bba8af285ff1" xsi:nil="true"/>
    <ReceivedTime xmlns="7091e234-1f7b-413e-8eed-bba8af285ff1" xsi:nil="true"/>
    <From xmlns="7091e234-1f7b-413e-8eed-bba8af285f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E291707B1F3E418EEDBBA8AF285FF1" ma:contentTypeVersion="3" ma:contentTypeDescription="Create a new document." ma:contentTypeScope="" ma:versionID="54c5e836c3c11f8a1e447074953f3a7e">
  <xsd:schema xmlns:xsd="http://www.w3.org/2001/XMLSchema" xmlns:xs="http://www.w3.org/2001/XMLSchema" xmlns:p="http://schemas.microsoft.com/office/2006/metadata/properties" xmlns:ns2="7091e234-1f7b-413e-8eed-bba8af285ff1" targetNamespace="http://schemas.microsoft.com/office/2006/metadata/properties" ma:root="true" ma:fieldsID="a6711aa854c39690929ac2a60c3a6daf" ns2:_="">
    <xsd:import namespace="7091e234-1f7b-413e-8eed-bba8af285ff1"/>
    <xsd:element name="properties">
      <xsd:complexType>
        <xsd:sequence>
          <xsd:element name="documentManagement">
            <xsd:complexType>
              <xsd:all>
                <xsd:element ref="ns2:ReceivedTime" minOccurs="0"/>
                <xsd:element ref="ns2:From" minOccurs="0"/>
                <xsd:element ref="ns2:Recipi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1e234-1f7b-413e-8eed-bba8af285ff1" elementFormDefault="qualified">
    <xsd:import namespace="http://schemas.microsoft.com/office/2006/documentManagement/types"/>
    <xsd:import namespace="http://schemas.microsoft.com/office/infopath/2007/PartnerControls"/>
    <xsd:element name="ReceivedTime" ma:index="8" nillable="true" ma:displayName="ReceivedTime" ma:internalName="ReceivedTime">
      <xsd:simpleType>
        <xsd:restriction base="dms:DateTime"/>
      </xsd:simpleType>
    </xsd:element>
    <xsd:element name="From" ma:index="9" nillable="true" ma:displayName="From" ma:internalName="From">
      <xsd:simpleType>
        <xsd:restriction base="dms:Text"/>
      </xsd:simpleType>
    </xsd:element>
    <xsd:element name="Recipients" ma:index="10" nillable="true" ma:displayName="Recipients" ma:internalName="Recipient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04C740-6594-422E-A1A7-B4C5AB8218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091e234-1f7b-413e-8eed-bba8af285ff1"/>
    <ds:schemaRef ds:uri="http://www.w3.org/XML/1998/namespace"/>
    <ds:schemaRef ds:uri="http://purl.org/dc/dcmitype/"/>
  </ds:schemaRefs>
</ds:datastoreItem>
</file>

<file path=customXml/itemProps2.xml><?xml version="1.0" encoding="utf-8"?>
<ds:datastoreItem xmlns:ds="http://schemas.openxmlformats.org/officeDocument/2006/customXml" ds:itemID="{272FD16A-5FE0-4569-9629-E32A933C51BC}">
  <ds:schemaRefs>
    <ds:schemaRef ds:uri="http://schemas.microsoft.com/sharepoint/v3/contenttype/forms"/>
  </ds:schemaRefs>
</ds:datastoreItem>
</file>

<file path=customXml/itemProps3.xml><?xml version="1.0" encoding="utf-8"?>
<ds:datastoreItem xmlns:ds="http://schemas.openxmlformats.org/officeDocument/2006/customXml" ds:itemID="{E009856A-60A6-4A3F-889B-36B640D00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1e234-1f7b-413e-8eed-bba8af285f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2577</Words>
  <Characters>14689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Becker, Rick</dc:creator>
  <cp:keywords/>
  <dc:description/>
  <cp:lastModifiedBy>Patlewicz, Grace</cp:lastModifiedBy>
  <cp:revision>6</cp:revision>
  <dcterms:created xsi:type="dcterms:W3CDTF">2018-04-24T20:00:00Z</dcterms:created>
  <dcterms:modified xsi:type="dcterms:W3CDTF">2018-06-06T20:29:00Z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0x01010034E291707B1F3E418EEDBBA8AF285FF1</vt:lpwstr>
  </property>
</Properties>
</file>