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281DD" w14:textId="64EE09A4" w:rsidR="00E41AB0" w:rsidRDefault="00370ACB" w:rsidP="00187844">
      <w:pPr>
        <w:tabs>
          <w:tab w:val="left" w:pos="-2238"/>
          <w:tab w:val="left" w:pos="1377"/>
          <w:tab w:val="left" w:pos="2880"/>
          <w:tab w:val="left" w:pos="3600"/>
          <w:tab w:val="left" w:pos="4320"/>
          <w:tab w:val="left" w:pos="4962"/>
          <w:tab w:val="left" w:pos="5760"/>
          <w:tab w:val="left" w:pos="6480"/>
          <w:tab w:val="left" w:pos="7200"/>
          <w:tab w:val="left" w:pos="7920"/>
          <w:tab w:val="left" w:pos="8640"/>
          <w:tab w:val="left" w:pos="9360"/>
        </w:tabs>
        <w:spacing w:line="2" w:lineRule="exact"/>
        <w:rPr>
          <w:szCs w:val="24"/>
        </w:rPr>
      </w:pPr>
      <w:r>
        <w:rPr>
          <w:noProof/>
        </w:rPr>
        <mc:AlternateContent>
          <mc:Choice Requires="wps">
            <w:drawing>
              <wp:anchor distT="4294967295" distB="4294967295" distL="114299" distR="114299" simplePos="0" relativeHeight="251657728" behindDoc="0" locked="0" layoutInCell="0" allowOverlap="1" wp14:anchorId="199AFA34" wp14:editId="0AB273C5">
                <wp:simplePos x="0" y="0"/>
                <wp:positionH relativeFrom="margin">
                  <wp:posOffset>-1</wp:posOffset>
                </wp:positionH>
                <wp:positionV relativeFrom="paragraph">
                  <wp:posOffset>-1</wp:posOffset>
                </wp:positionV>
                <wp:extent cx="0" cy="0"/>
                <wp:effectExtent l="0" t="0" r="0" b="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c="http://schemas.openxmlformats.org/drawingml/2006/chart"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2F4E1" id="Line 7" o:spid="_x0000_s1026" style="position:absolute;z-index:251657728;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" o:allowincell="f" strokecolor="#020000" strokeweight="2.88pt">
                <v:stroke linestyle="thinThin"/>
                <w10:wrap anchorx="margin"/>
              </v:line>
            </w:pict>
          </mc:Fallback>
        </mc:AlternateContent>
      </w:r>
    </w:p>
    <w:p w14:paraId="04BCB2F6" w14:textId="1AF4CAB2" w:rsidR="00E41AB0" w:rsidRDefault="003E60DB" w:rsidP="00187844">
      <w:pPr>
        <w:tabs>
          <w:tab w:val="left" w:pos="-2238"/>
          <w:tab w:val="left" w:pos="1377"/>
          <w:tab w:val="left" w:pos="2880"/>
          <w:tab w:val="left" w:pos="3600"/>
          <w:tab w:val="left" w:pos="4320"/>
          <w:tab w:val="left" w:pos="4962"/>
          <w:tab w:val="left" w:pos="5760"/>
          <w:tab w:val="left" w:pos="6480"/>
          <w:tab w:val="left" w:pos="7200"/>
          <w:tab w:val="left" w:pos="7920"/>
          <w:tab w:val="left" w:pos="8640"/>
          <w:tab w:val="left" w:pos="9360"/>
        </w:tabs>
        <w:rPr>
          <w:szCs w:val="24"/>
        </w:rPr>
      </w:pPr>
      <w:bookmarkStart w:id="0" w:name="_Hlk525036739"/>
      <w:bookmarkStart w:id="1" w:name="_Hlk533006049"/>
      <w:bookmarkEnd w:id="0"/>
      <w:bookmarkEnd w:id="1"/>
      <w:r>
        <w:rPr>
          <w:noProof/>
        </w:rPr>
        <mc:AlternateContent>
          <mc:Choice Requires="wps">
            <w:drawing>
              <wp:anchor distT="4294967295" distB="4294967295" distL="114300" distR="114300" simplePos="0" relativeHeight="251656704" behindDoc="0" locked="0" layoutInCell="0" allowOverlap="1" wp14:anchorId="292A26B1" wp14:editId="2C1E3A14">
                <wp:simplePos x="0" y="0"/>
                <wp:positionH relativeFrom="page">
                  <wp:posOffset>2380593</wp:posOffset>
                </wp:positionH>
                <wp:positionV relativeFrom="page">
                  <wp:posOffset>1371600</wp:posOffset>
                </wp:positionV>
                <wp:extent cx="4524704" cy="0"/>
                <wp:effectExtent l="0" t="19050" r="47625" b="381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4704" cy="0"/>
                        </a:xfrm>
                        <a:prstGeom prst="line">
                          <a:avLst/>
                        </a:prstGeom>
                        <a:noFill/>
                        <a:ln w="50800">
                          <a:solidFill>
                            <a:srgbClr val="02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c="http://schemas.openxmlformats.org/drawingml/2006/chart"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6F668" id="Line 6"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87.45pt,108pt" to="543.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" o:allowincell="f" strokecolor="#020000" strokeweight="4pt">
                <w10:wrap anchorx="page" anchory="page"/>
              </v:line>
            </w:pict>
          </mc:Fallback>
        </mc:AlternateContent>
      </w:r>
      <w:r>
        <w:rPr>
          <w:noProof/>
        </w:rPr>
        <w:drawing>
          <wp:inline distT="0" distB="0" distL="0" distR="0" wp14:anchorId="09E745C7" wp14:editId="4591DFEE">
            <wp:extent cx="1466850" cy="457200"/>
            <wp:effectExtent l="0" t="0" r="0" b="0"/>
            <wp:docPr id="7" name="Picture 7" descr="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pic:spPr>
                </pic:pic>
              </a:graphicData>
            </a:graphic>
          </wp:inline>
        </w:drawing>
      </w:r>
    </w:p>
    <w:p w14:paraId="693C9056" w14:textId="77777777" w:rsidR="003E60DB" w:rsidRPr="003E60DB" w:rsidRDefault="00E41AB0" w:rsidP="003E60DB">
      <w:pPr>
        <w:tabs>
          <w:tab w:val="clear" w:pos="720"/>
          <w:tab w:val="left" w:pos="0"/>
          <w:tab w:val="left" w:pos="180"/>
          <w:tab w:val="right" w:pos="9360"/>
        </w:tabs>
        <w:rPr>
          <w:rFonts w:ascii="Univers" w:hAnsi="Univers" w:cs="Univers"/>
          <w:sz w:val="12"/>
          <w:szCs w:val="12"/>
        </w:rPr>
      </w:pPr>
      <w:r>
        <w:rPr>
          <w:rFonts w:ascii="Univers" w:hAnsi="Univers" w:cs="Univers"/>
          <w:sz w:val="48"/>
          <w:szCs w:val="48"/>
        </w:rPr>
        <w:tab/>
      </w:r>
    </w:p>
    <w:p w14:paraId="5A781F66" w14:textId="39B82A53" w:rsidR="003E60DB" w:rsidRPr="00990C25" w:rsidRDefault="003E60DB" w:rsidP="003E60DB">
      <w:pPr>
        <w:tabs>
          <w:tab w:val="clear" w:pos="720"/>
          <w:tab w:val="left" w:pos="0"/>
          <w:tab w:val="left" w:pos="180"/>
          <w:tab w:val="right" w:pos="9360"/>
        </w:tabs>
        <w:ind w:firstLine="180"/>
        <w:rPr>
          <w:rFonts w:ascii="Arial" w:hAnsi="Arial" w:cs="Arial"/>
          <w:b/>
        </w:rPr>
      </w:pPr>
      <w:r>
        <w:rPr>
          <w:rFonts w:ascii="Arial" w:hAnsi="Arial" w:cs="Arial"/>
          <w:b/>
        </w:rPr>
        <w:t>U</w:t>
      </w:r>
      <w:r w:rsidRPr="00990C25">
        <w:rPr>
          <w:rFonts w:ascii="Arial" w:hAnsi="Arial" w:cs="Arial"/>
          <w:b/>
        </w:rPr>
        <w:t>nited States</w:t>
      </w:r>
    </w:p>
    <w:p w14:paraId="4D596DB0" w14:textId="77777777" w:rsidR="003E60DB" w:rsidRPr="00990C25" w:rsidRDefault="003E60DB" w:rsidP="003E60DB">
      <w:pPr>
        <w:tabs>
          <w:tab w:val="left" w:pos="0"/>
        </w:tabs>
        <w:ind w:left="720" w:hanging="540"/>
        <w:rPr>
          <w:rFonts w:ascii="Arial" w:hAnsi="Arial" w:cs="Arial"/>
          <w:b/>
        </w:rPr>
      </w:pPr>
      <w:r w:rsidRPr="00990C25">
        <w:rPr>
          <w:rFonts w:ascii="Arial" w:hAnsi="Arial" w:cs="Arial"/>
          <w:b/>
        </w:rPr>
        <w:t>Environmental Protection</w:t>
      </w:r>
    </w:p>
    <w:p w14:paraId="7AD1C669" w14:textId="77777777" w:rsidR="003E60DB" w:rsidRPr="00990C25" w:rsidRDefault="003E60DB" w:rsidP="003E60DB">
      <w:pPr>
        <w:tabs>
          <w:tab w:val="left" w:pos="0"/>
        </w:tabs>
        <w:ind w:left="720" w:hanging="540"/>
        <w:rPr>
          <w:rFonts w:ascii="Arial" w:hAnsi="Arial" w:cs="Arial"/>
          <w:b/>
        </w:rPr>
      </w:pPr>
      <w:r w:rsidRPr="00990C25">
        <w:rPr>
          <w:rFonts w:ascii="Arial" w:hAnsi="Arial" w:cs="Arial"/>
          <w:b/>
        </w:rPr>
        <w:t>Agency</w:t>
      </w:r>
    </w:p>
    <w:p w14:paraId="3DCF88C4" w14:textId="5ADC60ED" w:rsidR="00E41AB0" w:rsidRPr="00F4737A" w:rsidRDefault="00B27394" w:rsidP="003E60DB">
      <w:pPr>
        <w:tabs>
          <w:tab w:val="right" w:pos="9360"/>
        </w:tabs>
        <w:jc w:val="right"/>
        <w:rPr>
          <w:rFonts w:ascii="Univers" w:hAnsi="Univers" w:cs="Univers"/>
          <w:b/>
          <w:sz w:val="48"/>
          <w:szCs w:val="48"/>
        </w:rPr>
      </w:pPr>
      <w:r w:rsidRPr="00B27394">
        <w:rPr>
          <w:rFonts w:ascii="Univers" w:hAnsi="Univers" w:cs="Univers"/>
          <w:b/>
          <w:sz w:val="48"/>
          <w:szCs w:val="48"/>
        </w:rPr>
        <w:t xml:space="preserve">REVISED </w:t>
      </w:r>
      <w:r w:rsidR="00A5644D" w:rsidRPr="00F4737A">
        <w:rPr>
          <w:rFonts w:ascii="Univers" w:hAnsi="Univers" w:cs="Univers"/>
          <w:b/>
          <w:sz w:val="48"/>
          <w:szCs w:val="48"/>
        </w:rPr>
        <w:t>DRAFT</w:t>
      </w:r>
    </w:p>
    <w:p w14:paraId="70FA84FF" w14:textId="77777777" w:rsidR="00CE60CC" w:rsidRPr="003E60DB" w:rsidRDefault="00CE60CC" w:rsidP="00110CFD">
      <w:pPr>
        <w:tabs>
          <w:tab w:val="left" w:pos="-2238"/>
          <w:tab w:val="left" w:pos="1377"/>
          <w:tab w:val="left" w:pos="2880"/>
          <w:tab w:val="left" w:pos="3600"/>
          <w:tab w:val="left" w:pos="4320"/>
          <w:tab w:val="left" w:pos="4962"/>
          <w:tab w:val="left" w:pos="5760"/>
          <w:tab w:val="left" w:pos="6480"/>
          <w:tab w:val="left" w:pos="7200"/>
          <w:tab w:val="left" w:pos="7920"/>
          <w:tab w:val="left" w:pos="8640"/>
          <w:tab w:val="left" w:pos="9360"/>
        </w:tabs>
        <w:jc w:val="right"/>
        <w:rPr>
          <w:rFonts w:ascii="Arial" w:hAnsi="Arial" w:cs="Arial"/>
          <w:sz w:val="16"/>
          <w:szCs w:val="16"/>
        </w:rPr>
      </w:pPr>
    </w:p>
    <w:p w14:paraId="70F0F05A" w14:textId="7B186523" w:rsidR="00EB1B48" w:rsidRDefault="00CA60F5" w:rsidP="00A5644D">
      <w:pPr>
        <w:tabs>
          <w:tab w:val="left" w:pos="360"/>
        </w:tabs>
        <w:ind w:left="720" w:hanging="1440"/>
        <w:jc w:val="right"/>
        <w:rPr>
          <w:rFonts w:ascii="Arial" w:hAnsi="Arial" w:cs="Arial"/>
          <w:sz w:val="48"/>
          <w:szCs w:val="48"/>
        </w:rPr>
      </w:pPr>
      <w:r>
        <w:rPr>
          <w:rFonts w:ascii="Arial" w:hAnsi="Arial" w:cs="Arial"/>
          <w:sz w:val="48"/>
          <w:szCs w:val="48"/>
        </w:rPr>
        <w:tab/>
      </w:r>
      <w:r>
        <w:rPr>
          <w:rFonts w:ascii="Arial" w:hAnsi="Arial" w:cs="Arial"/>
          <w:sz w:val="48"/>
          <w:szCs w:val="48"/>
        </w:rPr>
        <w:tab/>
      </w:r>
      <w:r w:rsidR="00211AF2">
        <w:rPr>
          <w:rFonts w:ascii="Arial" w:hAnsi="Arial" w:cs="Arial"/>
          <w:sz w:val="48"/>
          <w:szCs w:val="48"/>
        </w:rPr>
        <w:t xml:space="preserve">Life </w:t>
      </w:r>
      <w:r w:rsidR="006379EA">
        <w:rPr>
          <w:rFonts w:ascii="Arial" w:hAnsi="Arial" w:cs="Arial"/>
          <w:sz w:val="48"/>
          <w:szCs w:val="48"/>
        </w:rPr>
        <w:t xml:space="preserve">Cycle </w:t>
      </w:r>
      <w:r w:rsidR="0027337A">
        <w:rPr>
          <w:rFonts w:ascii="Arial" w:hAnsi="Arial" w:cs="Arial"/>
          <w:sz w:val="48"/>
          <w:szCs w:val="48"/>
        </w:rPr>
        <w:t xml:space="preserve">and Cost </w:t>
      </w:r>
      <w:r w:rsidR="006379EA">
        <w:rPr>
          <w:rFonts w:ascii="Arial" w:hAnsi="Arial" w:cs="Arial"/>
          <w:sz w:val="48"/>
          <w:szCs w:val="48"/>
        </w:rPr>
        <w:t>Assessment</w:t>
      </w:r>
      <w:r w:rsidR="0027337A">
        <w:rPr>
          <w:rFonts w:ascii="Arial" w:hAnsi="Arial" w:cs="Arial"/>
          <w:sz w:val="48"/>
          <w:szCs w:val="48"/>
        </w:rPr>
        <w:t>s</w:t>
      </w:r>
      <w:r w:rsidR="006379EA">
        <w:rPr>
          <w:rFonts w:ascii="Arial" w:hAnsi="Arial" w:cs="Arial"/>
          <w:sz w:val="48"/>
          <w:szCs w:val="48"/>
        </w:rPr>
        <w:t xml:space="preserve"> </w:t>
      </w:r>
      <w:r w:rsidR="0027337A">
        <w:rPr>
          <w:rFonts w:ascii="Arial" w:hAnsi="Arial" w:cs="Arial"/>
          <w:sz w:val="48"/>
          <w:szCs w:val="48"/>
        </w:rPr>
        <w:t>of</w:t>
      </w:r>
      <w:r>
        <w:rPr>
          <w:rFonts w:ascii="Arial" w:hAnsi="Arial" w:cs="Arial"/>
          <w:sz w:val="48"/>
          <w:szCs w:val="48"/>
        </w:rPr>
        <w:t xml:space="preserve"> </w:t>
      </w:r>
      <w:r w:rsidRPr="00CA60F5">
        <w:rPr>
          <w:rFonts w:ascii="Arial" w:hAnsi="Arial" w:cs="Arial"/>
          <w:sz w:val="48"/>
          <w:szCs w:val="48"/>
        </w:rPr>
        <w:t>Atmospheric Water Generation Technologies and Alternative Potable Water Emergency Response Options</w:t>
      </w:r>
    </w:p>
    <w:p w14:paraId="7FA42FF5" w14:textId="77777777" w:rsidR="00EB1B48" w:rsidRDefault="00EB1B48" w:rsidP="00FD1534">
      <w:pPr>
        <w:tabs>
          <w:tab w:val="left" w:pos="-2238"/>
          <w:tab w:val="left" w:pos="1377"/>
          <w:tab w:val="left" w:pos="2880"/>
          <w:tab w:val="left" w:pos="3600"/>
          <w:tab w:val="left" w:pos="4320"/>
          <w:tab w:val="left" w:pos="4962"/>
          <w:tab w:val="left" w:pos="5760"/>
          <w:tab w:val="left" w:pos="6480"/>
          <w:tab w:val="left" w:pos="7200"/>
          <w:tab w:val="left" w:pos="7920"/>
          <w:tab w:val="left" w:pos="8640"/>
          <w:tab w:val="left" w:pos="9360"/>
        </w:tabs>
        <w:jc w:val="right"/>
        <w:rPr>
          <w:rFonts w:ascii="Arial" w:hAnsi="Arial" w:cs="Arial"/>
          <w:szCs w:val="24"/>
        </w:rPr>
      </w:pPr>
    </w:p>
    <w:p w14:paraId="24832A8D" w14:textId="77777777" w:rsidR="00AE1AD6" w:rsidRDefault="00AE1AD6" w:rsidP="00AE1AD6">
      <w:pPr>
        <w:jc w:val="right"/>
        <w:rPr>
          <w:rFonts w:ascii="Arial" w:hAnsi="Arial" w:cs="Arial"/>
        </w:rPr>
      </w:pPr>
      <w:r w:rsidRPr="009B13B3">
        <w:rPr>
          <w:rFonts w:ascii="Arial" w:hAnsi="Arial" w:cs="Arial"/>
        </w:rPr>
        <w:t>Prepared for:</w:t>
      </w:r>
    </w:p>
    <w:p w14:paraId="570423A9" w14:textId="77777777" w:rsidR="00AE1AD6" w:rsidRDefault="00AE1AD6" w:rsidP="00AE1AD6">
      <w:pPr>
        <w:jc w:val="right"/>
        <w:rPr>
          <w:rFonts w:ascii="Arial" w:hAnsi="Arial" w:cs="Arial"/>
        </w:rPr>
      </w:pPr>
    </w:p>
    <w:p w14:paraId="54D8EC53" w14:textId="77777777" w:rsidR="00AE1AD6" w:rsidRPr="009B13B3" w:rsidRDefault="00AE1AD6" w:rsidP="00AE1AD6">
      <w:pPr>
        <w:jc w:val="right"/>
        <w:rPr>
          <w:rFonts w:ascii="Arial" w:hAnsi="Arial" w:cs="Arial"/>
          <w:b/>
          <w:sz w:val="32"/>
          <w:szCs w:val="32"/>
        </w:rPr>
      </w:pPr>
      <w:bookmarkStart w:id="2" w:name="_Toc116792509"/>
      <w:r w:rsidRPr="009B13B3">
        <w:rPr>
          <w:rFonts w:ascii="Arial" w:hAnsi="Arial" w:cs="Arial"/>
          <w:b/>
          <w:sz w:val="32"/>
          <w:szCs w:val="32"/>
        </w:rPr>
        <w:t>U.S. Environmental Protection Agency</w:t>
      </w:r>
      <w:bookmarkEnd w:id="2"/>
    </w:p>
    <w:p w14:paraId="2D844693" w14:textId="77777777" w:rsidR="00A841AD" w:rsidRPr="00247835" w:rsidRDefault="00A841AD" w:rsidP="00A841AD">
      <w:pPr>
        <w:jc w:val="right"/>
        <w:rPr>
          <w:rFonts w:ascii="Arial" w:hAnsi="Arial" w:cs="Arial"/>
          <w:szCs w:val="24"/>
        </w:rPr>
      </w:pPr>
      <w:r w:rsidRPr="00247835">
        <w:rPr>
          <w:rFonts w:ascii="Arial" w:hAnsi="Arial" w:cs="Arial"/>
          <w:szCs w:val="24"/>
        </w:rPr>
        <w:t>National Exposure Research Laboratory</w:t>
      </w:r>
    </w:p>
    <w:p w14:paraId="0F18B82E" w14:textId="77777777" w:rsidR="00AE1AD6" w:rsidRPr="00044366" w:rsidRDefault="00AE1AD6" w:rsidP="00AE1AD6">
      <w:pPr>
        <w:jc w:val="right"/>
        <w:rPr>
          <w:rFonts w:ascii="Arial" w:hAnsi="Arial" w:cs="Arial"/>
        </w:rPr>
      </w:pPr>
      <w:r w:rsidRPr="00044366">
        <w:rPr>
          <w:rFonts w:ascii="Arial" w:hAnsi="Arial" w:cs="Arial"/>
        </w:rPr>
        <w:t xml:space="preserve">National </w:t>
      </w:r>
      <w:r>
        <w:rPr>
          <w:rFonts w:ascii="Arial" w:hAnsi="Arial" w:cs="Arial"/>
        </w:rPr>
        <w:t>Risk Management Research Laboratory</w:t>
      </w:r>
    </w:p>
    <w:p w14:paraId="425E66AC" w14:textId="77777777" w:rsidR="00AE1AD6" w:rsidRPr="00044366" w:rsidRDefault="00AE1AD6" w:rsidP="00AE1AD6">
      <w:pPr>
        <w:jc w:val="right"/>
        <w:rPr>
          <w:rFonts w:ascii="Arial" w:hAnsi="Arial" w:cs="Arial"/>
        </w:rPr>
      </w:pPr>
      <w:r w:rsidRPr="00044366">
        <w:rPr>
          <w:rFonts w:ascii="Arial" w:hAnsi="Arial" w:cs="Arial"/>
        </w:rPr>
        <w:t>Office of Research and De</w:t>
      </w:r>
      <w:bookmarkStart w:id="3" w:name="_GoBack"/>
      <w:bookmarkEnd w:id="3"/>
      <w:r w:rsidRPr="00044366">
        <w:rPr>
          <w:rFonts w:ascii="Arial" w:hAnsi="Arial" w:cs="Arial"/>
        </w:rPr>
        <w:t>velopment</w:t>
      </w:r>
    </w:p>
    <w:p w14:paraId="3A95A389" w14:textId="77777777" w:rsidR="00AE1AD6" w:rsidRPr="009B13B3" w:rsidRDefault="00AE1AD6" w:rsidP="00AE1AD6">
      <w:pPr>
        <w:jc w:val="right"/>
        <w:rPr>
          <w:rFonts w:ascii="Arial" w:hAnsi="Arial" w:cs="Arial"/>
        </w:rPr>
      </w:pPr>
      <w:r>
        <w:rPr>
          <w:rFonts w:ascii="Arial" w:hAnsi="Arial" w:cs="Arial"/>
        </w:rPr>
        <w:t>26 W. Martin Luther King Drive</w:t>
      </w:r>
    </w:p>
    <w:p w14:paraId="19AF8A73" w14:textId="77777777" w:rsidR="00AE1AD6" w:rsidRPr="009B13B3" w:rsidRDefault="00AE1AD6" w:rsidP="00AE1AD6">
      <w:pPr>
        <w:jc w:val="right"/>
        <w:rPr>
          <w:rFonts w:ascii="Arial" w:hAnsi="Arial" w:cs="Arial"/>
        </w:rPr>
      </w:pPr>
      <w:r>
        <w:rPr>
          <w:rFonts w:ascii="Arial" w:hAnsi="Arial" w:cs="Arial"/>
        </w:rPr>
        <w:t>Cincinnati, OH 45268</w:t>
      </w:r>
    </w:p>
    <w:p w14:paraId="7E5F22C8" w14:textId="77777777" w:rsidR="00AE1AD6" w:rsidRDefault="00AE1AD6" w:rsidP="00AE1AD6">
      <w:pPr>
        <w:jc w:val="right"/>
        <w:rPr>
          <w:rFonts w:ascii="Arial" w:hAnsi="Arial" w:cs="Arial"/>
        </w:rPr>
      </w:pPr>
    </w:p>
    <w:p w14:paraId="2F11E053" w14:textId="77777777" w:rsidR="00AE1AD6" w:rsidRDefault="00AE1AD6" w:rsidP="00AE1AD6">
      <w:pPr>
        <w:jc w:val="right"/>
        <w:rPr>
          <w:rFonts w:ascii="Arial" w:hAnsi="Arial" w:cs="Arial"/>
        </w:rPr>
      </w:pPr>
      <w:r>
        <w:rPr>
          <w:rFonts w:ascii="Arial" w:hAnsi="Arial" w:cs="Arial"/>
        </w:rPr>
        <w:t>And</w:t>
      </w:r>
    </w:p>
    <w:p w14:paraId="5BD7A951" w14:textId="77777777" w:rsidR="00AE1AD6" w:rsidRPr="009B13B3" w:rsidRDefault="00AE1AD6" w:rsidP="00AE1AD6">
      <w:pPr>
        <w:jc w:val="right"/>
        <w:rPr>
          <w:rFonts w:ascii="Arial" w:hAnsi="Arial" w:cs="Arial"/>
        </w:rPr>
      </w:pPr>
    </w:p>
    <w:p w14:paraId="7B87681B" w14:textId="77777777" w:rsidR="00AE1AD6" w:rsidRPr="009B13B3" w:rsidRDefault="00AE1AD6" w:rsidP="00AE1AD6">
      <w:pPr>
        <w:jc w:val="right"/>
        <w:rPr>
          <w:rFonts w:ascii="Arial" w:hAnsi="Arial" w:cs="Arial"/>
          <w:b/>
          <w:sz w:val="32"/>
          <w:szCs w:val="32"/>
        </w:rPr>
      </w:pPr>
      <w:r>
        <w:rPr>
          <w:rFonts w:ascii="Arial" w:hAnsi="Arial" w:cs="Arial"/>
          <w:b/>
          <w:sz w:val="32"/>
          <w:szCs w:val="32"/>
        </w:rPr>
        <w:t>Pegasus Technical Services, Inc.</w:t>
      </w:r>
    </w:p>
    <w:p w14:paraId="14B1D24A" w14:textId="77777777" w:rsidR="00AE1AD6" w:rsidRPr="00044366" w:rsidRDefault="00AE1AD6" w:rsidP="00AE1AD6">
      <w:pPr>
        <w:jc w:val="right"/>
        <w:rPr>
          <w:rFonts w:ascii="Arial" w:hAnsi="Arial" w:cs="Arial"/>
        </w:rPr>
      </w:pPr>
      <w:r>
        <w:rPr>
          <w:rFonts w:ascii="Arial" w:hAnsi="Arial" w:cs="Arial"/>
        </w:rPr>
        <w:t>46 E. Hollister St.</w:t>
      </w:r>
    </w:p>
    <w:p w14:paraId="04DD2BBD" w14:textId="77777777" w:rsidR="00AE1AD6" w:rsidRPr="009B13B3" w:rsidRDefault="00AE1AD6" w:rsidP="00AE1AD6">
      <w:pPr>
        <w:jc w:val="right"/>
        <w:rPr>
          <w:rFonts w:ascii="Arial" w:hAnsi="Arial" w:cs="Arial"/>
        </w:rPr>
      </w:pPr>
      <w:r>
        <w:rPr>
          <w:rFonts w:ascii="Arial" w:hAnsi="Arial" w:cs="Arial"/>
        </w:rPr>
        <w:t>Cincinnati, OH 45219</w:t>
      </w:r>
    </w:p>
    <w:p w14:paraId="33E3B6BF" w14:textId="77777777" w:rsidR="00AE1AD6" w:rsidRDefault="00AE1AD6" w:rsidP="00AE1AD6">
      <w:pPr>
        <w:jc w:val="right"/>
        <w:rPr>
          <w:rFonts w:ascii="Arial" w:hAnsi="Arial" w:cs="Arial"/>
        </w:rPr>
      </w:pPr>
    </w:p>
    <w:p w14:paraId="433C40A9" w14:textId="77777777" w:rsidR="00AE1AD6" w:rsidRPr="009B13B3" w:rsidRDefault="00AE1AD6" w:rsidP="00AE1AD6">
      <w:pPr>
        <w:jc w:val="right"/>
        <w:rPr>
          <w:rFonts w:ascii="Arial" w:hAnsi="Arial" w:cs="Arial"/>
        </w:rPr>
      </w:pPr>
    </w:p>
    <w:p w14:paraId="79896CEE" w14:textId="77777777" w:rsidR="00AE1AD6" w:rsidRPr="009B13B3" w:rsidRDefault="00AE1AD6" w:rsidP="00AE1AD6">
      <w:pPr>
        <w:jc w:val="right"/>
        <w:rPr>
          <w:rFonts w:ascii="Arial" w:hAnsi="Arial" w:cs="Arial"/>
        </w:rPr>
      </w:pPr>
      <w:r w:rsidRPr="009B13B3">
        <w:rPr>
          <w:rFonts w:ascii="Arial" w:hAnsi="Arial" w:cs="Arial"/>
        </w:rPr>
        <w:t>Prepared by:</w:t>
      </w:r>
    </w:p>
    <w:p w14:paraId="2824E8FD" w14:textId="77777777" w:rsidR="00AE1AD6" w:rsidRPr="009B13B3" w:rsidRDefault="00AE1AD6" w:rsidP="00AE1AD6">
      <w:pPr>
        <w:jc w:val="right"/>
        <w:rPr>
          <w:rFonts w:ascii="Arial" w:hAnsi="Arial" w:cs="Arial"/>
        </w:rPr>
      </w:pPr>
    </w:p>
    <w:p w14:paraId="2B0AF592" w14:textId="77777777" w:rsidR="00AE1AD6" w:rsidRPr="009B13B3" w:rsidRDefault="00AE1AD6" w:rsidP="00AE1AD6">
      <w:pPr>
        <w:jc w:val="right"/>
        <w:rPr>
          <w:rFonts w:ascii="Arial" w:hAnsi="Arial" w:cs="Arial"/>
          <w:b/>
          <w:sz w:val="32"/>
          <w:szCs w:val="32"/>
        </w:rPr>
      </w:pPr>
      <w:r w:rsidRPr="009B13B3">
        <w:rPr>
          <w:rFonts w:ascii="Arial" w:hAnsi="Arial" w:cs="Arial"/>
          <w:b/>
          <w:sz w:val="32"/>
          <w:szCs w:val="32"/>
        </w:rPr>
        <w:t>Eastern Research Group, Inc.</w:t>
      </w:r>
    </w:p>
    <w:p w14:paraId="5E7BBCB3" w14:textId="77777777" w:rsidR="00AE1AD6" w:rsidRPr="009B13B3" w:rsidRDefault="00AE1AD6" w:rsidP="00AE1AD6">
      <w:pPr>
        <w:jc w:val="right"/>
        <w:rPr>
          <w:rFonts w:ascii="Arial" w:hAnsi="Arial" w:cs="Arial"/>
        </w:rPr>
      </w:pPr>
      <w:r>
        <w:rPr>
          <w:rFonts w:ascii="Arial" w:hAnsi="Arial" w:cs="Arial"/>
        </w:rPr>
        <w:t>110 Hartwell Avenue</w:t>
      </w:r>
    </w:p>
    <w:p w14:paraId="4C0316FD" w14:textId="77777777" w:rsidR="00AE1AD6" w:rsidRPr="009B13B3" w:rsidRDefault="00AE1AD6" w:rsidP="00AE1AD6">
      <w:pPr>
        <w:jc w:val="right"/>
        <w:rPr>
          <w:rFonts w:ascii="Arial" w:hAnsi="Arial" w:cs="Arial"/>
        </w:rPr>
      </w:pPr>
      <w:r>
        <w:rPr>
          <w:rFonts w:ascii="Arial" w:hAnsi="Arial" w:cs="Arial"/>
        </w:rPr>
        <w:t>Lexington, MA 02421</w:t>
      </w:r>
    </w:p>
    <w:p w14:paraId="2D95BA55" w14:textId="77777777" w:rsidR="00AE1AD6" w:rsidRPr="009B13B3" w:rsidRDefault="00AE1AD6" w:rsidP="00AE1AD6">
      <w:pPr>
        <w:jc w:val="right"/>
        <w:rPr>
          <w:rFonts w:ascii="Arial" w:hAnsi="Arial" w:cs="Arial"/>
        </w:rPr>
      </w:pPr>
    </w:p>
    <w:p w14:paraId="641A2139" w14:textId="77777777" w:rsidR="00AE1AD6" w:rsidRPr="009B13B3" w:rsidRDefault="00AE1AD6" w:rsidP="00AE1AD6">
      <w:pPr>
        <w:jc w:val="right"/>
        <w:rPr>
          <w:rFonts w:ascii="Arial" w:hAnsi="Arial" w:cs="Arial"/>
        </w:rPr>
      </w:pPr>
    </w:p>
    <w:p w14:paraId="59797972" w14:textId="05F2633A" w:rsidR="00AE1AD6" w:rsidRPr="009B13B3" w:rsidRDefault="00B27394" w:rsidP="00AE1AD6">
      <w:pPr>
        <w:jc w:val="right"/>
        <w:rPr>
          <w:rFonts w:ascii="Arial" w:hAnsi="Arial" w:cs="Arial"/>
        </w:rPr>
      </w:pPr>
      <w:r>
        <w:rPr>
          <w:rFonts w:ascii="Arial" w:hAnsi="Arial" w:cs="Arial"/>
        </w:rPr>
        <w:t>Decemb</w:t>
      </w:r>
      <w:r w:rsidRPr="00FA49B3">
        <w:rPr>
          <w:rFonts w:ascii="Arial" w:hAnsi="Arial" w:cs="Arial"/>
        </w:rPr>
        <w:t xml:space="preserve">er </w:t>
      </w:r>
      <w:r w:rsidR="00FA49B3" w:rsidRPr="00FA49B3">
        <w:rPr>
          <w:rFonts w:ascii="Arial" w:hAnsi="Arial" w:cs="Arial"/>
        </w:rPr>
        <w:t>19</w:t>
      </w:r>
      <w:r w:rsidR="00AE1AD6" w:rsidRPr="00FA49B3">
        <w:rPr>
          <w:rFonts w:ascii="Arial" w:hAnsi="Arial" w:cs="Arial"/>
        </w:rPr>
        <w:t>, 2018</w:t>
      </w:r>
    </w:p>
    <w:p w14:paraId="664705B5" w14:textId="77777777" w:rsidR="00E41AB0" w:rsidRDefault="00E41AB0">
      <w:pPr>
        <w:tabs>
          <w:tab w:val="left" w:pos="-2238"/>
          <w:tab w:val="left" w:pos="1377"/>
          <w:tab w:val="left" w:pos="2880"/>
          <w:tab w:val="left" w:pos="3600"/>
          <w:tab w:val="left" w:pos="4320"/>
          <w:tab w:val="left" w:pos="4962"/>
          <w:tab w:val="left" w:pos="5760"/>
          <w:tab w:val="left" w:pos="6480"/>
          <w:tab w:val="left" w:pos="7200"/>
          <w:tab w:val="left" w:pos="7920"/>
          <w:tab w:val="left" w:pos="8640"/>
          <w:tab w:val="left" w:pos="9360"/>
        </w:tabs>
        <w:jc w:val="right"/>
        <w:rPr>
          <w:rFonts w:ascii="Arial" w:hAnsi="Arial" w:cs="Arial"/>
          <w:szCs w:val="24"/>
        </w:rPr>
      </w:pPr>
    </w:p>
    <w:p w14:paraId="4DB2CB7E" w14:textId="2D19DD85" w:rsidR="00E41AB0" w:rsidRDefault="00370ACB">
      <w:pPr>
        <w:tabs>
          <w:tab w:val="left" w:pos="-2238"/>
          <w:tab w:val="left" w:pos="1377"/>
          <w:tab w:val="left" w:pos="2880"/>
          <w:tab w:val="left" w:pos="3600"/>
          <w:tab w:val="left" w:pos="4320"/>
          <w:tab w:val="left" w:pos="4962"/>
          <w:tab w:val="left" w:pos="5760"/>
          <w:tab w:val="left" w:pos="6480"/>
          <w:tab w:val="left" w:pos="7200"/>
          <w:tab w:val="left" w:pos="7920"/>
          <w:tab w:val="left" w:pos="8640"/>
          <w:tab w:val="left" w:pos="9360"/>
        </w:tabs>
        <w:spacing w:line="2" w:lineRule="exact"/>
        <w:jc w:val="right"/>
        <w:rPr>
          <w:rFonts w:ascii="Arial" w:hAnsi="Arial" w:cs="Arial"/>
        </w:rPr>
      </w:pPr>
      <w:r>
        <w:rPr>
          <w:noProof/>
        </w:rPr>
        <mc:AlternateContent>
          <mc:Choice Requires="wps">
            <w:drawing>
              <wp:anchor distT="4294967295" distB="4294967295" distL="114299" distR="114299" simplePos="0" relativeHeight="251658752" behindDoc="0" locked="0" layoutInCell="0" allowOverlap="1" wp14:anchorId="086CAD38" wp14:editId="4C3DF7B6">
                <wp:simplePos x="0" y="0"/>
                <wp:positionH relativeFrom="margin">
                  <wp:posOffset>-1</wp:posOffset>
                </wp:positionH>
                <wp:positionV relativeFrom="paragraph">
                  <wp:posOffset>-1</wp:posOffset>
                </wp:positionV>
                <wp:extent cx="0" cy="0"/>
                <wp:effectExtent l="0" t="0" r="0" b="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c="http://schemas.openxmlformats.org/drawingml/2006/chart"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EB6B" id="Line 8" o:spid="_x0000_s1026" style="position:absolute;z-index:251658752;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" o:allowincell="f" strokecolor="#020000" strokeweight="2.88pt">
                <v:stroke linestyle="thinThin"/>
                <w10:wrap anchorx="margin"/>
              </v:line>
            </w:pict>
          </mc:Fallback>
        </mc:AlternateContent>
      </w:r>
      <w:r>
        <w:rPr>
          <w:noProof/>
        </w:rPr>
        <mc:AlternateContent>
          <mc:Choice Requires="wps">
            <w:drawing>
              <wp:anchor distT="4294967295" distB="4294967295" distL="114300" distR="114300" simplePos="0" relativeHeight="251659776" behindDoc="0" locked="0" layoutInCell="0" allowOverlap="1" wp14:anchorId="0054EE11" wp14:editId="553DB9B2">
                <wp:simplePos x="0" y="0"/>
                <wp:positionH relativeFrom="margin">
                  <wp:posOffset>0</wp:posOffset>
                </wp:positionH>
                <wp:positionV relativeFrom="paragraph">
                  <wp:posOffset>17779</wp:posOffset>
                </wp:positionV>
                <wp:extent cx="5943600" cy="0"/>
                <wp:effectExtent l="0" t="19050" r="38100" b="3810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0800">
                          <a:solidFill>
                            <a:srgbClr val="02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c="http://schemas.openxmlformats.org/drawingml/2006/chart"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7E0FE" id="Line 9" o:spid="_x0000_s1026" style="position:absolute;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" o:allowincell="f" strokecolor="#020000" strokeweight="4pt">
                <w10:wrap anchorx="margin"/>
              </v:line>
            </w:pict>
          </mc:Fallback>
        </mc:AlternateContent>
      </w:r>
    </w:p>
    <w:p w14:paraId="5F357956" w14:textId="3809B74A" w:rsidR="00E41AB0" w:rsidRDefault="00E41AB0">
      <w:pPr>
        <w:tabs>
          <w:tab w:val="left" w:pos="-2238"/>
          <w:tab w:val="left" w:pos="1377"/>
          <w:tab w:val="left" w:pos="2880"/>
          <w:tab w:val="left" w:pos="3600"/>
          <w:tab w:val="left" w:pos="4320"/>
          <w:tab w:val="left" w:pos="4962"/>
          <w:tab w:val="left" w:pos="5760"/>
          <w:tab w:val="left" w:pos="6480"/>
          <w:tab w:val="left" w:pos="7200"/>
          <w:tab w:val="left" w:pos="7920"/>
          <w:tab w:val="left" w:pos="8640"/>
          <w:tab w:val="left" w:pos="9360"/>
        </w:tabs>
        <w:jc w:val="right"/>
        <w:rPr>
          <w:rFonts w:ascii="Arial" w:hAnsi="Arial" w:cs="Arial"/>
        </w:rPr>
      </w:pPr>
    </w:p>
    <w:p w14:paraId="0F5FBE1E" w14:textId="3A7831F8" w:rsidR="00173A93" w:rsidRDefault="00173A93" w:rsidP="00173A93">
      <w:pPr>
        <w:jc w:val="right"/>
        <w:rPr>
          <w:rFonts w:ascii="Arial" w:hAnsi="Arial" w:cs="Arial"/>
          <w:sz w:val="20"/>
        </w:rPr>
      </w:pPr>
      <w:bookmarkStart w:id="4" w:name="_Toc116792511"/>
      <w:bookmarkStart w:id="5" w:name="_Toc401755090"/>
      <w:bookmarkStart w:id="6" w:name="_Toc401755175"/>
      <w:r w:rsidRPr="008D71C9">
        <w:rPr>
          <w:rFonts w:ascii="Arial" w:hAnsi="Arial" w:cs="Arial"/>
          <w:sz w:val="20"/>
        </w:rPr>
        <w:t xml:space="preserve">EPA Contract No. </w:t>
      </w:r>
      <w:bookmarkEnd w:id="4"/>
      <w:bookmarkEnd w:id="5"/>
      <w:bookmarkEnd w:id="6"/>
      <w:r>
        <w:rPr>
          <w:rFonts w:ascii="Arial" w:hAnsi="Arial" w:cs="Arial"/>
          <w:sz w:val="20"/>
        </w:rPr>
        <w:t>EP-C-15-010</w:t>
      </w:r>
    </w:p>
    <w:p w14:paraId="7ACA930A" w14:textId="77777777" w:rsidR="00ED3F26" w:rsidRDefault="00173A93" w:rsidP="00F6507D">
      <w:pPr>
        <w:jc w:val="right"/>
        <w:rPr>
          <w:rFonts w:ascii="Arial" w:hAnsi="Arial" w:cs="Arial"/>
          <w:sz w:val="20"/>
        </w:rPr>
        <w:sectPr w:rsidR="00ED3F26" w:rsidSect="007A25EA">
          <w:footerReference w:type="first" r:id="rId10"/>
          <w:type w:val="continuous"/>
          <w:pgSz w:w="12240" w:h="15840" w:code="1"/>
          <w:pgMar w:top="1440" w:right="1440" w:bottom="1440" w:left="1440" w:header="720" w:footer="720" w:gutter="0"/>
          <w:cols w:space="720"/>
          <w:docGrid w:linePitch="326"/>
        </w:sectPr>
      </w:pPr>
      <w:r>
        <w:rPr>
          <w:rFonts w:ascii="Arial" w:hAnsi="Arial" w:cs="Arial"/>
          <w:sz w:val="20"/>
        </w:rPr>
        <w:t>Work Assignment 2-32</w:t>
      </w:r>
      <w:r w:rsidR="002367B1">
        <w:rPr>
          <w:rFonts w:ascii="Arial" w:hAnsi="Arial" w:cs="Arial"/>
          <w:sz w:val="20"/>
        </w:rPr>
        <w:t xml:space="preserve"> &amp; 3-32</w:t>
      </w:r>
    </w:p>
    <w:p w14:paraId="54EDB4FF" w14:textId="77777777" w:rsidR="00ED3F26" w:rsidRDefault="00ED3F26" w:rsidP="00ED3F26"/>
    <w:p w14:paraId="0CB15A0B" w14:textId="77777777" w:rsidR="00ED3F26" w:rsidRDefault="00ED3F26" w:rsidP="00ED3F26"/>
    <w:p w14:paraId="1DF4EA5B" w14:textId="77777777" w:rsidR="00ED3F26" w:rsidRDefault="00ED3F26" w:rsidP="00ED3F26"/>
    <w:p w14:paraId="492B09F1" w14:textId="77777777" w:rsidR="00ED3F26" w:rsidRDefault="00ED3F26" w:rsidP="00ED3F26"/>
    <w:p w14:paraId="2E9A2A0A" w14:textId="77777777" w:rsidR="00ED3F26" w:rsidRDefault="00ED3F26" w:rsidP="00ED3F26"/>
    <w:p w14:paraId="4A9EB069" w14:textId="77777777" w:rsidR="00ED3F26" w:rsidRDefault="00ED3F26" w:rsidP="00ED3F26"/>
    <w:p w14:paraId="4151E52F" w14:textId="77777777" w:rsidR="00ED3F26" w:rsidRDefault="00ED3F26" w:rsidP="00ED3F26"/>
    <w:p w14:paraId="5A93D2B7" w14:textId="77777777" w:rsidR="00ED3F26" w:rsidRDefault="00ED3F26" w:rsidP="00ED3F26"/>
    <w:p w14:paraId="649F6446" w14:textId="77777777" w:rsidR="00ED3F26" w:rsidRDefault="00ED3F26" w:rsidP="00ED3F26"/>
    <w:p w14:paraId="35FEEA83" w14:textId="77777777" w:rsidR="00ED3F26" w:rsidRDefault="00ED3F26" w:rsidP="00ED3F26"/>
    <w:p w14:paraId="746A49C5" w14:textId="77777777" w:rsidR="00ED3F26" w:rsidRDefault="00ED3F26" w:rsidP="00ED3F26"/>
    <w:p w14:paraId="1F0C40D1" w14:textId="77777777" w:rsidR="00ED3F26" w:rsidRDefault="00ED3F26" w:rsidP="00ED3F26"/>
    <w:p w14:paraId="31039794" w14:textId="77777777" w:rsidR="00ED3F26" w:rsidRDefault="00ED3F26" w:rsidP="00ED3F26"/>
    <w:p w14:paraId="584320B8" w14:textId="640E3D01" w:rsidR="00ED3F26" w:rsidRPr="00ED3F26" w:rsidRDefault="00ED3F26" w:rsidP="00ED3F26">
      <w:pPr>
        <w:rPr>
          <w:i/>
        </w:rPr>
      </w:pPr>
      <w:r w:rsidRPr="00ED3F26">
        <w:rPr>
          <w:i/>
        </w:rPr>
        <w:t>This U.S. Environmental Protection Agency (U.S. EPA) report was developed under Contract No. EP-C-15-0</w:t>
      </w:r>
      <w:r w:rsidR="006B6487">
        <w:rPr>
          <w:i/>
        </w:rPr>
        <w:t>1</w:t>
      </w:r>
      <w:r w:rsidRPr="00ED3F26">
        <w:rPr>
          <w:i/>
        </w:rPr>
        <w:t>0 awarded by the U.S. EPA. This document has been reviewed in accordance with U.S. EPA policy and approved for publication. Any mention of trade names or commercial products does not constitute endorsement or recommendation for use.</w:t>
      </w:r>
    </w:p>
    <w:p w14:paraId="2D58F539" w14:textId="6EC79C78" w:rsidR="00704BA6" w:rsidRPr="00F6507D" w:rsidRDefault="00704BA6" w:rsidP="00F6507D">
      <w:pPr>
        <w:jc w:val="right"/>
        <w:rPr>
          <w:rFonts w:ascii="Arial" w:hAnsi="Arial" w:cs="Arial"/>
          <w:sz w:val="20"/>
        </w:rPr>
      </w:pPr>
      <w:r>
        <w:rPr>
          <w:sz w:val="20"/>
        </w:rPr>
        <w:br w:type="page"/>
      </w:r>
    </w:p>
    <w:p w14:paraId="65E1C5D2" w14:textId="77777777" w:rsidR="00E41AB0" w:rsidRPr="00774D2A" w:rsidRDefault="00E41AB0" w:rsidP="00CA60F5">
      <w:pPr>
        <w:tabs>
          <w:tab w:val="left" w:pos="-2238"/>
          <w:tab w:val="left" w:pos="1377"/>
          <w:tab w:val="left" w:pos="2880"/>
          <w:tab w:val="left" w:pos="3600"/>
          <w:tab w:val="left" w:pos="4320"/>
          <w:tab w:val="left" w:pos="4962"/>
          <w:tab w:val="left" w:pos="5760"/>
          <w:tab w:val="left" w:pos="6480"/>
          <w:tab w:val="left" w:pos="7200"/>
          <w:tab w:val="left" w:pos="7920"/>
          <w:tab w:val="left" w:pos="8640"/>
          <w:tab w:val="left" w:pos="9360"/>
        </w:tabs>
        <w:rPr>
          <w:sz w:val="20"/>
        </w:rPr>
        <w:sectPr w:rsidR="00E41AB0" w:rsidRPr="00774D2A" w:rsidSect="00ED3F26">
          <w:pgSz w:w="12240" w:h="15840" w:code="1"/>
          <w:pgMar w:top="1440" w:right="1440" w:bottom="1440" w:left="1440" w:header="720" w:footer="720" w:gutter="0"/>
          <w:cols w:space="720"/>
          <w:docGrid w:linePitch="326"/>
        </w:sectPr>
      </w:pPr>
    </w:p>
    <w:p w14:paraId="0B7A4808" w14:textId="56BEA001" w:rsidR="004E6040" w:rsidRDefault="004E6040" w:rsidP="00887451">
      <w:pPr>
        <w:pStyle w:val="Heading1nonumber"/>
      </w:pPr>
      <w:r>
        <w:lastRenderedPageBreak/>
        <w:t>Abstract</w:t>
      </w:r>
    </w:p>
    <w:p w14:paraId="1449F21F" w14:textId="1CE4D4C2" w:rsidR="00D6362D" w:rsidRDefault="00D6362D" w:rsidP="006771B9">
      <w:pPr>
        <w:pStyle w:val="BodyText"/>
      </w:pPr>
      <w:r>
        <w:t>There are several ways to provide potable water to the community in times of an emergency. In recent disaster events, bottled water has</w:t>
      </w:r>
      <w:r w:rsidR="00446023">
        <w:t xml:space="preserve"> generally</w:t>
      </w:r>
      <w:r>
        <w:t xml:space="preserve"> been provided to the </w:t>
      </w:r>
      <w:r w:rsidR="00923B2B">
        <w:t>a</w:t>
      </w:r>
      <w:r>
        <w:t xml:space="preserve">ffected population. However, some new products have come </w:t>
      </w:r>
      <w:r w:rsidR="00040690">
        <w:t>on</w:t>
      </w:r>
      <w:r>
        <w:t xml:space="preserve"> the market that can generate water from the atmosphere</w:t>
      </w:r>
      <w:r w:rsidR="00040690">
        <w:t xml:space="preserve"> and</w:t>
      </w:r>
      <w:r>
        <w:t xml:space="preserve"> </w:t>
      </w:r>
      <w:r w:rsidR="00A85D25">
        <w:t>may</w:t>
      </w:r>
      <w:r>
        <w:t xml:space="preserve"> be an effective alternative to bottled water in times of emergencies. </w:t>
      </w:r>
      <w:r w:rsidR="00040690">
        <w:t>These products are known as atmospheric water generators (AWG</w:t>
      </w:r>
      <w:r w:rsidR="00E4690C">
        <w:t>s</w:t>
      </w:r>
      <w:r w:rsidR="00040690">
        <w:t xml:space="preserve">). </w:t>
      </w:r>
      <w:r>
        <w:t xml:space="preserve">This research uses life cycle assessment (LCA) to evaluate the </w:t>
      </w:r>
      <w:r w:rsidR="005D2639">
        <w:t xml:space="preserve">potential </w:t>
      </w:r>
      <w:r>
        <w:t>environmental impacts associated with the bottled water system and the AWG system based on a suite of environmental indicators</w:t>
      </w:r>
      <w:r w:rsidR="00A85D25">
        <w:t>. A companion</w:t>
      </w:r>
      <w:r>
        <w:t xml:space="preserve"> cost </w:t>
      </w:r>
      <w:r w:rsidR="00A85D25">
        <w:t xml:space="preserve">analysis is also conducted </w:t>
      </w:r>
      <w:r w:rsidR="00ED3F26">
        <w:t>using</w:t>
      </w:r>
      <w:r w:rsidR="00A85D25">
        <w:t xml:space="preserve"> net present value calculations</w:t>
      </w:r>
      <w:r>
        <w:t xml:space="preserve">. The project evaluates bottled water systems associated with a single-serve 16.9 oz bottle served in 24 pack cases and multi-serve </w:t>
      </w:r>
      <w:r w:rsidR="005D2639">
        <w:t>5-gallon</w:t>
      </w:r>
      <w:r>
        <w:t xml:space="preserve"> reusable jugs, in addition to two brands of AWGs designed to operate </w:t>
      </w:r>
      <w:r w:rsidR="005D2639">
        <w:t>at</w:t>
      </w:r>
      <w:r>
        <w:t xml:space="preserve"> multiple scales, manufactured by Watergen and Ecoloblue, respectively. Life cycle inventory data were co</w:t>
      </w:r>
      <w:r w:rsidR="00040690">
        <w:t>llected</w:t>
      </w:r>
      <w:r>
        <w:t xml:space="preserve"> from vendor</w:t>
      </w:r>
      <w:r w:rsidR="005D2639">
        <w:t xml:space="preserve">-provided data </w:t>
      </w:r>
      <w:r w:rsidR="00040690">
        <w:t>and</w:t>
      </w:r>
      <w:r>
        <w:t xml:space="preserve"> published peer reviewed literature </w:t>
      </w:r>
      <w:r w:rsidR="00040690">
        <w:t xml:space="preserve">to be </w:t>
      </w:r>
      <w:r>
        <w:t>modeled in openLCA v1.7.0. Several sensitivity analyses were conducted to quantify the effect</w:t>
      </w:r>
      <w:r w:rsidR="00A85D25">
        <w:t xml:space="preserve"> on results</w:t>
      </w:r>
      <w:r>
        <w:t xml:space="preserve"> of single</w:t>
      </w:r>
      <w:r w:rsidR="008918A8">
        <w:t>-</w:t>
      </w:r>
      <w:r>
        <w:t>serve bottle</w:t>
      </w:r>
      <w:r w:rsidR="005D2639">
        <w:t xml:space="preserve"> weights</w:t>
      </w:r>
      <w:r>
        <w:t>, transportation distance in</w:t>
      </w:r>
      <w:r w:rsidR="005D2639">
        <w:t xml:space="preserve"> delivering</w:t>
      </w:r>
      <w:r>
        <w:t xml:space="preserve"> multi-serve jugs, source of water for filling the bottles, recycled content and recycling allocation methods in bottled water systems, electrical grid mixes for AWGs, volume of water produced </w:t>
      </w:r>
      <w:r w:rsidR="005D2639">
        <w:t>by</w:t>
      </w:r>
      <w:r>
        <w:t xml:space="preserve"> AWGs and the method used to wash the reusable container for drinking water either from the multi-serve jug or the AWG</w:t>
      </w:r>
      <w:r w:rsidR="005D2639">
        <w:t>s</w:t>
      </w:r>
      <w:r>
        <w:t>. Results indicate that the AWGs typically have higher impacts</w:t>
      </w:r>
      <w:r w:rsidR="00996ABA">
        <w:t xml:space="preserve"> across all </w:t>
      </w:r>
      <w:r w:rsidR="00A85D25">
        <w:t xml:space="preserve">environmental </w:t>
      </w:r>
      <w:r w:rsidR="00996ABA">
        <w:t>impact categories</w:t>
      </w:r>
      <w:r>
        <w:t xml:space="preserve"> as compared to the bottled water systems</w:t>
      </w:r>
      <w:r w:rsidR="003A753F">
        <w:t>.</w:t>
      </w:r>
      <w:r>
        <w:t xml:space="preserve"> </w:t>
      </w:r>
      <w:r w:rsidR="003A753F">
        <w:t>T</w:t>
      </w:r>
      <w:r>
        <w:t xml:space="preserve">he multi-serve reusable jug </w:t>
      </w:r>
      <w:r w:rsidR="003A753F">
        <w:t>has</w:t>
      </w:r>
      <w:r>
        <w:t xml:space="preserve"> the lowest impacts</w:t>
      </w:r>
      <w:r w:rsidR="00775C33">
        <w:t xml:space="preserve"> across </w:t>
      </w:r>
      <w:r w:rsidR="00A85D25">
        <w:t xml:space="preserve">the environmental </w:t>
      </w:r>
      <w:r w:rsidR="00775C33">
        <w:t>impact categories</w:t>
      </w:r>
      <w:r>
        <w:t xml:space="preserve"> of all the systems studied. The impacts of the multi-serve jug can be further reduced by lowering the transportation distance to and from the user. The operational life cycle stage of the AWGs has the highest impacts</w:t>
      </w:r>
      <w:r w:rsidR="00775C33">
        <w:t xml:space="preserve"> across all impact categories</w:t>
      </w:r>
      <w:r>
        <w:t xml:space="preserve"> due to the energy requirements of the system. LCA impacts for the AWG </w:t>
      </w:r>
      <w:r w:rsidR="00A85D25">
        <w:t>may</w:t>
      </w:r>
      <w:r>
        <w:t xml:space="preserve"> be reduced through utilization of low environmental impact electrical energy options.</w:t>
      </w:r>
      <w:r w:rsidR="001A65E5">
        <w:t xml:space="preserve"> While AWG units have s</w:t>
      </w:r>
      <w:r w:rsidR="00624762">
        <w:t>ubstantial</w:t>
      </w:r>
      <w:r w:rsidR="001A65E5">
        <w:t xml:space="preserve"> upfront capital costs, cost results are lower for the AWG unit compared to bottled water options </w:t>
      </w:r>
      <w:r w:rsidR="00A85D25">
        <w:t xml:space="preserve">purchased from commercial locations </w:t>
      </w:r>
      <w:r w:rsidR="001A65E5">
        <w:t xml:space="preserve">when amortized over </w:t>
      </w:r>
      <w:r w:rsidR="00047C89">
        <w:t>the AWG’s</w:t>
      </w:r>
      <w:r w:rsidR="001A65E5">
        <w:t xml:space="preserve"> lifetime.</w:t>
      </w:r>
    </w:p>
    <w:p w14:paraId="73F2BFC9" w14:textId="77777777" w:rsidR="0084202C" w:rsidRDefault="0084202C" w:rsidP="00A333CC">
      <w:pPr>
        <w:rPr>
          <w:rFonts w:ascii="Times New Roman Bold" w:hAnsi="Times New Roman Bold"/>
          <w:b/>
          <w:kern w:val="28"/>
          <w:sz w:val="28"/>
          <w:szCs w:val="28"/>
        </w:rPr>
        <w:sectPr w:rsidR="0084202C" w:rsidSect="007A25EA">
          <w:headerReference w:type="default" r:id="rId11"/>
          <w:footerReference w:type="default" r:id="rId12"/>
          <w:headerReference w:type="first" r:id="rId13"/>
          <w:pgSz w:w="12240" w:h="15840" w:code="1"/>
          <w:pgMar w:top="1440" w:right="1440" w:bottom="1440" w:left="1440" w:header="720" w:footer="720" w:gutter="0"/>
          <w:pgNumType w:fmt="lowerRoman" w:start="1"/>
          <w:cols w:space="720"/>
          <w:docGrid w:linePitch="326"/>
        </w:sectPr>
      </w:pPr>
    </w:p>
    <w:p w14:paraId="0337031A" w14:textId="77777777" w:rsidR="004E6040" w:rsidRDefault="004E6040" w:rsidP="007A25EA">
      <w:pPr>
        <w:pStyle w:val="Heading1nonumber"/>
        <w:spacing w:after="100"/>
      </w:pPr>
      <w:r>
        <w:lastRenderedPageBreak/>
        <w:t>Acronyms and Abbreviations</w:t>
      </w:r>
    </w:p>
    <w:p w14:paraId="49418A5E" w14:textId="39F826C0" w:rsidR="005F349C" w:rsidRDefault="005F349C" w:rsidP="007A25EA">
      <w:pPr>
        <w:tabs>
          <w:tab w:val="clear" w:pos="720"/>
        </w:tabs>
        <w:spacing w:line="260" w:lineRule="exact"/>
        <w:ind w:left="2160" w:hanging="2160"/>
      </w:pPr>
      <w:r>
        <w:t>AWG</w:t>
      </w:r>
      <w:r>
        <w:tab/>
        <w:t>Atmospheric Water Generator</w:t>
      </w:r>
    </w:p>
    <w:p w14:paraId="7FF35F0D" w14:textId="636727B3" w:rsidR="006C50D4" w:rsidRDefault="006C50D4" w:rsidP="007A25EA">
      <w:pPr>
        <w:tabs>
          <w:tab w:val="clear" w:pos="720"/>
        </w:tabs>
        <w:spacing w:line="260" w:lineRule="exact"/>
        <w:ind w:left="2160" w:hanging="2160"/>
      </w:pPr>
      <w:r>
        <w:t>CAMX</w:t>
      </w:r>
      <w:r w:rsidR="00212100">
        <w:tab/>
        <w:t>Western Electricity Coordinating Council</w:t>
      </w:r>
      <w:r w:rsidR="00212100" w:rsidRPr="00212100">
        <w:t xml:space="preserve"> California</w:t>
      </w:r>
      <w:r w:rsidR="00212100">
        <w:t>, eG</w:t>
      </w:r>
      <w:r w:rsidR="00D516B8">
        <w:t>RID</w:t>
      </w:r>
      <w:r w:rsidR="00212100">
        <w:t xml:space="preserve"> subregion</w:t>
      </w:r>
    </w:p>
    <w:p w14:paraId="3C1E1D5C" w14:textId="53178B22" w:rsidR="00C3635F" w:rsidRDefault="00C3635F" w:rsidP="007A25EA">
      <w:pPr>
        <w:tabs>
          <w:tab w:val="clear" w:pos="720"/>
        </w:tabs>
        <w:spacing w:line="260" w:lineRule="exact"/>
        <w:ind w:left="2160" w:hanging="2160"/>
      </w:pPr>
      <w:r>
        <w:t>DQI</w:t>
      </w:r>
      <w:r>
        <w:tab/>
        <w:t>Data quality indicator</w:t>
      </w:r>
    </w:p>
    <w:p w14:paraId="2CDE6B91" w14:textId="61C053F9" w:rsidR="001C6167" w:rsidRDefault="001C6167" w:rsidP="007A25EA">
      <w:pPr>
        <w:tabs>
          <w:tab w:val="clear" w:pos="720"/>
        </w:tabs>
        <w:spacing w:line="260" w:lineRule="exact"/>
        <w:ind w:left="2160" w:hanging="2160"/>
      </w:pPr>
      <w:r>
        <w:t>EF</w:t>
      </w:r>
      <w:r>
        <w:tab/>
        <w:t>Emission factor</w:t>
      </w:r>
    </w:p>
    <w:p w14:paraId="2A625019" w14:textId="10178358" w:rsidR="002A3802" w:rsidRDefault="002A3802" w:rsidP="007A25EA">
      <w:pPr>
        <w:tabs>
          <w:tab w:val="clear" w:pos="720"/>
        </w:tabs>
        <w:spacing w:line="260" w:lineRule="exact"/>
        <w:ind w:left="2160" w:hanging="2160"/>
      </w:pPr>
      <w:r>
        <w:t>eGRID</w:t>
      </w:r>
      <w:r>
        <w:tab/>
      </w:r>
      <w:r w:rsidRPr="00BA1295">
        <w:t>Emissions &amp; Generation Resource Integrated Database</w:t>
      </w:r>
    </w:p>
    <w:p w14:paraId="4FB84F07" w14:textId="7ACD3104" w:rsidR="004E6040" w:rsidRDefault="004E6040" w:rsidP="007A25EA">
      <w:pPr>
        <w:tabs>
          <w:tab w:val="clear" w:pos="720"/>
        </w:tabs>
        <w:spacing w:line="260" w:lineRule="exact"/>
        <w:ind w:left="2160" w:hanging="2160"/>
      </w:pPr>
      <w:r>
        <w:t>EPA</w:t>
      </w:r>
      <w:r>
        <w:tab/>
        <w:t>Environmental Protection Agency</w:t>
      </w:r>
      <w:r w:rsidR="00A67120">
        <w:t xml:space="preserve"> (U.S.)</w:t>
      </w:r>
    </w:p>
    <w:p w14:paraId="6CBCAA2A" w14:textId="42C132AF" w:rsidR="004E6040" w:rsidRDefault="004E6040" w:rsidP="007A25EA">
      <w:pPr>
        <w:tabs>
          <w:tab w:val="clear" w:pos="720"/>
        </w:tabs>
        <w:spacing w:line="260" w:lineRule="exact"/>
        <w:ind w:left="2160" w:hanging="2160"/>
      </w:pPr>
      <w:r>
        <w:t>ERG</w:t>
      </w:r>
      <w:r>
        <w:tab/>
        <w:t>Eastern Research Group</w:t>
      </w:r>
      <w:r w:rsidR="00A67120">
        <w:t>, Inc.</w:t>
      </w:r>
    </w:p>
    <w:p w14:paraId="08C23254" w14:textId="67C1F881" w:rsidR="006C50D4" w:rsidRDefault="006C50D4" w:rsidP="007A25EA">
      <w:pPr>
        <w:tabs>
          <w:tab w:val="clear" w:pos="720"/>
        </w:tabs>
        <w:spacing w:line="260" w:lineRule="exact"/>
        <w:ind w:left="2160" w:hanging="2160"/>
      </w:pPr>
      <w:r>
        <w:t>FDA</w:t>
      </w:r>
      <w:r>
        <w:tab/>
        <w:t>Food and Drug Administration</w:t>
      </w:r>
    </w:p>
    <w:p w14:paraId="1767656D" w14:textId="0103E4E7" w:rsidR="006E75CD" w:rsidRDefault="006E75CD" w:rsidP="007A25EA">
      <w:pPr>
        <w:tabs>
          <w:tab w:val="clear" w:pos="720"/>
        </w:tabs>
        <w:spacing w:line="260" w:lineRule="exact"/>
        <w:ind w:left="2160" w:hanging="2160"/>
      </w:pPr>
      <w:r>
        <w:t>FEMA</w:t>
      </w:r>
      <w:r>
        <w:tab/>
        <w:t>Federal Emergency Management Agency</w:t>
      </w:r>
    </w:p>
    <w:p w14:paraId="44F716E3" w14:textId="7147AE42" w:rsidR="006C50D4" w:rsidRDefault="006C50D4" w:rsidP="007A25EA">
      <w:pPr>
        <w:tabs>
          <w:tab w:val="clear" w:pos="720"/>
        </w:tabs>
        <w:spacing w:line="260" w:lineRule="exact"/>
        <w:ind w:left="2160" w:hanging="2160"/>
      </w:pPr>
      <w:r>
        <w:t>FRCC</w:t>
      </w:r>
      <w:r w:rsidR="00212100">
        <w:tab/>
        <w:t>Florida Reliability Coordinating Council, eG</w:t>
      </w:r>
      <w:r w:rsidR="00D516B8">
        <w:t>RID</w:t>
      </w:r>
      <w:r w:rsidR="00212100">
        <w:t xml:space="preserve"> subregion</w:t>
      </w:r>
    </w:p>
    <w:p w14:paraId="1CD8F94F" w14:textId="0A2C023A" w:rsidR="004E6040" w:rsidRDefault="004E6040" w:rsidP="007A25EA">
      <w:pPr>
        <w:tabs>
          <w:tab w:val="clear" w:pos="720"/>
        </w:tabs>
        <w:spacing w:line="260" w:lineRule="exact"/>
        <w:ind w:left="2160" w:hanging="2160"/>
      </w:pPr>
      <w:r>
        <w:t>GHG</w:t>
      </w:r>
      <w:r>
        <w:tab/>
        <w:t>Greenhouse gas</w:t>
      </w:r>
    </w:p>
    <w:p w14:paraId="3442B7AD" w14:textId="4BE17124" w:rsidR="004E6040" w:rsidRDefault="004E6040" w:rsidP="007A25EA">
      <w:pPr>
        <w:tabs>
          <w:tab w:val="clear" w:pos="720"/>
        </w:tabs>
        <w:spacing w:line="260" w:lineRule="exact"/>
        <w:ind w:left="2160" w:hanging="2160"/>
      </w:pPr>
      <w:r>
        <w:t>GWP</w:t>
      </w:r>
      <w:r>
        <w:tab/>
        <w:t>Global warming potential</w:t>
      </w:r>
    </w:p>
    <w:p w14:paraId="22BE5DD4" w14:textId="55F5E583" w:rsidR="00F33E9F" w:rsidRDefault="00F33E9F" w:rsidP="007A25EA">
      <w:pPr>
        <w:tabs>
          <w:tab w:val="clear" w:pos="720"/>
        </w:tabs>
        <w:spacing w:line="260" w:lineRule="exact"/>
        <w:ind w:left="2160" w:hanging="2160"/>
      </w:pPr>
      <w:r>
        <w:t>HOD</w:t>
      </w:r>
      <w:r>
        <w:tab/>
        <w:t>Home/Office Delivery</w:t>
      </w:r>
    </w:p>
    <w:p w14:paraId="176946E5" w14:textId="1F24702D" w:rsidR="00A67120" w:rsidRDefault="00A67120" w:rsidP="007A25EA">
      <w:pPr>
        <w:tabs>
          <w:tab w:val="clear" w:pos="720"/>
        </w:tabs>
        <w:spacing w:line="260" w:lineRule="exact"/>
        <w:ind w:left="2160" w:hanging="2160"/>
      </w:pPr>
      <w:r>
        <w:t>ISO</w:t>
      </w:r>
      <w:r>
        <w:tab/>
        <w:t>International Standardization Organization</w:t>
      </w:r>
    </w:p>
    <w:p w14:paraId="0B49182F" w14:textId="77777777" w:rsidR="004E6040" w:rsidRDefault="004E6040" w:rsidP="007A25EA">
      <w:pPr>
        <w:tabs>
          <w:tab w:val="clear" w:pos="720"/>
        </w:tabs>
        <w:spacing w:line="260" w:lineRule="exact"/>
        <w:ind w:left="2160" w:hanging="2160"/>
      </w:pPr>
      <w:r>
        <w:t>LCA</w:t>
      </w:r>
      <w:r>
        <w:tab/>
        <w:t>Life cycle assessment</w:t>
      </w:r>
    </w:p>
    <w:p w14:paraId="1A41D509" w14:textId="77777777" w:rsidR="004E6040" w:rsidRDefault="004E6040" w:rsidP="007A25EA">
      <w:pPr>
        <w:tabs>
          <w:tab w:val="clear" w:pos="720"/>
        </w:tabs>
        <w:spacing w:line="260" w:lineRule="exact"/>
        <w:ind w:left="2160" w:hanging="2160"/>
      </w:pPr>
      <w:r>
        <w:t>LCI</w:t>
      </w:r>
      <w:r>
        <w:tab/>
        <w:t>Life cycle inventory</w:t>
      </w:r>
    </w:p>
    <w:p w14:paraId="6A967E14" w14:textId="2EECA56D" w:rsidR="004E6040" w:rsidRDefault="004E6040" w:rsidP="007A25EA">
      <w:pPr>
        <w:tabs>
          <w:tab w:val="clear" w:pos="720"/>
        </w:tabs>
        <w:spacing w:line="260" w:lineRule="exact"/>
        <w:ind w:left="2160" w:hanging="2160"/>
      </w:pPr>
      <w:r>
        <w:t>LCIA</w:t>
      </w:r>
      <w:r>
        <w:tab/>
        <w:t>Life cycle impact assessment</w:t>
      </w:r>
    </w:p>
    <w:p w14:paraId="47930F81" w14:textId="69057BD1" w:rsidR="00796831" w:rsidRDefault="00796831" w:rsidP="007A25EA">
      <w:pPr>
        <w:tabs>
          <w:tab w:val="clear" w:pos="720"/>
        </w:tabs>
        <w:spacing w:line="260" w:lineRule="exact"/>
        <w:ind w:left="2160" w:hanging="2160"/>
      </w:pPr>
      <w:r>
        <w:t>LDPE</w:t>
      </w:r>
      <w:r w:rsidR="00A5644D">
        <w:tab/>
        <w:t>Low-density polyethylene</w:t>
      </w:r>
    </w:p>
    <w:p w14:paraId="52A11323" w14:textId="0DE5E97D" w:rsidR="00D617D1" w:rsidRDefault="00D617D1" w:rsidP="007A25EA">
      <w:pPr>
        <w:tabs>
          <w:tab w:val="clear" w:pos="720"/>
        </w:tabs>
        <w:spacing w:line="260" w:lineRule="exact"/>
        <w:ind w:left="2160" w:hanging="2160"/>
      </w:pPr>
      <w:r>
        <w:t>MCF</w:t>
      </w:r>
      <w:r>
        <w:tab/>
        <w:t xml:space="preserve">Methane </w:t>
      </w:r>
      <w:r w:rsidR="005E7CDF">
        <w:t xml:space="preserve">conversion </w:t>
      </w:r>
      <w:r>
        <w:t>factor</w:t>
      </w:r>
    </w:p>
    <w:p w14:paraId="483B2A70" w14:textId="1AE7B4E8" w:rsidR="00411841" w:rsidRDefault="00411841" w:rsidP="007A25EA">
      <w:pPr>
        <w:tabs>
          <w:tab w:val="clear" w:pos="720"/>
        </w:tabs>
        <w:spacing w:line="260" w:lineRule="exact"/>
        <w:ind w:left="2160" w:hanging="2160"/>
      </w:pPr>
      <w:r>
        <w:t>OPP</w:t>
      </w:r>
      <w:r w:rsidR="00212100">
        <w:tab/>
      </w:r>
      <w:r w:rsidR="00212100" w:rsidRPr="00212100">
        <w:t>Oriented polypropylene</w:t>
      </w:r>
    </w:p>
    <w:p w14:paraId="747D2905" w14:textId="5632C083" w:rsidR="00146FE7" w:rsidRDefault="00146FE7" w:rsidP="007A25EA">
      <w:pPr>
        <w:tabs>
          <w:tab w:val="clear" w:pos="720"/>
        </w:tabs>
        <w:spacing w:line="260" w:lineRule="exact"/>
        <w:ind w:left="2160" w:hanging="2160"/>
      </w:pPr>
      <w:r>
        <w:t>PC</w:t>
      </w:r>
      <w:r w:rsidR="00212100">
        <w:tab/>
      </w:r>
      <w:r w:rsidR="00212100" w:rsidRPr="00212100">
        <w:t>Polycarbonate</w:t>
      </w:r>
    </w:p>
    <w:p w14:paraId="618AC70B" w14:textId="6CFBD876" w:rsidR="00146FE7" w:rsidRDefault="00146FE7" w:rsidP="007A25EA">
      <w:pPr>
        <w:tabs>
          <w:tab w:val="clear" w:pos="720"/>
        </w:tabs>
        <w:spacing w:line="260" w:lineRule="exact"/>
        <w:ind w:left="2160" w:hanging="2160"/>
      </w:pPr>
      <w:r>
        <w:t>PET</w:t>
      </w:r>
      <w:r w:rsidR="00212100">
        <w:tab/>
      </w:r>
      <w:r w:rsidR="00212100" w:rsidRPr="00212100">
        <w:t>Polyethylene terephthalate</w:t>
      </w:r>
    </w:p>
    <w:p w14:paraId="1F81646A" w14:textId="0E87F6EA" w:rsidR="00436FFE" w:rsidRDefault="00436FFE" w:rsidP="007A25EA">
      <w:pPr>
        <w:tabs>
          <w:tab w:val="clear" w:pos="720"/>
        </w:tabs>
        <w:spacing w:line="260" w:lineRule="exact"/>
        <w:ind w:left="2160" w:hanging="2160"/>
      </w:pPr>
      <w:r>
        <w:t>PM</w:t>
      </w:r>
      <w:r>
        <w:tab/>
        <w:t>Particulate matter</w:t>
      </w:r>
    </w:p>
    <w:p w14:paraId="11181FDD" w14:textId="087D8A2C" w:rsidR="00146FE7" w:rsidRDefault="00146FE7" w:rsidP="007A25EA">
      <w:pPr>
        <w:tabs>
          <w:tab w:val="clear" w:pos="720"/>
        </w:tabs>
        <w:spacing w:line="260" w:lineRule="exact"/>
        <w:ind w:left="2160" w:hanging="2160"/>
      </w:pPr>
      <w:r>
        <w:t>PP</w:t>
      </w:r>
      <w:r w:rsidR="00212100">
        <w:tab/>
      </w:r>
      <w:r w:rsidR="00212100" w:rsidRPr="00212100">
        <w:t>Polypropylene</w:t>
      </w:r>
    </w:p>
    <w:p w14:paraId="532A7DCB" w14:textId="2A557BE4" w:rsidR="0082690C" w:rsidRDefault="0082690C" w:rsidP="007A25EA">
      <w:pPr>
        <w:tabs>
          <w:tab w:val="clear" w:pos="720"/>
        </w:tabs>
        <w:spacing w:line="260" w:lineRule="exact"/>
        <w:ind w:left="2160" w:hanging="2160"/>
      </w:pPr>
      <w:r>
        <w:t>QAPP</w:t>
      </w:r>
      <w:r>
        <w:tab/>
        <w:t>Quality assurance project plan</w:t>
      </w:r>
    </w:p>
    <w:p w14:paraId="7ADA4442" w14:textId="531F6EBB" w:rsidR="006C50D4" w:rsidRDefault="006C50D4" w:rsidP="007A25EA">
      <w:pPr>
        <w:tabs>
          <w:tab w:val="clear" w:pos="720"/>
        </w:tabs>
        <w:spacing w:line="260" w:lineRule="exact"/>
        <w:ind w:left="2160" w:hanging="2160"/>
      </w:pPr>
      <w:r>
        <w:t>RFCW</w:t>
      </w:r>
      <w:r w:rsidR="00212100">
        <w:tab/>
        <w:t>Reliability First Corporation West, eG</w:t>
      </w:r>
      <w:r w:rsidR="00D516B8">
        <w:t>RID</w:t>
      </w:r>
      <w:r w:rsidR="00212100">
        <w:t xml:space="preserve"> subregion</w:t>
      </w:r>
    </w:p>
    <w:p w14:paraId="411ECC6F" w14:textId="6845268E" w:rsidR="004E6040" w:rsidRDefault="004E6040" w:rsidP="007A25EA">
      <w:pPr>
        <w:tabs>
          <w:tab w:val="clear" w:pos="720"/>
        </w:tabs>
        <w:spacing w:line="260" w:lineRule="exact"/>
        <w:ind w:left="2160" w:hanging="2160"/>
      </w:pPr>
      <w:r>
        <w:t>RO</w:t>
      </w:r>
      <w:r>
        <w:tab/>
        <w:t>Reverse osmosis</w:t>
      </w:r>
    </w:p>
    <w:p w14:paraId="3FE504A1" w14:textId="0AC865B1" w:rsidR="00982EA4" w:rsidRDefault="00982EA4" w:rsidP="007A25EA">
      <w:pPr>
        <w:tabs>
          <w:tab w:val="clear" w:pos="720"/>
        </w:tabs>
        <w:spacing w:line="260" w:lineRule="exact"/>
        <w:ind w:left="2160" w:hanging="2160"/>
      </w:pPr>
      <w:r>
        <w:t>SW</w:t>
      </w:r>
      <w:r>
        <w:tab/>
        <w:t>Solid waste</w:t>
      </w:r>
    </w:p>
    <w:p w14:paraId="215C7294" w14:textId="7E37B458" w:rsidR="004E6040" w:rsidRDefault="004E6040" w:rsidP="007A25EA">
      <w:pPr>
        <w:tabs>
          <w:tab w:val="clear" w:pos="720"/>
        </w:tabs>
        <w:spacing w:line="260" w:lineRule="exact"/>
        <w:ind w:left="2160" w:hanging="2160"/>
        <w:rPr>
          <w:szCs w:val="24"/>
        </w:rPr>
      </w:pPr>
      <w:r>
        <w:t>TRACI</w:t>
      </w:r>
      <w:r>
        <w:tab/>
        <w:t xml:space="preserve">Tool for </w:t>
      </w:r>
      <w:r>
        <w:rPr>
          <w:szCs w:val="24"/>
        </w:rPr>
        <w:t xml:space="preserve">the Reduction and Assessment of Chemical and </w:t>
      </w:r>
      <w:r w:rsidR="00247454">
        <w:rPr>
          <w:szCs w:val="24"/>
        </w:rPr>
        <w:t>o</w:t>
      </w:r>
      <w:r w:rsidR="00D516B8">
        <w:rPr>
          <w:szCs w:val="24"/>
        </w:rPr>
        <w:t xml:space="preserve">ther </w:t>
      </w:r>
      <w:r w:rsidR="00247454">
        <w:rPr>
          <w:szCs w:val="24"/>
        </w:rPr>
        <w:t>e</w:t>
      </w:r>
      <w:r>
        <w:rPr>
          <w:szCs w:val="24"/>
        </w:rPr>
        <w:t>nvironmental Impacts</w:t>
      </w:r>
    </w:p>
    <w:p w14:paraId="27FDAC1F" w14:textId="6871FABB" w:rsidR="004E6040" w:rsidRDefault="004E6040" w:rsidP="007A25EA">
      <w:pPr>
        <w:tabs>
          <w:tab w:val="clear" w:pos="720"/>
        </w:tabs>
        <w:spacing w:line="260" w:lineRule="exact"/>
        <w:ind w:left="2160" w:hanging="2160"/>
      </w:pPr>
      <w:r>
        <w:t>US LCI</w:t>
      </w:r>
      <w:r>
        <w:tab/>
        <w:t>United States Life Cycle Inventory Database</w:t>
      </w:r>
    </w:p>
    <w:p w14:paraId="77ACCDDE" w14:textId="04CD5D33" w:rsidR="00796831" w:rsidRDefault="00796831" w:rsidP="007A25EA">
      <w:pPr>
        <w:tabs>
          <w:tab w:val="clear" w:pos="720"/>
        </w:tabs>
        <w:spacing w:line="260" w:lineRule="exact"/>
        <w:ind w:left="2160" w:hanging="2160"/>
      </w:pPr>
      <w:r>
        <w:t>UV</w:t>
      </w:r>
      <w:r w:rsidR="00C53B92">
        <w:tab/>
        <w:t>Ultraviolet</w:t>
      </w:r>
    </w:p>
    <w:p w14:paraId="3F2BD92A" w14:textId="77777777" w:rsidR="0084202C" w:rsidRDefault="0084202C" w:rsidP="00011941">
      <w:pPr>
        <w:tabs>
          <w:tab w:val="clear" w:pos="720"/>
        </w:tabs>
        <w:ind w:left="2160" w:hanging="2160"/>
      </w:pPr>
    </w:p>
    <w:p w14:paraId="490639CA" w14:textId="77777777" w:rsidR="009D4613" w:rsidRDefault="009D4613" w:rsidP="00011941">
      <w:pPr>
        <w:tabs>
          <w:tab w:val="clear" w:pos="720"/>
        </w:tabs>
        <w:ind w:left="2160" w:hanging="2160"/>
        <w:sectPr w:rsidR="009D4613" w:rsidSect="007A25EA">
          <w:headerReference w:type="default" r:id="rId14"/>
          <w:pgSz w:w="12240" w:h="15840" w:code="1"/>
          <w:pgMar w:top="1440" w:right="1440" w:bottom="1440" w:left="1440" w:header="720" w:footer="720" w:gutter="0"/>
          <w:pgNumType w:fmt="lowerRoman"/>
          <w:cols w:space="720"/>
          <w:docGrid w:linePitch="326"/>
        </w:sectPr>
      </w:pPr>
    </w:p>
    <w:p w14:paraId="1ACB9275" w14:textId="77777777" w:rsidR="00893683" w:rsidRPr="00893683" w:rsidRDefault="00893683" w:rsidP="00893683">
      <w:pPr>
        <w:tabs>
          <w:tab w:val="clear" w:pos="720"/>
        </w:tabs>
        <w:spacing w:after="240"/>
        <w:jc w:val="center"/>
        <w:rPr>
          <w:rFonts w:ascii="Times New Roman Bold" w:hAnsi="Times New Roman Bold"/>
          <w:b/>
          <w:caps/>
        </w:rPr>
      </w:pPr>
      <w:r w:rsidRPr="00893683">
        <w:rPr>
          <w:rFonts w:ascii="Times New Roman Bold" w:hAnsi="Times New Roman Bold"/>
          <w:b/>
          <w:caps/>
        </w:rPr>
        <w:lastRenderedPageBreak/>
        <w:t>Table of Contents</w:t>
      </w:r>
    </w:p>
    <w:p w14:paraId="0EBE40E3" w14:textId="77777777" w:rsidR="00893683" w:rsidRPr="00893683" w:rsidRDefault="00893683" w:rsidP="00893683">
      <w:pPr>
        <w:spacing w:after="240"/>
        <w:jc w:val="right"/>
        <w:rPr>
          <w:b/>
        </w:rPr>
      </w:pPr>
      <w:r w:rsidRPr="00893683">
        <w:rPr>
          <w:b/>
        </w:rPr>
        <w:t>Page</w:t>
      </w:r>
    </w:p>
    <w:p w14:paraId="42D5B5D4" w14:textId="00C3A498" w:rsidR="00FE4F92" w:rsidRDefault="00893683">
      <w:pPr>
        <w:pStyle w:val="TOC1"/>
        <w:rPr>
          <w:rFonts w:asciiTheme="minorHAnsi" w:eastAsiaTheme="minorEastAsia" w:hAnsiTheme="minorHAnsi" w:cstheme="minorBidi"/>
          <w:b w:val="0"/>
          <w:smallCaps w:val="0"/>
          <w:sz w:val="22"/>
          <w:szCs w:val="22"/>
        </w:rPr>
      </w:pPr>
      <w:r w:rsidRPr="00893683">
        <w:fldChar w:fldCharType="begin"/>
      </w:r>
      <w:r w:rsidRPr="00893683">
        <w:instrText xml:space="preserve"> TOC \o "3-3" \h \z \u \t "Heading 1,1,Heading 2,2" </w:instrText>
      </w:r>
      <w:r w:rsidRPr="00893683">
        <w:fldChar w:fldCharType="separate"/>
      </w:r>
      <w:hyperlink w:anchor="_Toc533009150" w:history="1">
        <w:r w:rsidR="00FE4F92" w:rsidRPr="00F60F63">
          <w:rPr>
            <w:rStyle w:val="Hyperlink"/>
          </w:rPr>
          <w:t>1.</w:t>
        </w:r>
        <w:r w:rsidR="00FE4F92">
          <w:rPr>
            <w:rFonts w:asciiTheme="minorHAnsi" w:eastAsiaTheme="minorEastAsia" w:hAnsiTheme="minorHAnsi" w:cstheme="minorBidi"/>
            <w:b w:val="0"/>
            <w:smallCaps w:val="0"/>
            <w:sz w:val="22"/>
            <w:szCs w:val="22"/>
          </w:rPr>
          <w:tab/>
        </w:r>
        <w:r w:rsidR="00FE4F92" w:rsidRPr="00F60F63">
          <w:rPr>
            <w:rStyle w:val="Hyperlink"/>
          </w:rPr>
          <w:t>Goal and Scope Definition</w:t>
        </w:r>
        <w:r w:rsidR="00FE4F92">
          <w:rPr>
            <w:webHidden/>
          </w:rPr>
          <w:tab/>
        </w:r>
        <w:r w:rsidR="00FE4F92">
          <w:rPr>
            <w:webHidden/>
          </w:rPr>
          <w:fldChar w:fldCharType="begin"/>
        </w:r>
        <w:r w:rsidR="00FE4F92">
          <w:rPr>
            <w:webHidden/>
          </w:rPr>
          <w:instrText xml:space="preserve"> PAGEREF _Toc533009150 \h </w:instrText>
        </w:r>
        <w:r w:rsidR="00FE4F92">
          <w:rPr>
            <w:webHidden/>
          </w:rPr>
        </w:r>
        <w:r w:rsidR="00FE4F92">
          <w:rPr>
            <w:webHidden/>
          </w:rPr>
          <w:fldChar w:fldCharType="separate"/>
        </w:r>
        <w:r w:rsidR="00FE4F92">
          <w:rPr>
            <w:webHidden/>
          </w:rPr>
          <w:t>1-1</w:t>
        </w:r>
        <w:r w:rsidR="00FE4F92">
          <w:rPr>
            <w:webHidden/>
          </w:rPr>
          <w:fldChar w:fldCharType="end"/>
        </w:r>
      </w:hyperlink>
    </w:p>
    <w:p w14:paraId="1BAD66FA" w14:textId="77C6B78F" w:rsidR="00FE4F92" w:rsidRDefault="00FD7FEE">
      <w:pPr>
        <w:pStyle w:val="TOC2"/>
        <w:rPr>
          <w:rFonts w:asciiTheme="minorHAnsi" w:eastAsiaTheme="minorEastAsia" w:hAnsiTheme="minorHAnsi" w:cstheme="minorBidi"/>
          <w:noProof/>
          <w:sz w:val="22"/>
          <w:szCs w:val="22"/>
        </w:rPr>
      </w:pPr>
      <w:hyperlink w:anchor="_Toc533009151" w:history="1">
        <w:r w:rsidR="00FE4F92" w:rsidRPr="00F60F63">
          <w:rPr>
            <w:rStyle w:val="Hyperlink"/>
            <w:noProof/>
          </w:rPr>
          <w:t>1.1</w:t>
        </w:r>
        <w:r w:rsidR="00FE4F92">
          <w:rPr>
            <w:rFonts w:asciiTheme="minorHAnsi" w:eastAsiaTheme="minorEastAsia" w:hAnsiTheme="minorHAnsi" w:cstheme="minorBidi"/>
            <w:noProof/>
            <w:sz w:val="22"/>
            <w:szCs w:val="22"/>
          </w:rPr>
          <w:tab/>
        </w:r>
        <w:r w:rsidR="00FE4F92" w:rsidRPr="00F60F63">
          <w:rPr>
            <w:rStyle w:val="Hyperlink"/>
            <w:noProof/>
          </w:rPr>
          <w:t>Introduction and Objective</w:t>
        </w:r>
        <w:r w:rsidR="00FE4F92">
          <w:rPr>
            <w:noProof/>
            <w:webHidden/>
          </w:rPr>
          <w:tab/>
        </w:r>
        <w:r w:rsidR="00FE4F92">
          <w:rPr>
            <w:noProof/>
            <w:webHidden/>
          </w:rPr>
          <w:fldChar w:fldCharType="begin"/>
        </w:r>
        <w:r w:rsidR="00FE4F92">
          <w:rPr>
            <w:noProof/>
            <w:webHidden/>
          </w:rPr>
          <w:instrText xml:space="preserve"> PAGEREF _Toc533009151 \h </w:instrText>
        </w:r>
        <w:r w:rsidR="00FE4F92">
          <w:rPr>
            <w:noProof/>
            <w:webHidden/>
          </w:rPr>
        </w:r>
        <w:r w:rsidR="00FE4F92">
          <w:rPr>
            <w:noProof/>
            <w:webHidden/>
          </w:rPr>
          <w:fldChar w:fldCharType="separate"/>
        </w:r>
        <w:r w:rsidR="00FE4F92">
          <w:rPr>
            <w:noProof/>
            <w:webHidden/>
          </w:rPr>
          <w:t>1-1</w:t>
        </w:r>
        <w:r w:rsidR="00FE4F92">
          <w:rPr>
            <w:noProof/>
            <w:webHidden/>
          </w:rPr>
          <w:fldChar w:fldCharType="end"/>
        </w:r>
      </w:hyperlink>
    </w:p>
    <w:p w14:paraId="665439F1" w14:textId="38792BAC" w:rsidR="00FE4F92" w:rsidRDefault="00FD7FEE">
      <w:pPr>
        <w:pStyle w:val="TOC2"/>
        <w:rPr>
          <w:rFonts w:asciiTheme="minorHAnsi" w:eastAsiaTheme="minorEastAsia" w:hAnsiTheme="minorHAnsi" w:cstheme="minorBidi"/>
          <w:noProof/>
          <w:sz w:val="22"/>
          <w:szCs w:val="22"/>
        </w:rPr>
      </w:pPr>
      <w:hyperlink w:anchor="_Toc533009152" w:history="1">
        <w:r w:rsidR="00FE4F92" w:rsidRPr="00F60F63">
          <w:rPr>
            <w:rStyle w:val="Hyperlink"/>
            <w:noProof/>
          </w:rPr>
          <w:t>1.2</w:t>
        </w:r>
        <w:r w:rsidR="00FE4F92">
          <w:rPr>
            <w:rFonts w:asciiTheme="minorHAnsi" w:eastAsiaTheme="minorEastAsia" w:hAnsiTheme="minorHAnsi" w:cstheme="minorBidi"/>
            <w:noProof/>
            <w:sz w:val="22"/>
            <w:szCs w:val="22"/>
          </w:rPr>
          <w:tab/>
        </w:r>
        <w:r w:rsidR="00FE4F92" w:rsidRPr="00F60F63">
          <w:rPr>
            <w:rStyle w:val="Hyperlink"/>
            <w:noProof/>
          </w:rPr>
          <w:t>Scope</w:t>
        </w:r>
        <w:r w:rsidR="00FE4F92">
          <w:rPr>
            <w:noProof/>
            <w:webHidden/>
          </w:rPr>
          <w:tab/>
        </w:r>
        <w:r w:rsidR="00FE4F92">
          <w:rPr>
            <w:noProof/>
            <w:webHidden/>
          </w:rPr>
          <w:fldChar w:fldCharType="begin"/>
        </w:r>
        <w:r w:rsidR="00FE4F92">
          <w:rPr>
            <w:noProof/>
            <w:webHidden/>
          </w:rPr>
          <w:instrText xml:space="preserve"> PAGEREF _Toc533009152 \h </w:instrText>
        </w:r>
        <w:r w:rsidR="00FE4F92">
          <w:rPr>
            <w:noProof/>
            <w:webHidden/>
          </w:rPr>
        </w:r>
        <w:r w:rsidR="00FE4F92">
          <w:rPr>
            <w:noProof/>
            <w:webHidden/>
          </w:rPr>
          <w:fldChar w:fldCharType="separate"/>
        </w:r>
        <w:r w:rsidR="00FE4F92">
          <w:rPr>
            <w:noProof/>
            <w:webHidden/>
          </w:rPr>
          <w:t>1-2</w:t>
        </w:r>
        <w:r w:rsidR="00FE4F92">
          <w:rPr>
            <w:noProof/>
            <w:webHidden/>
          </w:rPr>
          <w:fldChar w:fldCharType="end"/>
        </w:r>
      </w:hyperlink>
    </w:p>
    <w:p w14:paraId="483FCA70" w14:textId="498CFC47" w:rsidR="00FE4F92" w:rsidRDefault="00FD7FEE">
      <w:pPr>
        <w:pStyle w:val="TOC3"/>
        <w:rPr>
          <w:rFonts w:asciiTheme="minorHAnsi" w:eastAsiaTheme="minorEastAsia" w:hAnsiTheme="minorHAnsi" w:cstheme="minorBidi"/>
          <w:sz w:val="22"/>
          <w:szCs w:val="22"/>
        </w:rPr>
      </w:pPr>
      <w:hyperlink w:anchor="_Toc533009153" w:history="1">
        <w:r w:rsidR="00FE4F92" w:rsidRPr="00F60F63">
          <w:rPr>
            <w:rStyle w:val="Hyperlink"/>
          </w:rPr>
          <w:t>1.2.1</w:t>
        </w:r>
        <w:r w:rsidR="00FE4F92">
          <w:rPr>
            <w:rFonts w:asciiTheme="minorHAnsi" w:eastAsiaTheme="minorEastAsia" w:hAnsiTheme="minorHAnsi" w:cstheme="minorBidi"/>
            <w:sz w:val="22"/>
            <w:szCs w:val="22"/>
          </w:rPr>
          <w:tab/>
        </w:r>
        <w:r w:rsidR="00FE4F92" w:rsidRPr="00F60F63">
          <w:rPr>
            <w:rStyle w:val="Hyperlink"/>
          </w:rPr>
          <w:t>Functional Unit</w:t>
        </w:r>
        <w:r w:rsidR="00FE4F92">
          <w:rPr>
            <w:webHidden/>
          </w:rPr>
          <w:tab/>
        </w:r>
        <w:r w:rsidR="00FE4F92">
          <w:rPr>
            <w:webHidden/>
          </w:rPr>
          <w:fldChar w:fldCharType="begin"/>
        </w:r>
        <w:r w:rsidR="00FE4F92">
          <w:rPr>
            <w:webHidden/>
          </w:rPr>
          <w:instrText xml:space="preserve"> PAGEREF _Toc533009153 \h </w:instrText>
        </w:r>
        <w:r w:rsidR="00FE4F92">
          <w:rPr>
            <w:webHidden/>
          </w:rPr>
        </w:r>
        <w:r w:rsidR="00FE4F92">
          <w:rPr>
            <w:webHidden/>
          </w:rPr>
          <w:fldChar w:fldCharType="separate"/>
        </w:r>
        <w:r w:rsidR="00FE4F92">
          <w:rPr>
            <w:webHidden/>
          </w:rPr>
          <w:t>1-2</w:t>
        </w:r>
        <w:r w:rsidR="00FE4F92">
          <w:rPr>
            <w:webHidden/>
          </w:rPr>
          <w:fldChar w:fldCharType="end"/>
        </w:r>
      </w:hyperlink>
    </w:p>
    <w:p w14:paraId="5245F624" w14:textId="24BBE78D" w:rsidR="00FE4F92" w:rsidRDefault="00FD7FEE">
      <w:pPr>
        <w:pStyle w:val="TOC3"/>
        <w:rPr>
          <w:rFonts w:asciiTheme="minorHAnsi" w:eastAsiaTheme="minorEastAsia" w:hAnsiTheme="minorHAnsi" w:cstheme="minorBidi"/>
          <w:sz w:val="22"/>
          <w:szCs w:val="22"/>
        </w:rPr>
      </w:pPr>
      <w:hyperlink w:anchor="_Toc533009154" w:history="1">
        <w:r w:rsidR="00FE4F92" w:rsidRPr="00F60F63">
          <w:rPr>
            <w:rStyle w:val="Hyperlink"/>
          </w:rPr>
          <w:t>1.2.2</w:t>
        </w:r>
        <w:r w:rsidR="00FE4F92">
          <w:rPr>
            <w:rFonts w:asciiTheme="minorHAnsi" w:eastAsiaTheme="minorEastAsia" w:hAnsiTheme="minorHAnsi" w:cstheme="minorBidi"/>
            <w:sz w:val="22"/>
            <w:szCs w:val="22"/>
          </w:rPr>
          <w:tab/>
        </w:r>
        <w:r w:rsidR="00FE4F92" w:rsidRPr="00F60F63">
          <w:rPr>
            <w:rStyle w:val="Hyperlink"/>
          </w:rPr>
          <w:t>System Descriptions of Atmospheric Water Generators</w:t>
        </w:r>
        <w:r w:rsidR="00FE4F92">
          <w:rPr>
            <w:webHidden/>
          </w:rPr>
          <w:tab/>
        </w:r>
        <w:r w:rsidR="00FE4F92">
          <w:rPr>
            <w:webHidden/>
          </w:rPr>
          <w:fldChar w:fldCharType="begin"/>
        </w:r>
        <w:r w:rsidR="00FE4F92">
          <w:rPr>
            <w:webHidden/>
          </w:rPr>
          <w:instrText xml:space="preserve"> PAGEREF _Toc533009154 \h </w:instrText>
        </w:r>
        <w:r w:rsidR="00FE4F92">
          <w:rPr>
            <w:webHidden/>
          </w:rPr>
        </w:r>
        <w:r w:rsidR="00FE4F92">
          <w:rPr>
            <w:webHidden/>
          </w:rPr>
          <w:fldChar w:fldCharType="separate"/>
        </w:r>
        <w:r w:rsidR="00FE4F92">
          <w:rPr>
            <w:webHidden/>
          </w:rPr>
          <w:t>1-3</w:t>
        </w:r>
        <w:r w:rsidR="00FE4F92">
          <w:rPr>
            <w:webHidden/>
          </w:rPr>
          <w:fldChar w:fldCharType="end"/>
        </w:r>
      </w:hyperlink>
    </w:p>
    <w:p w14:paraId="6100998B" w14:textId="1D70A03D" w:rsidR="00FE4F92" w:rsidRDefault="00FD7FEE">
      <w:pPr>
        <w:pStyle w:val="TOC3"/>
        <w:rPr>
          <w:rFonts w:asciiTheme="minorHAnsi" w:eastAsiaTheme="minorEastAsia" w:hAnsiTheme="minorHAnsi" w:cstheme="minorBidi"/>
          <w:sz w:val="22"/>
          <w:szCs w:val="22"/>
        </w:rPr>
      </w:pPr>
      <w:hyperlink w:anchor="_Toc533009155" w:history="1">
        <w:r w:rsidR="00FE4F92" w:rsidRPr="00F60F63">
          <w:rPr>
            <w:rStyle w:val="Hyperlink"/>
          </w:rPr>
          <w:t>1.2.3</w:t>
        </w:r>
        <w:r w:rsidR="00FE4F92">
          <w:rPr>
            <w:rFonts w:asciiTheme="minorHAnsi" w:eastAsiaTheme="minorEastAsia" w:hAnsiTheme="minorHAnsi" w:cstheme="minorBidi"/>
            <w:sz w:val="22"/>
            <w:szCs w:val="22"/>
          </w:rPr>
          <w:tab/>
        </w:r>
        <w:r w:rsidR="00FE4F92" w:rsidRPr="00F60F63">
          <w:rPr>
            <w:rStyle w:val="Hyperlink"/>
          </w:rPr>
          <w:t>System Descriptions of Bottled Water Production</w:t>
        </w:r>
        <w:r w:rsidR="00FE4F92">
          <w:rPr>
            <w:webHidden/>
          </w:rPr>
          <w:tab/>
        </w:r>
        <w:r w:rsidR="00FE4F92">
          <w:rPr>
            <w:webHidden/>
          </w:rPr>
          <w:fldChar w:fldCharType="begin"/>
        </w:r>
        <w:r w:rsidR="00FE4F92">
          <w:rPr>
            <w:webHidden/>
          </w:rPr>
          <w:instrText xml:space="preserve"> PAGEREF _Toc533009155 \h </w:instrText>
        </w:r>
        <w:r w:rsidR="00FE4F92">
          <w:rPr>
            <w:webHidden/>
          </w:rPr>
        </w:r>
        <w:r w:rsidR="00FE4F92">
          <w:rPr>
            <w:webHidden/>
          </w:rPr>
          <w:fldChar w:fldCharType="separate"/>
        </w:r>
        <w:r w:rsidR="00FE4F92">
          <w:rPr>
            <w:webHidden/>
          </w:rPr>
          <w:t>1-6</w:t>
        </w:r>
        <w:r w:rsidR="00FE4F92">
          <w:rPr>
            <w:webHidden/>
          </w:rPr>
          <w:fldChar w:fldCharType="end"/>
        </w:r>
      </w:hyperlink>
    </w:p>
    <w:p w14:paraId="6F0F5ADC" w14:textId="3E018ABA" w:rsidR="00FE4F92" w:rsidRDefault="00FD7FEE">
      <w:pPr>
        <w:pStyle w:val="TOC3"/>
        <w:rPr>
          <w:rFonts w:asciiTheme="minorHAnsi" w:eastAsiaTheme="minorEastAsia" w:hAnsiTheme="minorHAnsi" w:cstheme="minorBidi"/>
          <w:sz w:val="22"/>
          <w:szCs w:val="22"/>
        </w:rPr>
      </w:pPr>
      <w:hyperlink w:anchor="_Toc533009156" w:history="1">
        <w:r w:rsidR="00FE4F92" w:rsidRPr="00F60F63">
          <w:rPr>
            <w:rStyle w:val="Hyperlink"/>
          </w:rPr>
          <w:t>1.2.4</w:t>
        </w:r>
        <w:r w:rsidR="00FE4F92">
          <w:rPr>
            <w:rFonts w:asciiTheme="minorHAnsi" w:eastAsiaTheme="minorEastAsia" w:hAnsiTheme="minorHAnsi" w:cstheme="minorBidi"/>
            <w:sz w:val="22"/>
            <w:szCs w:val="22"/>
          </w:rPr>
          <w:tab/>
        </w:r>
        <w:r w:rsidR="00FE4F92" w:rsidRPr="00F60F63">
          <w:rPr>
            <w:rStyle w:val="Hyperlink"/>
          </w:rPr>
          <w:t>Metrics and Life Cycle Impact Assessment</w:t>
        </w:r>
        <w:r w:rsidR="00FE4F92">
          <w:rPr>
            <w:webHidden/>
          </w:rPr>
          <w:tab/>
        </w:r>
        <w:r w:rsidR="00FE4F92">
          <w:rPr>
            <w:webHidden/>
          </w:rPr>
          <w:fldChar w:fldCharType="begin"/>
        </w:r>
        <w:r w:rsidR="00FE4F92">
          <w:rPr>
            <w:webHidden/>
          </w:rPr>
          <w:instrText xml:space="preserve"> PAGEREF _Toc533009156 \h </w:instrText>
        </w:r>
        <w:r w:rsidR="00FE4F92">
          <w:rPr>
            <w:webHidden/>
          </w:rPr>
        </w:r>
        <w:r w:rsidR="00FE4F92">
          <w:rPr>
            <w:webHidden/>
          </w:rPr>
          <w:fldChar w:fldCharType="separate"/>
        </w:r>
        <w:r w:rsidR="00FE4F92">
          <w:rPr>
            <w:webHidden/>
          </w:rPr>
          <w:t>1-10</w:t>
        </w:r>
        <w:r w:rsidR="00FE4F92">
          <w:rPr>
            <w:webHidden/>
          </w:rPr>
          <w:fldChar w:fldCharType="end"/>
        </w:r>
      </w:hyperlink>
    </w:p>
    <w:p w14:paraId="3B1DA34E" w14:textId="4D542CA0" w:rsidR="00FE4F92" w:rsidRDefault="00FD7FEE">
      <w:pPr>
        <w:pStyle w:val="TOC1"/>
        <w:rPr>
          <w:rFonts w:asciiTheme="minorHAnsi" w:eastAsiaTheme="minorEastAsia" w:hAnsiTheme="minorHAnsi" w:cstheme="minorBidi"/>
          <w:b w:val="0"/>
          <w:smallCaps w:val="0"/>
          <w:sz w:val="22"/>
          <w:szCs w:val="22"/>
        </w:rPr>
      </w:pPr>
      <w:hyperlink w:anchor="_Toc533009157" w:history="1">
        <w:r w:rsidR="00FE4F92" w:rsidRPr="00F60F63">
          <w:rPr>
            <w:rStyle w:val="Hyperlink"/>
          </w:rPr>
          <w:t>2.</w:t>
        </w:r>
        <w:r w:rsidR="00FE4F92">
          <w:rPr>
            <w:rFonts w:asciiTheme="minorHAnsi" w:eastAsiaTheme="minorEastAsia" w:hAnsiTheme="minorHAnsi" w:cstheme="minorBidi"/>
            <w:b w:val="0"/>
            <w:smallCaps w:val="0"/>
            <w:sz w:val="22"/>
            <w:szCs w:val="22"/>
          </w:rPr>
          <w:tab/>
        </w:r>
        <w:r w:rsidR="00FE4F92" w:rsidRPr="00F60F63">
          <w:rPr>
            <w:rStyle w:val="Hyperlink"/>
          </w:rPr>
          <w:t>Methods</w:t>
        </w:r>
        <w:r w:rsidR="00FE4F92">
          <w:rPr>
            <w:webHidden/>
          </w:rPr>
          <w:tab/>
        </w:r>
        <w:r w:rsidR="00FE4F92">
          <w:rPr>
            <w:webHidden/>
          </w:rPr>
          <w:fldChar w:fldCharType="begin"/>
        </w:r>
        <w:r w:rsidR="00FE4F92">
          <w:rPr>
            <w:webHidden/>
          </w:rPr>
          <w:instrText xml:space="preserve"> PAGEREF _Toc533009157 \h </w:instrText>
        </w:r>
        <w:r w:rsidR="00FE4F92">
          <w:rPr>
            <w:webHidden/>
          </w:rPr>
        </w:r>
        <w:r w:rsidR="00FE4F92">
          <w:rPr>
            <w:webHidden/>
          </w:rPr>
          <w:fldChar w:fldCharType="separate"/>
        </w:r>
        <w:r w:rsidR="00FE4F92">
          <w:rPr>
            <w:webHidden/>
          </w:rPr>
          <w:t>2-1</w:t>
        </w:r>
        <w:r w:rsidR="00FE4F92">
          <w:rPr>
            <w:webHidden/>
          </w:rPr>
          <w:fldChar w:fldCharType="end"/>
        </w:r>
      </w:hyperlink>
    </w:p>
    <w:p w14:paraId="7B0ECB10" w14:textId="6834A8B6" w:rsidR="00FE4F92" w:rsidRDefault="00FD7FEE">
      <w:pPr>
        <w:pStyle w:val="TOC2"/>
        <w:rPr>
          <w:rFonts w:asciiTheme="minorHAnsi" w:eastAsiaTheme="minorEastAsia" w:hAnsiTheme="minorHAnsi" w:cstheme="minorBidi"/>
          <w:noProof/>
          <w:sz w:val="22"/>
          <w:szCs w:val="22"/>
        </w:rPr>
      </w:pPr>
      <w:hyperlink w:anchor="_Toc533009158" w:history="1">
        <w:r w:rsidR="00FE4F92" w:rsidRPr="00F60F63">
          <w:rPr>
            <w:rStyle w:val="Hyperlink"/>
            <w:noProof/>
          </w:rPr>
          <w:t>2.1</w:t>
        </w:r>
        <w:r w:rsidR="00FE4F92">
          <w:rPr>
            <w:rFonts w:asciiTheme="minorHAnsi" w:eastAsiaTheme="minorEastAsia" w:hAnsiTheme="minorHAnsi" w:cstheme="minorBidi"/>
            <w:noProof/>
            <w:sz w:val="22"/>
            <w:szCs w:val="22"/>
          </w:rPr>
          <w:tab/>
        </w:r>
        <w:r w:rsidR="00FE4F92" w:rsidRPr="00F60F63">
          <w:rPr>
            <w:rStyle w:val="Hyperlink"/>
            <w:noProof/>
          </w:rPr>
          <w:t>AWG Life Cycle Inventory Data Sources</w:t>
        </w:r>
        <w:r w:rsidR="00FE4F92">
          <w:rPr>
            <w:noProof/>
            <w:webHidden/>
          </w:rPr>
          <w:tab/>
        </w:r>
        <w:r w:rsidR="00FE4F92">
          <w:rPr>
            <w:noProof/>
            <w:webHidden/>
          </w:rPr>
          <w:fldChar w:fldCharType="begin"/>
        </w:r>
        <w:r w:rsidR="00FE4F92">
          <w:rPr>
            <w:noProof/>
            <w:webHidden/>
          </w:rPr>
          <w:instrText xml:space="preserve"> PAGEREF _Toc533009158 \h </w:instrText>
        </w:r>
        <w:r w:rsidR="00FE4F92">
          <w:rPr>
            <w:noProof/>
            <w:webHidden/>
          </w:rPr>
        </w:r>
        <w:r w:rsidR="00FE4F92">
          <w:rPr>
            <w:noProof/>
            <w:webHidden/>
          </w:rPr>
          <w:fldChar w:fldCharType="separate"/>
        </w:r>
        <w:r w:rsidR="00FE4F92">
          <w:rPr>
            <w:noProof/>
            <w:webHidden/>
          </w:rPr>
          <w:t>2-1</w:t>
        </w:r>
        <w:r w:rsidR="00FE4F92">
          <w:rPr>
            <w:noProof/>
            <w:webHidden/>
          </w:rPr>
          <w:fldChar w:fldCharType="end"/>
        </w:r>
      </w:hyperlink>
    </w:p>
    <w:p w14:paraId="01911BF4" w14:textId="548DCF88" w:rsidR="00FE4F92" w:rsidRDefault="00FD7FEE">
      <w:pPr>
        <w:pStyle w:val="TOC3"/>
        <w:rPr>
          <w:rFonts w:asciiTheme="minorHAnsi" w:eastAsiaTheme="minorEastAsia" w:hAnsiTheme="minorHAnsi" w:cstheme="minorBidi"/>
          <w:sz w:val="22"/>
          <w:szCs w:val="22"/>
        </w:rPr>
      </w:pPr>
      <w:hyperlink w:anchor="_Toc533009159" w:history="1">
        <w:r w:rsidR="00FE4F92" w:rsidRPr="00F60F63">
          <w:rPr>
            <w:rStyle w:val="Hyperlink"/>
          </w:rPr>
          <w:t>2.1.1</w:t>
        </w:r>
        <w:r w:rsidR="00FE4F92">
          <w:rPr>
            <w:rFonts w:asciiTheme="minorHAnsi" w:eastAsiaTheme="minorEastAsia" w:hAnsiTheme="minorHAnsi" w:cstheme="minorBidi"/>
            <w:sz w:val="22"/>
            <w:szCs w:val="22"/>
          </w:rPr>
          <w:tab/>
        </w:r>
        <w:r w:rsidR="00FE4F92" w:rsidRPr="00F60F63">
          <w:rPr>
            <w:rStyle w:val="Hyperlink"/>
          </w:rPr>
          <w:t>Capital Equipment</w:t>
        </w:r>
        <w:r w:rsidR="00FE4F92">
          <w:rPr>
            <w:webHidden/>
          </w:rPr>
          <w:tab/>
        </w:r>
        <w:r w:rsidR="00FE4F92">
          <w:rPr>
            <w:webHidden/>
          </w:rPr>
          <w:fldChar w:fldCharType="begin"/>
        </w:r>
        <w:r w:rsidR="00FE4F92">
          <w:rPr>
            <w:webHidden/>
          </w:rPr>
          <w:instrText xml:space="preserve"> PAGEREF _Toc533009159 \h </w:instrText>
        </w:r>
        <w:r w:rsidR="00FE4F92">
          <w:rPr>
            <w:webHidden/>
          </w:rPr>
        </w:r>
        <w:r w:rsidR="00FE4F92">
          <w:rPr>
            <w:webHidden/>
          </w:rPr>
          <w:fldChar w:fldCharType="separate"/>
        </w:r>
        <w:r w:rsidR="00FE4F92">
          <w:rPr>
            <w:webHidden/>
          </w:rPr>
          <w:t>2-1</w:t>
        </w:r>
        <w:r w:rsidR="00FE4F92">
          <w:rPr>
            <w:webHidden/>
          </w:rPr>
          <w:fldChar w:fldCharType="end"/>
        </w:r>
      </w:hyperlink>
    </w:p>
    <w:p w14:paraId="36EA0BED" w14:textId="7C8122C6" w:rsidR="00FE4F92" w:rsidRDefault="00FD7FEE">
      <w:pPr>
        <w:pStyle w:val="TOC3"/>
        <w:rPr>
          <w:rFonts w:asciiTheme="minorHAnsi" w:eastAsiaTheme="minorEastAsia" w:hAnsiTheme="minorHAnsi" w:cstheme="minorBidi"/>
          <w:sz w:val="22"/>
          <w:szCs w:val="22"/>
        </w:rPr>
      </w:pPr>
      <w:hyperlink w:anchor="_Toc533009160" w:history="1">
        <w:r w:rsidR="00FE4F92" w:rsidRPr="00F60F63">
          <w:rPr>
            <w:rStyle w:val="Hyperlink"/>
          </w:rPr>
          <w:t>2.1.2</w:t>
        </w:r>
        <w:r w:rsidR="00FE4F92">
          <w:rPr>
            <w:rFonts w:asciiTheme="minorHAnsi" w:eastAsiaTheme="minorEastAsia" w:hAnsiTheme="minorHAnsi" w:cstheme="minorBidi"/>
            <w:sz w:val="22"/>
            <w:szCs w:val="22"/>
          </w:rPr>
          <w:tab/>
        </w:r>
        <w:r w:rsidR="00FE4F92" w:rsidRPr="00F60F63">
          <w:rPr>
            <w:rStyle w:val="Hyperlink"/>
          </w:rPr>
          <w:t>Transportation to Point of Use</w:t>
        </w:r>
        <w:r w:rsidR="00FE4F92">
          <w:rPr>
            <w:webHidden/>
          </w:rPr>
          <w:tab/>
        </w:r>
        <w:r w:rsidR="00FE4F92">
          <w:rPr>
            <w:webHidden/>
          </w:rPr>
          <w:fldChar w:fldCharType="begin"/>
        </w:r>
        <w:r w:rsidR="00FE4F92">
          <w:rPr>
            <w:webHidden/>
          </w:rPr>
          <w:instrText xml:space="preserve"> PAGEREF _Toc533009160 \h </w:instrText>
        </w:r>
        <w:r w:rsidR="00FE4F92">
          <w:rPr>
            <w:webHidden/>
          </w:rPr>
        </w:r>
        <w:r w:rsidR="00FE4F92">
          <w:rPr>
            <w:webHidden/>
          </w:rPr>
          <w:fldChar w:fldCharType="separate"/>
        </w:r>
        <w:r w:rsidR="00FE4F92">
          <w:rPr>
            <w:webHidden/>
          </w:rPr>
          <w:t>2-1</w:t>
        </w:r>
        <w:r w:rsidR="00FE4F92">
          <w:rPr>
            <w:webHidden/>
          </w:rPr>
          <w:fldChar w:fldCharType="end"/>
        </w:r>
      </w:hyperlink>
    </w:p>
    <w:p w14:paraId="4BD843FD" w14:textId="1F2EA66D" w:rsidR="00FE4F92" w:rsidRDefault="00FD7FEE">
      <w:pPr>
        <w:pStyle w:val="TOC3"/>
        <w:rPr>
          <w:rFonts w:asciiTheme="minorHAnsi" w:eastAsiaTheme="minorEastAsia" w:hAnsiTheme="minorHAnsi" w:cstheme="minorBidi"/>
          <w:sz w:val="22"/>
          <w:szCs w:val="22"/>
        </w:rPr>
      </w:pPr>
      <w:hyperlink w:anchor="_Toc533009161" w:history="1">
        <w:r w:rsidR="00FE4F92" w:rsidRPr="00F60F63">
          <w:rPr>
            <w:rStyle w:val="Hyperlink"/>
          </w:rPr>
          <w:t>2.1.3</w:t>
        </w:r>
        <w:r w:rsidR="00FE4F92">
          <w:rPr>
            <w:rFonts w:asciiTheme="minorHAnsi" w:eastAsiaTheme="minorEastAsia" w:hAnsiTheme="minorHAnsi" w:cstheme="minorBidi"/>
            <w:sz w:val="22"/>
            <w:szCs w:val="22"/>
          </w:rPr>
          <w:tab/>
        </w:r>
        <w:r w:rsidR="00FE4F92" w:rsidRPr="00F60F63">
          <w:rPr>
            <w:rStyle w:val="Hyperlink"/>
          </w:rPr>
          <w:t>Operation</w:t>
        </w:r>
        <w:r w:rsidR="00FE4F92">
          <w:rPr>
            <w:webHidden/>
          </w:rPr>
          <w:tab/>
        </w:r>
        <w:r w:rsidR="00FE4F92">
          <w:rPr>
            <w:webHidden/>
          </w:rPr>
          <w:fldChar w:fldCharType="begin"/>
        </w:r>
        <w:r w:rsidR="00FE4F92">
          <w:rPr>
            <w:webHidden/>
          </w:rPr>
          <w:instrText xml:space="preserve"> PAGEREF _Toc533009161 \h </w:instrText>
        </w:r>
        <w:r w:rsidR="00FE4F92">
          <w:rPr>
            <w:webHidden/>
          </w:rPr>
        </w:r>
        <w:r w:rsidR="00FE4F92">
          <w:rPr>
            <w:webHidden/>
          </w:rPr>
          <w:fldChar w:fldCharType="separate"/>
        </w:r>
        <w:r w:rsidR="00FE4F92">
          <w:rPr>
            <w:webHidden/>
          </w:rPr>
          <w:t>2-1</w:t>
        </w:r>
        <w:r w:rsidR="00FE4F92">
          <w:rPr>
            <w:webHidden/>
          </w:rPr>
          <w:fldChar w:fldCharType="end"/>
        </w:r>
      </w:hyperlink>
    </w:p>
    <w:p w14:paraId="42B50B64" w14:textId="1B31D21E" w:rsidR="00FE4F92" w:rsidRDefault="00FD7FEE">
      <w:pPr>
        <w:pStyle w:val="TOC3"/>
        <w:rPr>
          <w:rFonts w:asciiTheme="minorHAnsi" w:eastAsiaTheme="minorEastAsia" w:hAnsiTheme="minorHAnsi" w:cstheme="minorBidi"/>
          <w:sz w:val="22"/>
          <w:szCs w:val="22"/>
        </w:rPr>
      </w:pPr>
      <w:hyperlink w:anchor="_Toc533009162" w:history="1">
        <w:r w:rsidR="00FE4F92" w:rsidRPr="00F60F63">
          <w:rPr>
            <w:rStyle w:val="Hyperlink"/>
          </w:rPr>
          <w:t>2.1.4</w:t>
        </w:r>
        <w:r w:rsidR="00FE4F92">
          <w:rPr>
            <w:rFonts w:asciiTheme="minorHAnsi" w:eastAsiaTheme="minorEastAsia" w:hAnsiTheme="minorHAnsi" w:cstheme="minorBidi"/>
            <w:sz w:val="22"/>
            <w:szCs w:val="22"/>
          </w:rPr>
          <w:tab/>
        </w:r>
        <w:r w:rsidR="00FE4F92" w:rsidRPr="00F60F63">
          <w:rPr>
            <w:rStyle w:val="Hyperlink"/>
          </w:rPr>
          <w:t>Use and Reusable Container Washing</w:t>
        </w:r>
        <w:r w:rsidR="00FE4F92">
          <w:rPr>
            <w:webHidden/>
          </w:rPr>
          <w:tab/>
        </w:r>
        <w:r w:rsidR="00FE4F92">
          <w:rPr>
            <w:webHidden/>
          </w:rPr>
          <w:fldChar w:fldCharType="begin"/>
        </w:r>
        <w:r w:rsidR="00FE4F92">
          <w:rPr>
            <w:webHidden/>
          </w:rPr>
          <w:instrText xml:space="preserve"> PAGEREF _Toc533009162 \h </w:instrText>
        </w:r>
        <w:r w:rsidR="00FE4F92">
          <w:rPr>
            <w:webHidden/>
          </w:rPr>
        </w:r>
        <w:r w:rsidR="00FE4F92">
          <w:rPr>
            <w:webHidden/>
          </w:rPr>
          <w:fldChar w:fldCharType="separate"/>
        </w:r>
        <w:r w:rsidR="00FE4F92">
          <w:rPr>
            <w:webHidden/>
          </w:rPr>
          <w:t>2-3</w:t>
        </w:r>
        <w:r w:rsidR="00FE4F92">
          <w:rPr>
            <w:webHidden/>
          </w:rPr>
          <w:fldChar w:fldCharType="end"/>
        </w:r>
      </w:hyperlink>
    </w:p>
    <w:p w14:paraId="3682C3EF" w14:textId="1B4373B7" w:rsidR="00FE4F92" w:rsidRDefault="00FD7FEE">
      <w:pPr>
        <w:pStyle w:val="TOC3"/>
        <w:rPr>
          <w:rFonts w:asciiTheme="minorHAnsi" w:eastAsiaTheme="minorEastAsia" w:hAnsiTheme="minorHAnsi" w:cstheme="minorBidi"/>
          <w:sz w:val="22"/>
          <w:szCs w:val="22"/>
        </w:rPr>
      </w:pPr>
      <w:hyperlink w:anchor="_Toc533009163" w:history="1">
        <w:r w:rsidR="00FE4F92" w:rsidRPr="00F60F63">
          <w:rPr>
            <w:rStyle w:val="Hyperlink"/>
          </w:rPr>
          <w:t>2.1.5</w:t>
        </w:r>
        <w:r w:rsidR="00FE4F92">
          <w:rPr>
            <w:rFonts w:asciiTheme="minorHAnsi" w:eastAsiaTheme="minorEastAsia" w:hAnsiTheme="minorHAnsi" w:cstheme="minorBidi"/>
            <w:sz w:val="22"/>
            <w:szCs w:val="22"/>
          </w:rPr>
          <w:tab/>
        </w:r>
        <w:r w:rsidR="00FE4F92" w:rsidRPr="00F60F63">
          <w:rPr>
            <w:rStyle w:val="Hyperlink"/>
          </w:rPr>
          <w:t>Disposal</w:t>
        </w:r>
        <w:r w:rsidR="00FE4F92">
          <w:rPr>
            <w:webHidden/>
          </w:rPr>
          <w:tab/>
        </w:r>
        <w:r w:rsidR="00FE4F92">
          <w:rPr>
            <w:webHidden/>
          </w:rPr>
          <w:fldChar w:fldCharType="begin"/>
        </w:r>
        <w:r w:rsidR="00FE4F92">
          <w:rPr>
            <w:webHidden/>
          </w:rPr>
          <w:instrText xml:space="preserve"> PAGEREF _Toc533009163 \h </w:instrText>
        </w:r>
        <w:r w:rsidR="00FE4F92">
          <w:rPr>
            <w:webHidden/>
          </w:rPr>
        </w:r>
        <w:r w:rsidR="00FE4F92">
          <w:rPr>
            <w:webHidden/>
          </w:rPr>
          <w:fldChar w:fldCharType="separate"/>
        </w:r>
        <w:r w:rsidR="00FE4F92">
          <w:rPr>
            <w:webHidden/>
          </w:rPr>
          <w:t>2-3</w:t>
        </w:r>
        <w:r w:rsidR="00FE4F92">
          <w:rPr>
            <w:webHidden/>
          </w:rPr>
          <w:fldChar w:fldCharType="end"/>
        </w:r>
      </w:hyperlink>
    </w:p>
    <w:p w14:paraId="51A3820A" w14:textId="32E61EBC" w:rsidR="00FE4F92" w:rsidRDefault="00FD7FEE">
      <w:pPr>
        <w:pStyle w:val="TOC2"/>
        <w:rPr>
          <w:rFonts w:asciiTheme="minorHAnsi" w:eastAsiaTheme="minorEastAsia" w:hAnsiTheme="minorHAnsi" w:cstheme="minorBidi"/>
          <w:noProof/>
          <w:sz w:val="22"/>
          <w:szCs w:val="22"/>
        </w:rPr>
      </w:pPr>
      <w:hyperlink w:anchor="_Toc533009164" w:history="1">
        <w:r w:rsidR="00FE4F92" w:rsidRPr="00F60F63">
          <w:rPr>
            <w:rStyle w:val="Hyperlink"/>
            <w:noProof/>
          </w:rPr>
          <w:t>2.2</w:t>
        </w:r>
        <w:r w:rsidR="00FE4F92">
          <w:rPr>
            <w:rFonts w:asciiTheme="minorHAnsi" w:eastAsiaTheme="minorEastAsia" w:hAnsiTheme="minorHAnsi" w:cstheme="minorBidi"/>
            <w:noProof/>
            <w:sz w:val="22"/>
            <w:szCs w:val="22"/>
          </w:rPr>
          <w:tab/>
        </w:r>
        <w:r w:rsidR="00FE4F92" w:rsidRPr="00F60F63">
          <w:rPr>
            <w:rStyle w:val="Hyperlink"/>
            <w:noProof/>
          </w:rPr>
          <w:t>Bottled Water Life Cycle Inventory Data Sources</w:t>
        </w:r>
        <w:r w:rsidR="00FE4F92">
          <w:rPr>
            <w:noProof/>
            <w:webHidden/>
          </w:rPr>
          <w:tab/>
        </w:r>
        <w:r w:rsidR="00FE4F92">
          <w:rPr>
            <w:noProof/>
            <w:webHidden/>
          </w:rPr>
          <w:fldChar w:fldCharType="begin"/>
        </w:r>
        <w:r w:rsidR="00FE4F92">
          <w:rPr>
            <w:noProof/>
            <w:webHidden/>
          </w:rPr>
          <w:instrText xml:space="preserve"> PAGEREF _Toc533009164 \h </w:instrText>
        </w:r>
        <w:r w:rsidR="00FE4F92">
          <w:rPr>
            <w:noProof/>
            <w:webHidden/>
          </w:rPr>
        </w:r>
        <w:r w:rsidR="00FE4F92">
          <w:rPr>
            <w:noProof/>
            <w:webHidden/>
          </w:rPr>
          <w:fldChar w:fldCharType="separate"/>
        </w:r>
        <w:r w:rsidR="00FE4F92">
          <w:rPr>
            <w:noProof/>
            <w:webHidden/>
          </w:rPr>
          <w:t>2-3</w:t>
        </w:r>
        <w:r w:rsidR="00FE4F92">
          <w:rPr>
            <w:noProof/>
            <w:webHidden/>
          </w:rPr>
          <w:fldChar w:fldCharType="end"/>
        </w:r>
      </w:hyperlink>
    </w:p>
    <w:p w14:paraId="08C087C9" w14:textId="1B842BF5" w:rsidR="00FE4F92" w:rsidRDefault="00FD7FEE">
      <w:pPr>
        <w:pStyle w:val="TOC2"/>
        <w:rPr>
          <w:rFonts w:asciiTheme="minorHAnsi" w:eastAsiaTheme="minorEastAsia" w:hAnsiTheme="minorHAnsi" w:cstheme="minorBidi"/>
          <w:noProof/>
          <w:sz w:val="22"/>
          <w:szCs w:val="22"/>
        </w:rPr>
      </w:pPr>
      <w:hyperlink w:anchor="_Toc533009165" w:history="1">
        <w:r w:rsidR="00FE4F92" w:rsidRPr="00F60F63">
          <w:rPr>
            <w:rStyle w:val="Hyperlink"/>
            <w:noProof/>
          </w:rPr>
          <w:t>2.3</w:t>
        </w:r>
        <w:r w:rsidR="00FE4F92">
          <w:rPr>
            <w:rFonts w:asciiTheme="minorHAnsi" w:eastAsiaTheme="minorEastAsia" w:hAnsiTheme="minorHAnsi" w:cstheme="minorBidi"/>
            <w:noProof/>
            <w:sz w:val="22"/>
            <w:szCs w:val="22"/>
          </w:rPr>
          <w:tab/>
        </w:r>
        <w:r w:rsidR="00FE4F92" w:rsidRPr="00F60F63">
          <w:rPr>
            <w:rStyle w:val="Hyperlink"/>
            <w:noProof/>
          </w:rPr>
          <w:t>LCA Modeling Procedure</w:t>
        </w:r>
        <w:r w:rsidR="00FE4F92">
          <w:rPr>
            <w:noProof/>
            <w:webHidden/>
          </w:rPr>
          <w:tab/>
        </w:r>
        <w:r w:rsidR="00FE4F92">
          <w:rPr>
            <w:noProof/>
            <w:webHidden/>
          </w:rPr>
          <w:fldChar w:fldCharType="begin"/>
        </w:r>
        <w:r w:rsidR="00FE4F92">
          <w:rPr>
            <w:noProof/>
            <w:webHidden/>
          </w:rPr>
          <w:instrText xml:space="preserve"> PAGEREF _Toc533009165 \h </w:instrText>
        </w:r>
        <w:r w:rsidR="00FE4F92">
          <w:rPr>
            <w:noProof/>
            <w:webHidden/>
          </w:rPr>
        </w:r>
        <w:r w:rsidR="00FE4F92">
          <w:rPr>
            <w:noProof/>
            <w:webHidden/>
          </w:rPr>
          <w:fldChar w:fldCharType="separate"/>
        </w:r>
        <w:r w:rsidR="00FE4F92">
          <w:rPr>
            <w:noProof/>
            <w:webHidden/>
          </w:rPr>
          <w:t>2-4</w:t>
        </w:r>
        <w:r w:rsidR="00FE4F92">
          <w:rPr>
            <w:noProof/>
            <w:webHidden/>
          </w:rPr>
          <w:fldChar w:fldCharType="end"/>
        </w:r>
      </w:hyperlink>
    </w:p>
    <w:p w14:paraId="5D25EECD" w14:textId="704F5C3F" w:rsidR="00FE4F92" w:rsidRDefault="00FD7FEE">
      <w:pPr>
        <w:pStyle w:val="TOC2"/>
        <w:rPr>
          <w:rFonts w:asciiTheme="minorHAnsi" w:eastAsiaTheme="minorEastAsia" w:hAnsiTheme="minorHAnsi" w:cstheme="minorBidi"/>
          <w:noProof/>
          <w:sz w:val="22"/>
          <w:szCs w:val="22"/>
        </w:rPr>
      </w:pPr>
      <w:hyperlink w:anchor="_Toc533009166" w:history="1">
        <w:r w:rsidR="00FE4F92" w:rsidRPr="00F60F63">
          <w:rPr>
            <w:rStyle w:val="Hyperlink"/>
            <w:noProof/>
          </w:rPr>
          <w:t>2.4</w:t>
        </w:r>
        <w:r w:rsidR="00FE4F92">
          <w:rPr>
            <w:rFonts w:asciiTheme="minorHAnsi" w:eastAsiaTheme="minorEastAsia" w:hAnsiTheme="minorHAnsi" w:cstheme="minorBidi"/>
            <w:noProof/>
            <w:sz w:val="22"/>
            <w:szCs w:val="22"/>
          </w:rPr>
          <w:tab/>
        </w:r>
        <w:r w:rsidR="00FE4F92" w:rsidRPr="00F60F63">
          <w:rPr>
            <w:rStyle w:val="Hyperlink"/>
            <w:noProof/>
          </w:rPr>
          <w:t>Cost Analysis</w:t>
        </w:r>
        <w:r w:rsidR="00FE4F92">
          <w:rPr>
            <w:noProof/>
            <w:webHidden/>
          </w:rPr>
          <w:tab/>
        </w:r>
        <w:r w:rsidR="00FE4F92">
          <w:rPr>
            <w:noProof/>
            <w:webHidden/>
          </w:rPr>
          <w:fldChar w:fldCharType="begin"/>
        </w:r>
        <w:r w:rsidR="00FE4F92">
          <w:rPr>
            <w:noProof/>
            <w:webHidden/>
          </w:rPr>
          <w:instrText xml:space="preserve"> PAGEREF _Toc533009166 \h </w:instrText>
        </w:r>
        <w:r w:rsidR="00FE4F92">
          <w:rPr>
            <w:noProof/>
            <w:webHidden/>
          </w:rPr>
        </w:r>
        <w:r w:rsidR="00FE4F92">
          <w:rPr>
            <w:noProof/>
            <w:webHidden/>
          </w:rPr>
          <w:fldChar w:fldCharType="separate"/>
        </w:r>
        <w:r w:rsidR="00FE4F92">
          <w:rPr>
            <w:noProof/>
            <w:webHidden/>
          </w:rPr>
          <w:t>2-4</w:t>
        </w:r>
        <w:r w:rsidR="00FE4F92">
          <w:rPr>
            <w:noProof/>
            <w:webHidden/>
          </w:rPr>
          <w:fldChar w:fldCharType="end"/>
        </w:r>
      </w:hyperlink>
    </w:p>
    <w:p w14:paraId="134724F0" w14:textId="6268F591" w:rsidR="00FE4F92" w:rsidRDefault="00FD7FEE">
      <w:pPr>
        <w:pStyle w:val="TOC2"/>
        <w:rPr>
          <w:rFonts w:asciiTheme="minorHAnsi" w:eastAsiaTheme="minorEastAsia" w:hAnsiTheme="minorHAnsi" w:cstheme="minorBidi"/>
          <w:noProof/>
          <w:sz w:val="22"/>
          <w:szCs w:val="22"/>
        </w:rPr>
      </w:pPr>
      <w:hyperlink w:anchor="_Toc533009167" w:history="1">
        <w:r w:rsidR="00FE4F92" w:rsidRPr="00F60F63">
          <w:rPr>
            <w:rStyle w:val="Hyperlink"/>
            <w:noProof/>
          </w:rPr>
          <w:t>2.5</w:t>
        </w:r>
        <w:r w:rsidR="00FE4F92">
          <w:rPr>
            <w:rFonts w:asciiTheme="minorHAnsi" w:eastAsiaTheme="minorEastAsia" w:hAnsiTheme="minorHAnsi" w:cstheme="minorBidi"/>
            <w:noProof/>
            <w:sz w:val="22"/>
            <w:szCs w:val="22"/>
          </w:rPr>
          <w:tab/>
        </w:r>
        <w:r w:rsidR="00FE4F92" w:rsidRPr="00F60F63">
          <w:rPr>
            <w:rStyle w:val="Hyperlink"/>
            <w:noProof/>
          </w:rPr>
          <w:t>Data Quality and Limitations</w:t>
        </w:r>
        <w:r w:rsidR="00FE4F92">
          <w:rPr>
            <w:noProof/>
            <w:webHidden/>
          </w:rPr>
          <w:tab/>
        </w:r>
        <w:r w:rsidR="00FE4F92">
          <w:rPr>
            <w:noProof/>
            <w:webHidden/>
          </w:rPr>
          <w:fldChar w:fldCharType="begin"/>
        </w:r>
        <w:r w:rsidR="00FE4F92">
          <w:rPr>
            <w:noProof/>
            <w:webHidden/>
          </w:rPr>
          <w:instrText xml:space="preserve"> PAGEREF _Toc533009167 \h </w:instrText>
        </w:r>
        <w:r w:rsidR="00FE4F92">
          <w:rPr>
            <w:noProof/>
            <w:webHidden/>
          </w:rPr>
        </w:r>
        <w:r w:rsidR="00FE4F92">
          <w:rPr>
            <w:noProof/>
            <w:webHidden/>
          </w:rPr>
          <w:fldChar w:fldCharType="separate"/>
        </w:r>
        <w:r w:rsidR="00FE4F92">
          <w:rPr>
            <w:noProof/>
            <w:webHidden/>
          </w:rPr>
          <w:t>2-5</w:t>
        </w:r>
        <w:r w:rsidR="00FE4F92">
          <w:rPr>
            <w:noProof/>
            <w:webHidden/>
          </w:rPr>
          <w:fldChar w:fldCharType="end"/>
        </w:r>
      </w:hyperlink>
    </w:p>
    <w:p w14:paraId="2B60C555" w14:textId="66F65052" w:rsidR="00FE4F92" w:rsidRDefault="00FD7FEE">
      <w:pPr>
        <w:pStyle w:val="TOC1"/>
        <w:rPr>
          <w:rFonts w:asciiTheme="minorHAnsi" w:eastAsiaTheme="minorEastAsia" w:hAnsiTheme="minorHAnsi" w:cstheme="minorBidi"/>
          <w:b w:val="0"/>
          <w:smallCaps w:val="0"/>
          <w:sz w:val="22"/>
          <w:szCs w:val="22"/>
        </w:rPr>
      </w:pPr>
      <w:hyperlink w:anchor="_Toc533009168" w:history="1">
        <w:r w:rsidR="00FE4F92" w:rsidRPr="00F60F63">
          <w:rPr>
            <w:rStyle w:val="Hyperlink"/>
          </w:rPr>
          <w:t>3.</w:t>
        </w:r>
        <w:r w:rsidR="00FE4F92">
          <w:rPr>
            <w:rFonts w:asciiTheme="minorHAnsi" w:eastAsiaTheme="minorEastAsia" w:hAnsiTheme="minorHAnsi" w:cstheme="minorBidi"/>
            <w:b w:val="0"/>
            <w:smallCaps w:val="0"/>
            <w:sz w:val="22"/>
            <w:szCs w:val="22"/>
          </w:rPr>
          <w:tab/>
        </w:r>
        <w:r w:rsidR="00FE4F92" w:rsidRPr="00F60F63">
          <w:rPr>
            <w:rStyle w:val="Hyperlink"/>
          </w:rPr>
          <w:t>Scenario and Sensitivity Analyses</w:t>
        </w:r>
        <w:r w:rsidR="00FE4F92">
          <w:rPr>
            <w:webHidden/>
          </w:rPr>
          <w:tab/>
        </w:r>
        <w:r w:rsidR="00FE4F92">
          <w:rPr>
            <w:webHidden/>
          </w:rPr>
          <w:fldChar w:fldCharType="begin"/>
        </w:r>
        <w:r w:rsidR="00FE4F92">
          <w:rPr>
            <w:webHidden/>
          </w:rPr>
          <w:instrText xml:space="preserve"> PAGEREF _Toc533009168 \h </w:instrText>
        </w:r>
        <w:r w:rsidR="00FE4F92">
          <w:rPr>
            <w:webHidden/>
          </w:rPr>
        </w:r>
        <w:r w:rsidR="00FE4F92">
          <w:rPr>
            <w:webHidden/>
          </w:rPr>
          <w:fldChar w:fldCharType="separate"/>
        </w:r>
        <w:r w:rsidR="00FE4F92">
          <w:rPr>
            <w:webHidden/>
          </w:rPr>
          <w:t>3-1</w:t>
        </w:r>
        <w:r w:rsidR="00FE4F92">
          <w:rPr>
            <w:webHidden/>
          </w:rPr>
          <w:fldChar w:fldCharType="end"/>
        </w:r>
      </w:hyperlink>
    </w:p>
    <w:p w14:paraId="3A7F25EC" w14:textId="542E9B6B" w:rsidR="00FE4F92" w:rsidRDefault="00FD7FEE">
      <w:pPr>
        <w:pStyle w:val="TOC2"/>
        <w:rPr>
          <w:rFonts w:asciiTheme="minorHAnsi" w:eastAsiaTheme="minorEastAsia" w:hAnsiTheme="minorHAnsi" w:cstheme="minorBidi"/>
          <w:noProof/>
          <w:sz w:val="22"/>
          <w:szCs w:val="22"/>
        </w:rPr>
      </w:pPr>
      <w:hyperlink w:anchor="_Toc533009169" w:history="1">
        <w:r w:rsidR="00FE4F92" w:rsidRPr="00F60F63">
          <w:rPr>
            <w:rStyle w:val="Hyperlink"/>
            <w:noProof/>
          </w:rPr>
          <w:t>3.1</w:t>
        </w:r>
        <w:r w:rsidR="00FE4F92">
          <w:rPr>
            <w:rFonts w:asciiTheme="minorHAnsi" w:eastAsiaTheme="minorEastAsia" w:hAnsiTheme="minorHAnsi" w:cstheme="minorBidi"/>
            <w:noProof/>
            <w:sz w:val="22"/>
            <w:szCs w:val="22"/>
          </w:rPr>
          <w:tab/>
        </w:r>
        <w:r w:rsidR="00FE4F92" w:rsidRPr="00F60F63">
          <w:rPr>
            <w:rStyle w:val="Hyperlink"/>
            <w:noProof/>
          </w:rPr>
          <w:t>AWG Scenarios Evaluated</w:t>
        </w:r>
        <w:r w:rsidR="00FE4F92">
          <w:rPr>
            <w:noProof/>
            <w:webHidden/>
          </w:rPr>
          <w:tab/>
        </w:r>
        <w:r w:rsidR="00FE4F92">
          <w:rPr>
            <w:noProof/>
            <w:webHidden/>
          </w:rPr>
          <w:fldChar w:fldCharType="begin"/>
        </w:r>
        <w:r w:rsidR="00FE4F92">
          <w:rPr>
            <w:noProof/>
            <w:webHidden/>
          </w:rPr>
          <w:instrText xml:space="preserve"> PAGEREF _Toc533009169 \h </w:instrText>
        </w:r>
        <w:r w:rsidR="00FE4F92">
          <w:rPr>
            <w:noProof/>
            <w:webHidden/>
          </w:rPr>
        </w:r>
        <w:r w:rsidR="00FE4F92">
          <w:rPr>
            <w:noProof/>
            <w:webHidden/>
          </w:rPr>
          <w:fldChar w:fldCharType="separate"/>
        </w:r>
        <w:r w:rsidR="00FE4F92">
          <w:rPr>
            <w:noProof/>
            <w:webHidden/>
          </w:rPr>
          <w:t>3-1</w:t>
        </w:r>
        <w:r w:rsidR="00FE4F92">
          <w:rPr>
            <w:noProof/>
            <w:webHidden/>
          </w:rPr>
          <w:fldChar w:fldCharType="end"/>
        </w:r>
      </w:hyperlink>
    </w:p>
    <w:p w14:paraId="3ADE929F" w14:textId="16A6D4C2" w:rsidR="00FE4F92" w:rsidRDefault="00FD7FEE">
      <w:pPr>
        <w:pStyle w:val="TOC2"/>
        <w:rPr>
          <w:rFonts w:asciiTheme="minorHAnsi" w:eastAsiaTheme="minorEastAsia" w:hAnsiTheme="minorHAnsi" w:cstheme="minorBidi"/>
          <w:noProof/>
          <w:sz w:val="22"/>
          <w:szCs w:val="22"/>
        </w:rPr>
      </w:pPr>
      <w:hyperlink w:anchor="_Toc533009170" w:history="1">
        <w:r w:rsidR="00FE4F92" w:rsidRPr="00F60F63">
          <w:rPr>
            <w:rStyle w:val="Hyperlink"/>
            <w:noProof/>
          </w:rPr>
          <w:t>3.2</w:t>
        </w:r>
        <w:r w:rsidR="00FE4F92">
          <w:rPr>
            <w:rFonts w:asciiTheme="minorHAnsi" w:eastAsiaTheme="minorEastAsia" w:hAnsiTheme="minorHAnsi" w:cstheme="minorBidi"/>
            <w:noProof/>
            <w:sz w:val="22"/>
            <w:szCs w:val="22"/>
          </w:rPr>
          <w:tab/>
        </w:r>
        <w:r w:rsidR="00FE4F92" w:rsidRPr="00F60F63">
          <w:rPr>
            <w:rStyle w:val="Hyperlink"/>
            <w:noProof/>
          </w:rPr>
          <w:t>Bottled Water Scenarios Evaluated</w:t>
        </w:r>
        <w:r w:rsidR="00FE4F92">
          <w:rPr>
            <w:noProof/>
            <w:webHidden/>
          </w:rPr>
          <w:tab/>
        </w:r>
        <w:r w:rsidR="00FE4F92">
          <w:rPr>
            <w:noProof/>
            <w:webHidden/>
          </w:rPr>
          <w:fldChar w:fldCharType="begin"/>
        </w:r>
        <w:r w:rsidR="00FE4F92">
          <w:rPr>
            <w:noProof/>
            <w:webHidden/>
          </w:rPr>
          <w:instrText xml:space="preserve"> PAGEREF _Toc533009170 \h </w:instrText>
        </w:r>
        <w:r w:rsidR="00FE4F92">
          <w:rPr>
            <w:noProof/>
            <w:webHidden/>
          </w:rPr>
        </w:r>
        <w:r w:rsidR="00FE4F92">
          <w:rPr>
            <w:noProof/>
            <w:webHidden/>
          </w:rPr>
          <w:fldChar w:fldCharType="separate"/>
        </w:r>
        <w:r w:rsidR="00FE4F92">
          <w:rPr>
            <w:noProof/>
            <w:webHidden/>
          </w:rPr>
          <w:t>3-2</w:t>
        </w:r>
        <w:r w:rsidR="00FE4F92">
          <w:rPr>
            <w:noProof/>
            <w:webHidden/>
          </w:rPr>
          <w:fldChar w:fldCharType="end"/>
        </w:r>
      </w:hyperlink>
    </w:p>
    <w:p w14:paraId="07ABA6F8" w14:textId="4C65977A" w:rsidR="00FE4F92" w:rsidRDefault="00FD7FEE">
      <w:pPr>
        <w:pStyle w:val="TOC1"/>
        <w:rPr>
          <w:rFonts w:asciiTheme="minorHAnsi" w:eastAsiaTheme="minorEastAsia" w:hAnsiTheme="minorHAnsi" w:cstheme="minorBidi"/>
          <w:b w:val="0"/>
          <w:smallCaps w:val="0"/>
          <w:sz w:val="22"/>
          <w:szCs w:val="22"/>
        </w:rPr>
      </w:pPr>
      <w:hyperlink w:anchor="_Toc533009171" w:history="1">
        <w:r w:rsidR="00FE4F92" w:rsidRPr="00F60F63">
          <w:rPr>
            <w:rStyle w:val="Hyperlink"/>
          </w:rPr>
          <w:t>4.</w:t>
        </w:r>
        <w:r w:rsidR="00FE4F92">
          <w:rPr>
            <w:rFonts w:asciiTheme="minorHAnsi" w:eastAsiaTheme="minorEastAsia" w:hAnsiTheme="minorHAnsi" w:cstheme="minorBidi"/>
            <w:b w:val="0"/>
            <w:smallCaps w:val="0"/>
            <w:sz w:val="22"/>
            <w:szCs w:val="22"/>
          </w:rPr>
          <w:tab/>
        </w:r>
        <w:r w:rsidR="00FE4F92" w:rsidRPr="00F60F63">
          <w:rPr>
            <w:rStyle w:val="Hyperlink"/>
          </w:rPr>
          <w:t>LCA Results</w:t>
        </w:r>
        <w:r w:rsidR="00FE4F92">
          <w:rPr>
            <w:webHidden/>
          </w:rPr>
          <w:tab/>
        </w:r>
        <w:r w:rsidR="00FE4F92">
          <w:rPr>
            <w:webHidden/>
          </w:rPr>
          <w:fldChar w:fldCharType="begin"/>
        </w:r>
        <w:r w:rsidR="00FE4F92">
          <w:rPr>
            <w:webHidden/>
          </w:rPr>
          <w:instrText xml:space="preserve"> PAGEREF _Toc533009171 \h </w:instrText>
        </w:r>
        <w:r w:rsidR="00FE4F92">
          <w:rPr>
            <w:webHidden/>
          </w:rPr>
        </w:r>
        <w:r w:rsidR="00FE4F92">
          <w:rPr>
            <w:webHidden/>
          </w:rPr>
          <w:fldChar w:fldCharType="separate"/>
        </w:r>
        <w:r w:rsidR="00FE4F92">
          <w:rPr>
            <w:webHidden/>
          </w:rPr>
          <w:t>4-1</w:t>
        </w:r>
        <w:r w:rsidR="00FE4F92">
          <w:rPr>
            <w:webHidden/>
          </w:rPr>
          <w:fldChar w:fldCharType="end"/>
        </w:r>
      </w:hyperlink>
    </w:p>
    <w:p w14:paraId="5F313D53" w14:textId="01F2CE55" w:rsidR="00FE4F92" w:rsidRDefault="00FD7FEE">
      <w:pPr>
        <w:pStyle w:val="TOC2"/>
        <w:rPr>
          <w:rFonts w:asciiTheme="minorHAnsi" w:eastAsiaTheme="minorEastAsia" w:hAnsiTheme="minorHAnsi" w:cstheme="minorBidi"/>
          <w:noProof/>
          <w:sz w:val="22"/>
          <w:szCs w:val="22"/>
        </w:rPr>
      </w:pPr>
      <w:hyperlink w:anchor="_Toc533009172" w:history="1">
        <w:r w:rsidR="00FE4F92" w:rsidRPr="00F60F63">
          <w:rPr>
            <w:rStyle w:val="Hyperlink"/>
            <w:noProof/>
          </w:rPr>
          <w:t>4.1</w:t>
        </w:r>
        <w:r w:rsidR="00FE4F92">
          <w:rPr>
            <w:rFonts w:asciiTheme="minorHAnsi" w:eastAsiaTheme="minorEastAsia" w:hAnsiTheme="minorHAnsi" w:cstheme="minorBidi"/>
            <w:noProof/>
            <w:sz w:val="22"/>
            <w:szCs w:val="22"/>
          </w:rPr>
          <w:tab/>
        </w:r>
        <w:r w:rsidR="00FE4F92" w:rsidRPr="00F60F63">
          <w:rPr>
            <w:rStyle w:val="Hyperlink"/>
            <w:noProof/>
          </w:rPr>
          <w:t>Summary Baseline Comparative Results on an Equivalent Volume of Water Delivered Basis</w:t>
        </w:r>
        <w:r w:rsidR="00FE4F92">
          <w:rPr>
            <w:noProof/>
            <w:webHidden/>
          </w:rPr>
          <w:tab/>
        </w:r>
        <w:r w:rsidR="00FE4F92">
          <w:rPr>
            <w:noProof/>
            <w:webHidden/>
          </w:rPr>
          <w:fldChar w:fldCharType="begin"/>
        </w:r>
        <w:r w:rsidR="00FE4F92">
          <w:rPr>
            <w:noProof/>
            <w:webHidden/>
          </w:rPr>
          <w:instrText xml:space="preserve"> PAGEREF _Toc533009172 \h </w:instrText>
        </w:r>
        <w:r w:rsidR="00FE4F92">
          <w:rPr>
            <w:noProof/>
            <w:webHidden/>
          </w:rPr>
        </w:r>
        <w:r w:rsidR="00FE4F92">
          <w:rPr>
            <w:noProof/>
            <w:webHidden/>
          </w:rPr>
          <w:fldChar w:fldCharType="separate"/>
        </w:r>
        <w:r w:rsidR="00FE4F92">
          <w:rPr>
            <w:noProof/>
            <w:webHidden/>
          </w:rPr>
          <w:t>4-1</w:t>
        </w:r>
        <w:r w:rsidR="00FE4F92">
          <w:rPr>
            <w:noProof/>
            <w:webHidden/>
          </w:rPr>
          <w:fldChar w:fldCharType="end"/>
        </w:r>
      </w:hyperlink>
    </w:p>
    <w:p w14:paraId="7F0A930F" w14:textId="71F8B16A" w:rsidR="00FE4F92" w:rsidRDefault="00FD7FEE">
      <w:pPr>
        <w:pStyle w:val="TOC2"/>
        <w:rPr>
          <w:rFonts w:asciiTheme="minorHAnsi" w:eastAsiaTheme="minorEastAsia" w:hAnsiTheme="minorHAnsi" w:cstheme="minorBidi"/>
          <w:noProof/>
          <w:sz w:val="22"/>
          <w:szCs w:val="22"/>
        </w:rPr>
      </w:pPr>
      <w:hyperlink w:anchor="_Toc533009173" w:history="1">
        <w:r w:rsidR="00FE4F92" w:rsidRPr="00F60F63">
          <w:rPr>
            <w:rStyle w:val="Hyperlink"/>
            <w:noProof/>
          </w:rPr>
          <w:t>4.2</w:t>
        </w:r>
        <w:r w:rsidR="00FE4F92">
          <w:rPr>
            <w:rFonts w:asciiTheme="minorHAnsi" w:eastAsiaTheme="minorEastAsia" w:hAnsiTheme="minorHAnsi" w:cstheme="minorBidi"/>
            <w:noProof/>
            <w:sz w:val="22"/>
            <w:szCs w:val="22"/>
          </w:rPr>
          <w:tab/>
        </w:r>
        <w:r w:rsidR="00FE4F92" w:rsidRPr="00F60F63">
          <w:rPr>
            <w:rStyle w:val="Hyperlink"/>
            <w:noProof/>
          </w:rPr>
          <w:t>Baseline Results Atmospheric Water Generator</w:t>
        </w:r>
        <w:r w:rsidR="00FE4F92">
          <w:rPr>
            <w:noProof/>
            <w:webHidden/>
          </w:rPr>
          <w:tab/>
        </w:r>
        <w:r w:rsidR="00FE4F92">
          <w:rPr>
            <w:noProof/>
            <w:webHidden/>
          </w:rPr>
          <w:fldChar w:fldCharType="begin"/>
        </w:r>
        <w:r w:rsidR="00FE4F92">
          <w:rPr>
            <w:noProof/>
            <w:webHidden/>
          </w:rPr>
          <w:instrText xml:space="preserve"> PAGEREF _Toc533009173 \h </w:instrText>
        </w:r>
        <w:r w:rsidR="00FE4F92">
          <w:rPr>
            <w:noProof/>
            <w:webHidden/>
          </w:rPr>
        </w:r>
        <w:r w:rsidR="00FE4F92">
          <w:rPr>
            <w:noProof/>
            <w:webHidden/>
          </w:rPr>
          <w:fldChar w:fldCharType="separate"/>
        </w:r>
        <w:r w:rsidR="00FE4F92">
          <w:rPr>
            <w:noProof/>
            <w:webHidden/>
          </w:rPr>
          <w:t>4-4</w:t>
        </w:r>
        <w:r w:rsidR="00FE4F92">
          <w:rPr>
            <w:noProof/>
            <w:webHidden/>
          </w:rPr>
          <w:fldChar w:fldCharType="end"/>
        </w:r>
      </w:hyperlink>
    </w:p>
    <w:p w14:paraId="53B89498" w14:textId="00C5DBD6" w:rsidR="00FE4F92" w:rsidRDefault="00FD7FEE">
      <w:pPr>
        <w:pStyle w:val="TOC2"/>
        <w:rPr>
          <w:rFonts w:asciiTheme="minorHAnsi" w:eastAsiaTheme="minorEastAsia" w:hAnsiTheme="minorHAnsi" w:cstheme="minorBidi"/>
          <w:noProof/>
          <w:sz w:val="22"/>
          <w:szCs w:val="22"/>
        </w:rPr>
      </w:pPr>
      <w:hyperlink w:anchor="_Toc533009174" w:history="1">
        <w:r w:rsidR="00FE4F92" w:rsidRPr="00F60F63">
          <w:rPr>
            <w:rStyle w:val="Hyperlink"/>
            <w:noProof/>
          </w:rPr>
          <w:t>4.3</w:t>
        </w:r>
        <w:r w:rsidR="00FE4F92">
          <w:rPr>
            <w:rFonts w:asciiTheme="minorHAnsi" w:eastAsiaTheme="minorEastAsia" w:hAnsiTheme="minorHAnsi" w:cstheme="minorBidi"/>
            <w:noProof/>
            <w:sz w:val="22"/>
            <w:szCs w:val="22"/>
          </w:rPr>
          <w:tab/>
        </w:r>
        <w:r w:rsidR="00FE4F92" w:rsidRPr="00F60F63">
          <w:rPr>
            <w:rStyle w:val="Hyperlink"/>
            <w:noProof/>
          </w:rPr>
          <w:t>Baseline Results Bottled Water</w:t>
        </w:r>
        <w:r w:rsidR="00FE4F92">
          <w:rPr>
            <w:noProof/>
            <w:webHidden/>
          </w:rPr>
          <w:tab/>
        </w:r>
        <w:r w:rsidR="00FE4F92">
          <w:rPr>
            <w:noProof/>
            <w:webHidden/>
          </w:rPr>
          <w:fldChar w:fldCharType="begin"/>
        </w:r>
        <w:r w:rsidR="00FE4F92">
          <w:rPr>
            <w:noProof/>
            <w:webHidden/>
          </w:rPr>
          <w:instrText xml:space="preserve"> PAGEREF _Toc533009174 \h </w:instrText>
        </w:r>
        <w:r w:rsidR="00FE4F92">
          <w:rPr>
            <w:noProof/>
            <w:webHidden/>
          </w:rPr>
        </w:r>
        <w:r w:rsidR="00FE4F92">
          <w:rPr>
            <w:noProof/>
            <w:webHidden/>
          </w:rPr>
          <w:fldChar w:fldCharType="separate"/>
        </w:r>
        <w:r w:rsidR="00FE4F92">
          <w:rPr>
            <w:noProof/>
            <w:webHidden/>
          </w:rPr>
          <w:t>4-6</w:t>
        </w:r>
        <w:r w:rsidR="00FE4F92">
          <w:rPr>
            <w:noProof/>
            <w:webHidden/>
          </w:rPr>
          <w:fldChar w:fldCharType="end"/>
        </w:r>
      </w:hyperlink>
    </w:p>
    <w:p w14:paraId="6B2965A8" w14:textId="2AE3F2A2" w:rsidR="00FE4F92" w:rsidRDefault="00FD7FEE">
      <w:pPr>
        <w:pStyle w:val="TOC2"/>
        <w:rPr>
          <w:rFonts w:asciiTheme="minorHAnsi" w:eastAsiaTheme="minorEastAsia" w:hAnsiTheme="minorHAnsi" w:cstheme="minorBidi"/>
          <w:noProof/>
          <w:sz w:val="22"/>
          <w:szCs w:val="22"/>
        </w:rPr>
      </w:pPr>
      <w:hyperlink w:anchor="_Toc533009175" w:history="1">
        <w:r w:rsidR="00FE4F92" w:rsidRPr="00F60F63">
          <w:rPr>
            <w:rStyle w:val="Hyperlink"/>
            <w:noProof/>
          </w:rPr>
          <w:t>4.4</w:t>
        </w:r>
        <w:r w:rsidR="00FE4F92">
          <w:rPr>
            <w:rFonts w:asciiTheme="minorHAnsi" w:eastAsiaTheme="minorEastAsia" w:hAnsiTheme="minorHAnsi" w:cstheme="minorBidi"/>
            <w:noProof/>
            <w:sz w:val="22"/>
            <w:szCs w:val="22"/>
          </w:rPr>
          <w:tab/>
        </w:r>
        <w:r w:rsidR="00FE4F92" w:rsidRPr="00F60F63">
          <w:rPr>
            <w:rStyle w:val="Hyperlink"/>
            <w:noProof/>
          </w:rPr>
          <w:t>Sensitivity Analysis Results</w:t>
        </w:r>
        <w:r w:rsidR="00FE4F92">
          <w:rPr>
            <w:noProof/>
            <w:webHidden/>
          </w:rPr>
          <w:tab/>
        </w:r>
        <w:r w:rsidR="00FE4F92">
          <w:rPr>
            <w:noProof/>
            <w:webHidden/>
          </w:rPr>
          <w:fldChar w:fldCharType="begin"/>
        </w:r>
        <w:r w:rsidR="00FE4F92">
          <w:rPr>
            <w:noProof/>
            <w:webHidden/>
          </w:rPr>
          <w:instrText xml:space="preserve"> PAGEREF _Toc533009175 \h </w:instrText>
        </w:r>
        <w:r w:rsidR="00FE4F92">
          <w:rPr>
            <w:noProof/>
            <w:webHidden/>
          </w:rPr>
        </w:r>
        <w:r w:rsidR="00FE4F92">
          <w:rPr>
            <w:noProof/>
            <w:webHidden/>
          </w:rPr>
          <w:fldChar w:fldCharType="separate"/>
        </w:r>
        <w:r w:rsidR="00FE4F92">
          <w:rPr>
            <w:noProof/>
            <w:webHidden/>
          </w:rPr>
          <w:t>4-7</w:t>
        </w:r>
        <w:r w:rsidR="00FE4F92">
          <w:rPr>
            <w:noProof/>
            <w:webHidden/>
          </w:rPr>
          <w:fldChar w:fldCharType="end"/>
        </w:r>
      </w:hyperlink>
    </w:p>
    <w:p w14:paraId="2E2DC116" w14:textId="0F0180CD" w:rsidR="00FE4F92" w:rsidRDefault="00FD7FEE">
      <w:pPr>
        <w:pStyle w:val="TOC3"/>
        <w:rPr>
          <w:rFonts w:asciiTheme="minorHAnsi" w:eastAsiaTheme="minorEastAsia" w:hAnsiTheme="minorHAnsi" w:cstheme="minorBidi"/>
          <w:sz w:val="22"/>
          <w:szCs w:val="22"/>
        </w:rPr>
      </w:pPr>
      <w:hyperlink w:anchor="_Toc533009176" w:history="1">
        <w:r w:rsidR="00FE4F92" w:rsidRPr="00F60F63">
          <w:rPr>
            <w:rStyle w:val="Hyperlink"/>
          </w:rPr>
          <w:t>4.4.1</w:t>
        </w:r>
        <w:r w:rsidR="00FE4F92">
          <w:rPr>
            <w:rFonts w:asciiTheme="minorHAnsi" w:eastAsiaTheme="minorEastAsia" w:hAnsiTheme="minorHAnsi" w:cstheme="minorBidi"/>
            <w:sz w:val="22"/>
            <w:szCs w:val="22"/>
          </w:rPr>
          <w:tab/>
        </w:r>
        <w:r w:rsidR="00FE4F92" w:rsidRPr="00F60F63">
          <w:rPr>
            <w:rStyle w:val="Hyperlink"/>
          </w:rPr>
          <w:t>Sensitivity Analyses for AWG Systems</w:t>
        </w:r>
        <w:r w:rsidR="00FE4F92">
          <w:rPr>
            <w:webHidden/>
          </w:rPr>
          <w:tab/>
        </w:r>
        <w:r w:rsidR="00FE4F92">
          <w:rPr>
            <w:webHidden/>
          </w:rPr>
          <w:fldChar w:fldCharType="begin"/>
        </w:r>
        <w:r w:rsidR="00FE4F92">
          <w:rPr>
            <w:webHidden/>
          </w:rPr>
          <w:instrText xml:space="preserve"> PAGEREF _Toc533009176 \h </w:instrText>
        </w:r>
        <w:r w:rsidR="00FE4F92">
          <w:rPr>
            <w:webHidden/>
          </w:rPr>
        </w:r>
        <w:r w:rsidR="00FE4F92">
          <w:rPr>
            <w:webHidden/>
          </w:rPr>
          <w:fldChar w:fldCharType="separate"/>
        </w:r>
        <w:r w:rsidR="00FE4F92">
          <w:rPr>
            <w:webHidden/>
          </w:rPr>
          <w:t>4-7</w:t>
        </w:r>
        <w:r w:rsidR="00FE4F92">
          <w:rPr>
            <w:webHidden/>
          </w:rPr>
          <w:fldChar w:fldCharType="end"/>
        </w:r>
      </w:hyperlink>
    </w:p>
    <w:p w14:paraId="2C5547EE" w14:textId="5E257445" w:rsidR="00FE4F92" w:rsidRDefault="00FD7FEE">
      <w:pPr>
        <w:pStyle w:val="TOC3"/>
        <w:rPr>
          <w:rFonts w:asciiTheme="minorHAnsi" w:eastAsiaTheme="minorEastAsia" w:hAnsiTheme="minorHAnsi" w:cstheme="minorBidi"/>
          <w:sz w:val="22"/>
          <w:szCs w:val="22"/>
        </w:rPr>
      </w:pPr>
      <w:hyperlink w:anchor="_Toc533009177" w:history="1">
        <w:r w:rsidR="00FE4F92" w:rsidRPr="00F60F63">
          <w:rPr>
            <w:rStyle w:val="Hyperlink"/>
          </w:rPr>
          <w:t>4.4.2</w:t>
        </w:r>
        <w:r w:rsidR="00FE4F92">
          <w:rPr>
            <w:rFonts w:asciiTheme="minorHAnsi" w:eastAsiaTheme="minorEastAsia" w:hAnsiTheme="minorHAnsi" w:cstheme="minorBidi"/>
            <w:sz w:val="22"/>
            <w:szCs w:val="22"/>
          </w:rPr>
          <w:tab/>
        </w:r>
        <w:r w:rsidR="00FE4F92" w:rsidRPr="00F60F63">
          <w:rPr>
            <w:rStyle w:val="Hyperlink"/>
          </w:rPr>
          <w:t>Sensitivity Analyses for Bottled Water Systems</w:t>
        </w:r>
        <w:r w:rsidR="00FE4F92">
          <w:rPr>
            <w:webHidden/>
          </w:rPr>
          <w:tab/>
        </w:r>
        <w:r w:rsidR="00FE4F92">
          <w:rPr>
            <w:webHidden/>
          </w:rPr>
          <w:fldChar w:fldCharType="begin"/>
        </w:r>
        <w:r w:rsidR="00FE4F92">
          <w:rPr>
            <w:webHidden/>
          </w:rPr>
          <w:instrText xml:space="preserve"> PAGEREF _Toc533009177 \h </w:instrText>
        </w:r>
        <w:r w:rsidR="00FE4F92">
          <w:rPr>
            <w:webHidden/>
          </w:rPr>
        </w:r>
        <w:r w:rsidR="00FE4F92">
          <w:rPr>
            <w:webHidden/>
          </w:rPr>
          <w:fldChar w:fldCharType="separate"/>
        </w:r>
        <w:r w:rsidR="00FE4F92">
          <w:rPr>
            <w:webHidden/>
          </w:rPr>
          <w:t>4-10</w:t>
        </w:r>
        <w:r w:rsidR="00FE4F92">
          <w:rPr>
            <w:webHidden/>
          </w:rPr>
          <w:fldChar w:fldCharType="end"/>
        </w:r>
      </w:hyperlink>
    </w:p>
    <w:p w14:paraId="5EB52E41" w14:textId="4BDE5B0D" w:rsidR="00FE4F92" w:rsidRDefault="00FD7FEE">
      <w:pPr>
        <w:pStyle w:val="TOC2"/>
        <w:rPr>
          <w:rFonts w:asciiTheme="minorHAnsi" w:eastAsiaTheme="minorEastAsia" w:hAnsiTheme="minorHAnsi" w:cstheme="minorBidi"/>
          <w:noProof/>
          <w:sz w:val="22"/>
          <w:szCs w:val="22"/>
        </w:rPr>
      </w:pPr>
      <w:hyperlink w:anchor="_Toc533009178" w:history="1">
        <w:r w:rsidR="00FE4F92" w:rsidRPr="00F60F63">
          <w:rPr>
            <w:rStyle w:val="Hyperlink"/>
            <w:noProof/>
          </w:rPr>
          <w:t>4.5</w:t>
        </w:r>
        <w:r w:rsidR="00FE4F92">
          <w:rPr>
            <w:rFonts w:asciiTheme="minorHAnsi" w:eastAsiaTheme="minorEastAsia" w:hAnsiTheme="minorHAnsi" w:cstheme="minorBidi"/>
            <w:noProof/>
            <w:sz w:val="22"/>
            <w:szCs w:val="22"/>
          </w:rPr>
          <w:tab/>
        </w:r>
        <w:r w:rsidR="00FE4F92" w:rsidRPr="00F60F63">
          <w:rPr>
            <w:rStyle w:val="Hyperlink"/>
            <w:noProof/>
          </w:rPr>
          <w:t>Price Comparison between Systems</w:t>
        </w:r>
        <w:r w:rsidR="00FE4F92">
          <w:rPr>
            <w:noProof/>
            <w:webHidden/>
          </w:rPr>
          <w:tab/>
        </w:r>
        <w:r w:rsidR="00FE4F92">
          <w:rPr>
            <w:noProof/>
            <w:webHidden/>
          </w:rPr>
          <w:fldChar w:fldCharType="begin"/>
        </w:r>
        <w:r w:rsidR="00FE4F92">
          <w:rPr>
            <w:noProof/>
            <w:webHidden/>
          </w:rPr>
          <w:instrText xml:space="preserve"> PAGEREF _Toc533009178 \h </w:instrText>
        </w:r>
        <w:r w:rsidR="00FE4F92">
          <w:rPr>
            <w:noProof/>
            <w:webHidden/>
          </w:rPr>
        </w:r>
        <w:r w:rsidR="00FE4F92">
          <w:rPr>
            <w:noProof/>
            <w:webHidden/>
          </w:rPr>
          <w:fldChar w:fldCharType="separate"/>
        </w:r>
        <w:r w:rsidR="00FE4F92">
          <w:rPr>
            <w:noProof/>
            <w:webHidden/>
          </w:rPr>
          <w:t>4-13</w:t>
        </w:r>
        <w:r w:rsidR="00FE4F92">
          <w:rPr>
            <w:noProof/>
            <w:webHidden/>
          </w:rPr>
          <w:fldChar w:fldCharType="end"/>
        </w:r>
      </w:hyperlink>
    </w:p>
    <w:p w14:paraId="67BC67AD" w14:textId="00967A89" w:rsidR="00FE4F92" w:rsidRDefault="00FD7FEE">
      <w:pPr>
        <w:pStyle w:val="TOC1"/>
        <w:rPr>
          <w:rFonts w:asciiTheme="minorHAnsi" w:eastAsiaTheme="minorEastAsia" w:hAnsiTheme="minorHAnsi" w:cstheme="minorBidi"/>
          <w:b w:val="0"/>
          <w:smallCaps w:val="0"/>
          <w:sz w:val="22"/>
          <w:szCs w:val="22"/>
        </w:rPr>
      </w:pPr>
      <w:hyperlink w:anchor="_Toc533009179" w:history="1">
        <w:r w:rsidR="00FE4F92" w:rsidRPr="00F60F63">
          <w:rPr>
            <w:rStyle w:val="Hyperlink"/>
          </w:rPr>
          <w:t>5.</w:t>
        </w:r>
        <w:r w:rsidR="00FE4F92">
          <w:rPr>
            <w:rFonts w:asciiTheme="minorHAnsi" w:eastAsiaTheme="minorEastAsia" w:hAnsiTheme="minorHAnsi" w:cstheme="minorBidi"/>
            <w:b w:val="0"/>
            <w:smallCaps w:val="0"/>
            <w:sz w:val="22"/>
            <w:szCs w:val="22"/>
          </w:rPr>
          <w:tab/>
        </w:r>
        <w:r w:rsidR="00FE4F92" w:rsidRPr="00F60F63">
          <w:rPr>
            <w:rStyle w:val="Hyperlink"/>
          </w:rPr>
          <w:t>Conclusions and Next Steps</w:t>
        </w:r>
        <w:r w:rsidR="00FE4F92">
          <w:rPr>
            <w:webHidden/>
          </w:rPr>
          <w:tab/>
        </w:r>
        <w:r w:rsidR="00FE4F92">
          <w:rPr>
            <w:webHidden/>
          </w:rPr>
          <w:fldChar w:fldCharType="begin"/>
        </w:r>
        <w:r w:rsidR="00FE4F92">
          <w:rPr>
            <w:webHidden/>
          </w:rPr>
          <w:instrText xml:space="preserve"> PAGEREF _Toc533009179 \h </w:instrText>
        </w:r>
        <w:r w:rsidR="00FE4F92">
          <w:rPr>
            <w:webHidden/>
          </w:rPr>
        </w:r>
        <w:r w:rsidR="00FE4F92">
          <w:rPr>
            <w:webHidden/>
          </w:rPr>
          <w:fldChar w:fldCharType="separate"/>
        </w:r>
        <w:r w:rsidR="00FE4F92">
          <w:rPr>
            <w:webHidden/>
          </w:rPr>
          <w:t>5-1</w:t>
        </w:r>
        <w:r w:rsidR="00FE4F92">
          <w:rPr>
            <w:webHidden/>
          </w:rPr>
          <w:fldChar w:fldCharType="end"/>
        </w:r>
      </w:hyperlink>
    </w:p>
    <w:p w14:paraId="41E23F8C" w14:textId="79D62F51" w:rsidR="00FE4F92" w:rsidRDefault="00FD7FEE">
      <w:pPr>
        <w:pStyle w:val="TOC1"/>
        <w:rPr>
          <w:rFonts w:asciiTheme="minorHAnsi" w:eastAsiaTheme="minorEastAsia" w:hAnsiTheme="minorHAnsi" w:cstheme="minorBidi"/>
          <w:b w:val="0"/>
          <w:smallCaps w:val="0"/>
          <w:sz w:val="22"/>
          <w:szCs w:val="22"/>
        </w:rPr>
      </w:pPr>
      <w:hyperlink w:anchor="_Toc533009180" w:history="1">
        <w:r w:rsidR="00FE4F92" w:rsidRPr="00F60F63">
          <w:rPr>
            <w:rStyle w:val="Hyperlink"/>
          </w:rPr>
          <w:t>6.</w:t>
        </w:r>
        <w:r w:rsidR="00FE4F92">
          <w:rPr>
            <w:rFonts w:asciiTheme="minorHAnsi" w:eastAsiaTheme="minorEastAsia" w:hAnsiTheme="minorHAnsi" w:cstheme="minorBidi"/>
            <w:b w:val="0"/>
            <w:smallCaps w:val="0"/>
            <w:sz w:val="22"/>
            <w:szCs w:val="22"/>
          </w:rPr>
          <w:tab/>
        </w:r>
        <w:r w:rsidR="00FE4F92" w:rsidRPr="00F60F63">
          <w:rPr>
            <w:rStyle w:val="Hyperlink"/>
          </w:rPr>
          <w:t>References</w:t>
        </w:r>
        <w:r w:rsidR="00FE4F92">
          <w:rPr>
            <w:webHidden/>
          </w:rPr>
          <w:tab/>
        </w:r>
        <w:r w:rsidR="00FE4F92">
          <w:rPr>
            <w:webHidden/>
          </w:rPr>
          <w:fldChar w:fldCharType="begin"/>
        </w:r>
        <w:r w:rsidR="00FE4F92">
          <w:rPr>
            <w:webHidden/>
          </w:rPr>
          <w:instrText xml:space="preserve"> PAGEREF _Toc533009180 \h </w:instrText>
        </w:r>
        <w:r w:rsidR="00FE4F92">
          <w:rPr>
            <w:webHidden/>
          </w:rPr>
        </w:r>
        <w:r w:rsidR="00FE4F92">
          <w:rPr>
            <w:webHidden/>
          </w:rPr>
          <w:fldChar w:fldCharType="separate"/>
        </w:r>
        <w:r w:rsidR="00FE4F92">
          <w:rPr>
            <w:webHidden/>
          </w:rPr>
          <w:t>6-1</w:t>
        </w:r>
        <w:r w:rsidR="00FE4F92">
          <w:rPr>
            <w:webHidden/>
          </w:rPr>
          <w:fldChar w:fldCharType="end"/>
        </w:r>
      </w:hyperlink>
    </w:p>
    <w:p w14:paraId="17AA3AB3" w14:textId="5EECF090" w:rsidR="005866F1" w:rsidRDefault="00893683" w:rsidP="00893683">
      <w:pPr>
        <w:pStyle w:val="Subtitle2"/>
        <w:tabs>
          <w:tab w:val="right" w:leader="dot" w:pos="9346"/>
        </w:tabs>
        <w:jc w:val="left"/>
        <w:rPr>
          <w:rFonts w:ascii="Times New Roman" w:hAnsi="Times New Roman"/>
          <w:b w:val="0"/>
          <w:caps w:val="0"/>
        </w:rPr>
      </w:pPr>
      <w:r w:rsidRPr="00893683">
        <w:rPr>
          <w:rFonts w:ascii="Times New Roman" w:hAnsi="Times New Roman"/>
          <w:b w:val="0"/>
          <w:caps w:val="0"/>
        </w:rPr>
        <w:fldChar w:fldCharType="end"/>
      </w:r>
    </w:p>
    <w:p w14:paraId="2100BE2D" w14:textId="77777777" w:rsidR="008072BC" w:rsidRDefault="00893683">
      <w:pPr>
        <w:pStyle w:val="TableofFigures"/>
        <w:rPr>
          <w:rFonts w:asciiTheme="minorHAnsi" w:eastAsiaTheme="minorEastAsia" w:hAnsiTheme="minorHAnsi" w:cstheme="minorBidi"/>
          <w:noProof/>
          <w:sz w:val="22"/>
          <w:szCs w:val="22"/>
        </w:rPr>
      </w:pPr>
      <w:r w:rsidRPr="00893683">
        <w:rPr>
          <w:b/>
          <w:smallCaps/>
        </w:rPr>
        <w:fldChar w:fldCharType="begin"/>
      </w:r>
      <w:r w:rsidRPr="00893683">
        <w:rPr>
          <w:b/>
          <w:smallCaps/>
        </w:rPr>
        <w:instrText xml:space="preserve"> TOC \n \h \z \t "Heading 7" \c </w:instrText>
      </w:r>
      <w:r w:rsidRPr="00893683">
        <w:rPr>
          <w:b/>
          <w:smallCaps/>
        </w:rPr>
        <w:fldChar w:fldCharType="separate"/>
      </w:r>
      <w:hyperlink w:anchor="_Toc533004673" w:history="1">
        <w:r w:rsidR="008072BC" w:rsidRPr="00C554EA">
          <w:rPr>
            <w:rStyle w:val="Hyperlink"/>
            <w:noProof/>
          </w:rPr>
          <w:t>Appendix A : AWG Inventory Data Compiled</w:t>
        </w:r>
      </w:hyperlink>
    </w:p>
    <w:p w14:paraId="348C96FF" w14:textId="77777777" w:rsidR="008072BC" w:rsidRDefault="00FD7FEE">
      <w:pPr>
        <w:pStyle w:val="TableofFigures"/>
        <w:rPr>
          <w:rFonts w:asciiTheme="minorHAnsi" w:eastAsiaTheme="minorEastAsia" w:hAnsiTheme="minorHAnsi" w:cstheme="minorBidi"/>
          <w:noProof/>
          <w:sz w:val="22"/>
          <w:szCs w:val="22"/>
        </w:rPr>
      </w:pPr>
      <w:hyperlink w:anchor="_Toc533004674" w:history="1">
        <w:r w:rsidR="008072BC" w:rsidRPr="00C554EA">
          <w:rPr>
            <w:rStyle w:val="Hyperlink"/>
            <w:noProof/>
          </w:rPr>
          <w:t>Appendix B : Life Cycle Results Calculator</w:t>
        </w:r>
      </w:hyperlink>
    </w:p>
    <w:p w14:paraId="674320B6" w14:textId="6DF311DA" w:rsidR="00893683" w:rsidRDefault="00893683" w:rsidP="00893683">
      <w:pPr>
        <w:pStyle w:val="Subtitle2"/>
        <w:tabs>
          <w:tab w:val="right" w:leader="dot" w:pos="9346"/>
        </w:tabs>
        <w:jc w:val="left"/>
        <w:rPr>
          <w:b w:val="0"/>
          <w:smallCaps/>
        </w:rPr>
      </w:pPr>
      <w:r w:rsidRPr="00893683">
        <w:rPr>
          <w:smallCaps/>
        </w:rPr>
        <w:fldChar w:fldCharType="end"/>
      </w:r>
    </w:p>
    <w:p w14:paraId="070ECCED" w14:textId="74E768E1" w:rsidR="00893683" w:rsidRDefault="00893683" w:rsidP="00893683">
      <w:pPr>
        <w:pStyle w:val="Subtitle2"/>
        <w:tabs>
          <w:tab w:val="right" w:leader="dot" w:pos="9346"/>
        </w:tabs>
        <w:jc w:val="left"/>
        <w:rPr>
          <w:b w:val="0"/>
          <w:smallCaps/>
        </w:rPr>
        <w:sectPr w:rsidR="00893683" w:rsidSect="007A25EA">
          <w:headerReference w:type="first" r:id="rId15"/>
          <w:pgSz w:w="12240" w:h="15840" w:code="1"/>
          <w:pgMar w:top="1440" w:right="1440" w:bottom="1440" w:left="1440" w:header="720" w:footer="720" w:gutter="0"/>
          <w:pgNumType w:fmt="lowerRoman"/>
          <w:cols w:space="720"/>
          <w:titlePg/>
          <w:docGrid w:linePitch="326"/>
        </w:sectPr>
      </w:pPr>
    </w:p>
    <w:p w14:paraId="4D9EA490" w14:textId="0425D99E" w:rsidR="003C7054" w:rsidRDefault="003C7054" w:rsidP="00696274">
      <w:pPr>
        <w:pStyle w:val="Subtitle2"/>
      </w:pPr>
      <w:r>
        <w:lastRenderedPageBreak/>
        <w:t>List of Tables</w:t>
      </w:r>
    </w:p>
    <w:p w14:paraId="1C52F7C6" w14:textId="77777777" w:rsidR="005866F1" w:rsidRDefault="005866F1" w:rsidP="005866F1">
      <w:pPr>
        <w:pStyle w:val="Header"/>
        <w:pBdr>
          <w:bottom w:val="none" w:sz="0" w:space="0" w:color="auto"/>
        </w:pBdr>
        <w:rPr>
          <w:b/>
          <w:i w:val="0"/>
          <w:sz w:val="24"/>
          <w:szCs w:val="24"/>
        </w:rPr>
      </w:pPr>
      <w:r w:rsidRPr="00224D23">
        <w:rPr>
          <w:b/>
          <w:i w:val="0"/>
          <w:sz w:val="24"/>
          <w:szCs w:val="24"/>
        </w:rPr>
        <w:t>Page</w:t>
      </w:r>
    </w:p>
    <w:p w14:paraId="35F831EF" w14:textId="77777777" w:rsidR="005866F1" w:rsidRPr="00C477BE" w:rsidRDefault="005866F1" w:rsidP="005866F1">
      <w:pPr>
        <w:pStyle w:val="Header"/>
        <w:pBdr>
          <w:bottom w:val="none" w:sz="0" w:space="0" w:color="auto"/>
        </w:pBdr>
        <w:rPr>
          <w:i w:val="0"/>
          <w:color w:val="808080" w:themeColor="background1" w:themeShade="80"/>
        </w:rPr>
      </w:pPr>
    </w:p>
    <w:p w14:paraId="3CF6662A" w14:textId="4D0D4C0E" w:rsidR="00FE4F92" w:rsidRDefault="003C7054">
      <w:pPr>
        <w:pStyle w:val="TableofFigure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33009181" w:history="1">
        <w:r w:rsidR="00FE4F92" w:rsidRPr="008D4E0D">
          <w:rPr>
            <w:rStyle w:val="Hyperlink"/>
            <w:noProof/>
          </w:rPr>
          <w:t>Table 1. Vendor Specific LCA Parameters</w:t>
        </w:r>
        <w:r w:rsidR="00FE4F92">
          <w:rPr>
            <w:noProof/>
            <w:webHidden/>
          </w:rPr>
          <w:tab/>
        </w:r>
        <w:r w:rsidR="00FE4F92">
          <w:rPr>
            <w:noProof/>
            <w:webHidden/>
          </w:rPr>
          <w:fldChar w:fldCharType="begin"/>
        </w:r>
        <w:r w:rsidR="00FE4F92">
          <w:rPr>
            <w:noProof/>
            <w:webHidden/>
          </w:rPr>
          <w:instrText xml:space="preserve"> PAGEREF _Toc533009181 \h </w:instrText>
        </w:r>
        <w:r w:rsidR="00FE4F92">
          <w:rPr>
            <w:noProof/>
            <w:webHidden/>
          </w:rPr>
        </w:r>
        <w:r w:rsidR="00FE4F92">
          <w:rPr>
            <w:noProof/>
            <w:webHidden/>
          </w:rPr>
          <w:fldChar w:fldCharType="separate"/>
        </w:r>
        <w:r w:rsidR="00FE4F92">
          <w:rPr>
            <w:noProof/>
            <w:webHidden/>
          </w:rPr>
          <w:t>1-6</w:t>
        </w:r>
        <w:r w:rsidR="00FE4F92">
          <w:rPr>
            <w:noProof/>
            <w:webHidden/>
          </w:rPr>
          <w:fldChar w:fldCharType="end"/>
        </w:r>
      </w:hyperlink>
    </w:p>
    <w:p w14:paraId="53BA2370" w14:textId="7F63B26C" w:rsidR="00FE4F92" w:rsidRDefault="00FD7FEE">
      <w:pPr>
        <w:pStyle w:val="TableofFigures"/>
        <w:rPr>
          <w:rFonts w:asciiTheme="minorHAnsi" w:eastAsiaTheme="minorEastAsia" w:hAnsiTheme="minorHAnsi" w:cstheme="minorBidi"/>
          <w:noProof/>
          <w:sz w:val="22"/>
          <w:szCs w:val="22"/>
        </w:rPr>
      </w:pPr>
      <w:hyperlink w:anchor="_Toc533009182" w:history="1">
        <w:r w:rsidR="00FE4F92" w:rsidRPr="008D4E0D">
          <w:rPr>
            <w:rStyle w:val="Hyperlink"/>
            <w:noProof/>
          </w:rPr>
          <w:t>Table 2. Bottled Water Systems Studied</w:t>
        </w:r>
        <w:r w:rsidR="00FE4F92">
          <w:rPr>
            <w:noProof/>
            <w:webHidden/>
          </w:rPr>
          <w:tab/>
        </w:r>
        <w:r w:rsidR="00FE4F92">
          <w:rPr>
            <w:noProof/>
            <w:webHidden/>
          </w:rPr>
          <w:fldChar w:fldCharType="begin"/>
        </w:r>
        <w:r w:rsidR="00FE4F92">
          <w:rPr>
            <w:noProof/>
            <w:webHidden/>
          </w:rPr>
          <w:instrText xml:space="preserve"> PAGEREF _Toc533009182 \h </w:instrText>
        </w:r>
        <w:r w:rsidR="00FE4F92">
          <w:rPr>
            <w:noProof/>
            <w:webHidden/>
          </w:rPr>
        </w:r>
        <w:r w:rsidR="00FE4F92">
          <w:rPr>
            <w:noProof/>
            <w:webHidden/>
          </w:rPr>
          <w:fldChar w:fldCharType="separate"/>
        </w:r>
        <w:r w:rsidR="00FE4F92">
          <w:rPr>
            <w:noProof/>
            <w:webHidden/>
          </w:rPr>
          <w:t>1-7</w:t>
        </w:r>
        <w:r w:rsidR="00FE4F92">
          <w:rPr>
            <w:noProof/>
            <w:webHidden/>
          </w:rPr>
          <w:fldChar w:fldCharType="end"/>
        </w:r>
      </w:hyperlink>
    </w:p>
    <w:p w14:paraId="26EE52C9" w14:textId="716F83DC" w:rsidR="00FE4F92" w:rsidRDefault="00FD7FEE">
      <w:pPr>
        <w:pStyle w:val="TableofFigures"/>
        <w:rPr>
          <w:rFonts w:asciiTheme="minorHAnsi" w:eastAsiaTheme="minorEastAsia" w:hAnsiTheme="minorHAnsi" w:cstheme="minorBidi"/>
          <w:noProof/>
          <w:sz w:val="22"/>
          <w:szCs w:val="22"/>
        </w:rPr>
      </w:pPr>
      <w:hyperlink w:anchor="_Toc533009183" w:history="1">
        <w:r w:rsidR="00FE4F92" w:rsidRPr="008D4E0D">
          <w:rPr>
            <w:rStyle w:val="Hyperlink"/>
            <w:noProof/>
          </w:rPr>
          <w:t>Table 3. Sample Cost of Water Bottles</w:t>
        </w:r>
        <w:r w:rsidR="00FE4F92">
          <w:rPr>
            <w:noProof/>
            <w:webHidden/>
          </w:rPr>
          <w:tab/>
        </w:r>
        <w:r w:rsidR="00FE4F92">
          <w:rPr>
            <w:noProof/>
            <w:webHidden/>
          </w:rPr>
          <w:fldChar w:fldCharType="begin"/>
        </w:r>
        <w:r w:rsidR="00FE4F92">
          <w:rPr>
            <w:noProof/>
            <w:webHidden/>
          </w:rPr>
          <w:instrText xml:space="preserve"> PAGEREF _Toc533009183 \h </w:instrText>
        </w:r>
        <w:r w:rsidR="00FE4F92">
          <w:rPr>
            <w:noProof/>
            <w:webHidden/>
          </w:rPr>
        </w:r>
        <w:r w:rsidR="00FE4F92">
          <w:rPr>
            <w:noProof/>
            <w:webHidden/>
          </w:rPr>
          <w:fldChar w:fldCharType="separate"/>
        </w:r>
        <w:r w:rsidR="00FE4F92">
          <w:rPr>
            <w:noProof/>
            <w:webHidden/>
          </w:rPr>
          <w:t>1-8</w:t>
        </w:r>
        <w:r w:rsidR="00FE4F92">
          <w:rPr>
            <w:noProof/>
            <w:webHidden/>
          </w:rPr>
          <w:fldChar w:fldCharType="end"/>
        </w:r>
      </w:hyperlink>
    </w:p>
    <w:p w14:paraId="1FEAAD5B" w14:textId="2B70208F" w:rsidR="00FE4F92" w:rsidRDefault="00FD7FEE">
      <w:pPr>
        <w:pStyle w:val="TableofFigures"/>
        <w:rPr>
          <w:rFonts w:asciiTheme="minorHAnsi" w:eastAsiaTheme="minorEastAsia" w:hAnsiTheme="minorHAnsi" w:cstheme="minorBidi"/>
          <w:noProof/>
          <w:sz w:val="22"/>
          <w:szCs w:val="22"/>
        </w:rPr>
      </w:pPr>
      <w:hyperlink w:anchor="_Toc533009184" w:history="1">
        <w:r w:rsidR="00FE4F92" w:rsidRPr="008D4E0D">
          <w:rPr>
            <w:rStyle w:val="Hyperlink"/>
            <w:noProof/>
          </w:rPr>
          <w:t>Table 4. Scope of Impact Assessment</w:t>
        </w:r>
        <w:r w:rsidR="00FE4F92">
          <w:rPr>
            <w:noProof/>
            <w:webHidden/>
          </w:rPr>
          <w:tab/>
        </w:r>
        <w:r w:rsidR="00FE4F92">
          <w:rPr>
            <w:noProof/>
            <w:webHidden/>
          </w:rPr>
          <w:fldChar w:fldCharType="begin"/>
        </w:r>
        <w:r w:rsidR="00FE4F92">
          <w:rPr>
            <w:noProof/>
            <w:webHidden/>
          </w:rPr>
          <w:instrText xml:space="preserve"> PAGEREF _Toc533009184 \h </w:instrText>
        </w:r>
        <w:r w:rsidR="00FE4F92">
          <w:rPr>
            <w:noProof/>
            <w:webHidden/>
          </w:rPr>
        </w:r>
        <w:r w:rsidR="00FE4F92">
          <w:rPr>
            <w:noProof/>
            <w:webHidden/>
          </w:rPr>
          <w:fldChar w:fldCharType="separate"/>
        </w:r>
        <w:r w:rsidR="00FE4F92">
          <w:rPr>
            <w:noProof/>
            <w:webHidden/>
          </w:rPr>
          <w:t>1-11</w:t>
        </w:r>
        <w:r w:rsidR="00FE4F92">
          <w:rPr>
            <w:noProof/>
            <w:webHidden/>
          </w:rPr>
          <w:fldChar w:fldCharType="end"/>
        </w:r>
      </w:hyperlink>
    </w:p>
    <w:p w14:paraId="090948B7" w14:textId="511372A4" w:rsidR="00FE4F92" w:rsidRDefault="00FD7FEE">
      <w:pPr>
        <w:pStyle w:val="TableofFigures"/>
        <w:rPr>
          <w:rFonts w:asciiTheme="minorHAnsi" w:eastAsiaTheme="minorEastAsia" w:hAnsiTheme="minorHAnsi" w:cstheme="minorBidi"/>
          <w:noProof/>
          <w:sz w:val="22"/>
          <w:szCs w:val="22"/>
        </w:rPr>
      </w:pPr>
      <w:hyperlink w:anchor="_Toc533009185" w:history="1">
        <w:r w:rsidR="00FE4F92" w:rsidRPr="008D4E0D">
          <w:rPr>
            <w:rStyle w:val="Hyperlink"/>
            <w:noProof/>
          </w:rPr>
          <w:t>Table 5. EPA eGRID U.S. and Three Sub-Regions Electricity Generation Resource Mix 2014</w:t>
        </w:r>
        <w:r w:rsidR="00FE4F92">
          <w:rPr>
            <w:noProof/>
            <w:webHidden/>
          </w:rPr>
          <w:tab/>
        </w:r>
        <w:r w:rsidR="00FE4F92">
          <w:rPr>
            <w:noProof/>
            <w:webHidden/>
          </w:rPr>
          <w:fldChar w:fldCharType="begin"/>
        </w:r>
        <w:r w:rsidR="00FE4F92">
          <w:rPr>
            <w:noProof/>
            <w:webHidden/>
          </w:rPr>
          <w:instrText xml:space="preserve"> PAGEREF _Toc533009185 \h </w:instrText>
        </w:r>
        <w:r w:rsidR="00FE4F92">
          <w:rPr>
            <w:noProof/>
            <w:webHidden/>
          </w:rPr>
        </w:r>
        <w:r w:rsidR="00FE4F92">
          <w:rPr>
            <w:noProof/>
            <w:webHidden/>
          </w:rPr>
          <w:fldChar w:fldCharType="separate"/>
        </w:r>
        <w:r w:rsidR="00FE4F92">
          <w:rPr>
            <w:noProof/>
            <w:webHidden/>
          </w:rPr>
          <w:t>2-2</w:t>
        </w:r>
        <w:r w:rsidR="00FE4F92">
          <w:rPr>
            <w:noProof/>
            <w:webHidden/>
          </w:rPr>
          <w:fldChar w:fldCharType="end"/>
        </w:r>
      </w:hyperlink>
    </w:p>
    <w:p w14:paraId="443740FD" w14:textId="27AF0666" w:rsidR="00FE4F92" w:rsidRDefault="00FD7FEE">
      <w:pPr>
        <w:pStyle w:val="TableofFigures"/>
        <w:rPr>
          <w:rFonts w:asciiTheme="minorHAnsi" w:eastAsiaTheme="minorEastAsia" w:hAnsiTheme="minorHAnsi" w:cstheme="minorBidi"/>
          <w:noProof/>
          <w:sz w:val="22"/>
          <w:szCs w:val="22"/>
        </w:rPr>
      </w:pPr>
      <w:hyperlink w:anchor="_Toc533009186" w:history="1">
        <w:r w:rsidR="00FE4F92" w:rsidRPr="008D4E0D">
          <w:rPr>
            <w:rStyle w:val="Hyperlink"/>
            <w:noProof/>
          </w:rPr>
          <w:t>Table 6. AWG Performance by Scale and Vendor</w:t>
        </w:r>
        <w:r w:rsidR="00FE4F92">
          <w:rPr>
            <w:noProof/>
            <w:webHidden/>
          </w:rPr>
          <w:tab/>
        </w:r>
        <w:r w:rsidR="00FE4F92">
          <w:rPr>
            <w:noProof/>
            <w:webHidden/>
          </w:rPr>
          <w:fldChar w:fldCharType="begin"/>
        </w:r>
        <w:r w:rsidR="00FE4F92">
          <w:rPr>
            <w:noProof/>
            <w:webHidden/>
          </w:rPr>
          <w:instrText xml:space="preserve"> PAGEREF _Toc533009186 \h </w:instrText>
        </w:r>
        <w:r w:rsidR="00FE4F92">
          <w:rPr>
            <w:noProof/>
            <w:webHidden/>
          </w:rPr>
        </w:r>
        <w:r w:rsidR="00FE4F92">
          <w:rPr>
            <w:noProof/>
            <w:webHidden/>
          </w:rPr>
          <w:fldChar w:fldCharType="separate"/>
        </w:r>
        <w:r w:rsidR="00FE4F92">
          <w:rPr>
            <w:noProof/>
            <w:webHidden/>
          </w:rPr>
          <w:t>3-1</w:t>
        </w:r>
        <w:r w:rsidR="00FE4F92">
          <w:rPr>
            <w:noProof/>
            <w:webHidden/>
          </w:rPr>
          <w:fldChar w:fldCharType="end"/>
        </w:r>
      </w:hyperlink>
    </w:p>
    <w:p w14:paraId="16C4FFB5" w14:textId="24ABB19A" w:rsidR="00FE4F92" w:rsidRDefault="00FD7FEE">
      <w:pPr>
        <w:pStyle w:val="TableofFigures"/>
        <w:rPr>
          <w:rFonts w:asciiTheme="minorHAnsi" w:eastAsiaTheme="minorEastAsia" w:hAnsiTheme="minorHAnsi" w:cstheme="minorBidi"/>
          <w:noProof/>
          <w:sz w:val="22"/>
          <w:szCs w:val="22"/>
        </w:rPr>
      </w:pPr>
      <w:hyperlink w:anchor="_Toc533009187" w:history="1">
        <w:r w:rsidR="00FE4F92" w:rsidRPr="008D4E0D">
          <w:rPr>
            <w:rStyle w:val="Hyperlink"/>
            <w:noProof/>
          </w:rPr>
          <w:t>Table 7. Summary of AWG Scenarios</w:t>
        </w:r>
        <w:r w:rsidR="00FE4F92">
          <w:rPr>
            <w:noProof/>
            <w:webHidden/>
          </w:rPr>
          <w:tab/>
        </w:r>
        <w:r w:rsidR="00FE4F92">
          <w:rPr>
            <w:noProof/>
            <w:webHidden/>
          </w:rPr>
          <w:fldChar w:fldCharType="begin"/>
        </w:r>
        <w:r w:rsidR="00FE4F92">
          <w:rPr>
            <w:noProof/>
            <w:webHidden/>
          </w:rPr>
          <w:instrText xml:space="preserve"> PAGEREF _Toc533009187 \h </w:instrText>
        </w:r>
        <w:r w:rsidR="00FE4F92">
          <w:rPr>
            <w:noProof/>
            <w:webHidden/>
          </w:rPr>
        </w:r>
        <w:r w:rsidR="00FE4F92">
          <w:rPr>
            <w:noProof/>
            <w:webHidden/>
          </w:rPr>
          <w:fldChar w:fldCharType="separate"/>
        </w:r>
        <w:r w:rsidR="00FE4F92">
          <w:rPr>
            <w:noProof/>
            <w:webHidden/>
          </w:rPr>
          <w:t>3-2</w:t>
        </w:r>
        <w:r w:rsidR="00FE4F92">
          <w:rPr>
            <w:noProof/>
            <w:webHidden/>
          </w:rPr>
          <w:fldChar w:fldCharType="end"/>
        </w:r>
      </w:hyperlink>
    </w:p>
    <w:p w14:paraId="1E927568" w14:textId="6EF002EA" w:rsidR="00FE4F92" w:rsidRDefault="00FD7FEE">
      <w:pPr>
        <w:pStyle w:val="TableofFigures"/>
        <w:rPr>
          <w:rFonts w:asciiTheme="minorHAnsi" w:eastAsiaTheme="minorEastAsia" w:hAnsiTheme="minorHAnsi" w:cstheme="minorBidi"/>
          <w:noProof/>
          <w:sz w:val="22"/>
          <w:szCs w:val="22"/>
        </w:rPr>
      </w:pPr>
      <w:hyperlink w:anchor="_Toc533009188" w:history="1">
        <w:r w:rsidR="00FE4F92" w:rsidRPr="008D4E0D">
          <w:rPr>
            <w:rStyle w:val="Hyperlink"/>
            <w:noProof/>
          </w:rPr>
          <w:t>Table 8. Bottled Water Scenarios</w:t>
        </w:r>
        <w:r w:rsidR="00FE4F92">
          <w:rPr>
            <w:noProof/>
            <w:webHidden/>
          </w:rPr>
          <w:tab/>
        </w:r>
        <w:r w:rsidR="00FE4F92">
          <w:rPr>
            <w:noProof/>
            <w:webHidden/>
          </w:rPr>
          <w:fldChar w:fldCharType="begin"/>
        </w:r>
        <w:r w:rsidR="00FE4F92">
          <w:rPr>
            <w:noProof/>
            <w:webHidden/>
          </w:rPr>
          <w:instrText xml:space="preserve"> PAGEREF _Toc533009188 \h </w:instrText>
        </w:r>
        <w:r w:rsidR="00FE4F92">
          <w:rPr>
            <w:noProof/>
            <w:webHidden/>
          </w:rPr>
        </w:r>
        <w:r w:rsidR="00FE4F92">
          <w:rPr>
            <w:noProof/>
            <w:webHidden/>
          </w:rPr>
          <w:fldChar w:fldCharType="separate"/>
        </w:r>
        <w:r w:rsidR="00FE4F92">
          <w:rPr>
            <w:noProof/>
            <w:webHidden/>
          </w:rPr>
          <w:t>3-3</w:t>
        </w:r>
        <w:r w:rsidR="00FE4F92">
          <w:rPr>
            <w:noProof/>
            <w:webHidden/>
          </w:rPr>
          <w:fldChar w:fldCharType="end"/>
        </w:r>
      </w:hyperlink>
    </w:p>
    <w:p w14:paraId="73AEE886" w14:textId="7F6EDB57" w:rsidR="00FE4F92" w:rsidRDefault="00FD7FEE">
      <w:pPr>
        <w:pStyle w:val="TableofFigures"/>
        <w:rPr>
          <w:rFonts w:asciiTheme="minorHAnsi" w:eastAsiaTheme="minorEastAsia" w:hAnsiTheme="minorHAnsi" w:cstheme="minorBidi"/>
          <w:noProof/>
          <w:sz w:val="22"/>
          <w:szCs w:val="22"/>
        </w:rPr>
      </w:pPr>
      <w:hyperlink w:anchor="_Toc533009189" w:history="1">
        <w:r w:rsidR="00FE4F92" w:rsidRPr="008D4E0D">
          <w:rPr>
            <w:rStyle w:val="Hyperlink"/>
            <w:noProof/>
          </w:rPr>
          <w:t>Table 9. Summary Baseline LCA Results (per Liter Water Delivered)</w:t>
        </w:r>
        <w:r w:rsidR="00FE4F92">
          <w:rPr>
            <w:noProof/>
            <w:webHidden/>
          </w:rPr>
          <w:tab/>
        </w:r>
        <w:r w:rsidR="00FE4F92">
          <w:rPr>
            <w:noProof/>
            <w:webHidden/>
          </w:rPr>
          <w:fldChar w:fldCharType="begin"/>
        </w:r>
        <w:r w:rsidR="00FE4F92">
          <w:rPr>
            <w:noProof/>
            <w:webHidden/>
          </w:rPr>
          <w:instrText xml:space="preserve"> PAGEREF _Toc533009189 \h </w:instrText>
        </w:r>
        <w:r w:rsidR="00FE4F92">
          <w:rPr>
            <w:noProof/>
            <w:webHidden/>
          </w:rPr>
        </w:r>
        <w:r w:rsidR="00FE4F92">
          <w:rPr>
            <w:noProof/>
            <w:webHidden/>
          </w:rPr>
          <w:fldChar w:fldCharType="separate"/>
        </w:r>
        <w:r w:rsidR="00FE4F92">
          <w:rPr>
            <w:noProof/>
            <w:webHidden/>
          </w:rPr>
          <w:t>4-2</w:t>
        </w:r>
        <w:r w:rsidR="00FE4F92">
          <w:rPr>
            <w:noProof/>
            <w:webHidden/>
          </w:rPr>
          <w:fldChar w:fldCharType="end"/>
        </w:r>
      </w:hyperlink>
    </w:p>
    <w:p w14:paraId="181B6367" w14:textId="58A62B82" w:rsidR="00FE4F92" w:rsidRDefault="00FD7FEE">
      <w:pPr>
        <w:pStyle w:val="TableofFigures"/>
        <w:rPr>
          <w:rFonts w:asciiTheme="minorHAnsi" w:eastAsiaTheme="minorEastAsia" w:hAnsiTheme="minorHAnsi" w:cstheme="minorBidi"/>
          <w:noProof/>
          <w:sz w:val="22"/>
          <w:szCs w:val="22"/>
        </w:rPr>
      </w:pPr>
      <w:hyperlink w:anchor="_Toc533009190" w:history="1">
        <w:r w:rsidR="00FE4F92" w:rsidRPr="008D4E0D">
          <w:rPr>
            <w:rStyle w:val="Hyperlink"/>
            <w:noProof/>
          </w:rPr>
          <w:t>Table 10. Summary of Maximum Impact Scenario Results (per Liter Water Delivered)</w:t>
        </w:r>
        <w:r w:rsidR="00FE4F92">
          <w:rPr>
            <w:noProof/>
            <w:webHidden/>
          </w:rPr>
          <w:tab/>
        </w:r>
        <w:r w:rsidR="00FE4F92">
          <w:rPr>
            <w:noProof/>
            <w:webHidden/>
          </w:rPr>
          <w:fldChar w:fldCharType="begin"/>
        </w:r>
        <w:r w:rsidR="00FE4F92">
          <w:rPr>
            <w:noProof/>
            <w:webHidden/>
          </w:rPr>
          <w:instrText xml:space="preserve"> PAGEREF _Toc533009190 \h </w:instrText>
        </w:r>
        <w:r w:rsidR="00FE4F92">
          <w:rPr>
            <w:noProof/>
            <w:webHidden/>
          </w:rPr>
        </w:r>
        <w:r w:rsidR="00FE4F92">
          <w:rPr>
            <w:noProof/>
            <w:webHidden/>
          </w:rPr>
          <w:fldChar w:fldCharType="separate"/>
        </w:r>
        <w:r w:rsidR="00FE4F92">
          <w:rPr>
            <w:noProof/>
            <w:webHidden/>
          </w:rPr>
          <w:t>4-3</w:t>
        </w:r>
        <w:r w:rsidR="00FE4F92">
          <w:rPr>
            <w:noProof/>
            <w:webHidden/>
          </w:rPr>
          <w:fldChar w:fldCharType="end"/>
        </w:r>
      </w:hyperlink>
    </w:p>
    <w:p w14:paraId="6DC130AB" w14:textId="7421C9B0" w:rsidR="00FE4F92" w:rsidRDefault="00FD7FEE">
      <w:pPr>
        <w:pStyle w:val="TableofFigures"/>
        <w:rPr>
          <w:rFonts w:asciiTheme="minorHAnsi" w:eastAsiaTheme="minorEastAsia" w:hAnsiTheme="minorHAnsi" w:cstheme="minorBidi"/>
          <w:noProof/>
          <w:sz w:val="22"/>
          <w:szCs w:val="22"/>
        </w:rPr>
      </w:pPr>
      <w:hyperlink w:anchor="_Toc533009191" w:history="1">
        <w:r w:rsidR="00FE4F92" w:rsidRPr="008D4E0D">
          <w:rPr>
            <w:rStyle w:val="Hyperlink"/>
            <w:noProof/>
          </w:rPr>
          <w:t>Table 11. Summary of Minimum Impact Scenario Results (per Liter Water Delivered)</w:t>
        </w:r>
        <w:r w:rsidR="00FE4F92">
          <w:rPr>
            <w:noProof/>
            <w:webHidden/>
          </w:rPr>
          <w:tab/>
        </w:r>
        <w:r w:rsidR="00FE4F92">
          <w:rPr>
            <w:noProof/>
            <w:webHidden/>
          </w:rPr>
          <w:fldChar w:fldCharType="begin"/>
        </w:r>
        <w:r w:rsidR="00FE4F92">
          <w:rPr>
            <w:noProof/>
            <w:webHidden/>
          </w:rPr>
          <w:instrText xml:space="preserve"> PAGEREF _Toc533009191 \h </w:instrText>
        </w:r>
        <w:r w:rsidR="00FE4F92">
          <w:rPr>
            <w:noProof/>
            <w:webHidden/>
          </w:rPr>
        </w:r>
        <w:r w:rsidR="00FE4F92">
          <w:rPr>
            <w:noProof/>
            <w:webHidden/>
          </w:rPr>
          <w:fldChar w:fldCharType="separate"/>
        </w:r>
        <w:r w:rsidR="00FE4F92">
          <w:rPr>
            <w:noProof/>
            <w:webHidden/>
          </w:rPr>
          <w:t>4-3</w:t>
        </w:r>
        <w:r w:rsidR="00FE4F92">
          <w:rPr>
            <w:noProof/>
            <w:webHidden/>
          </w:rPr>
          <w:fldChar w:fldCharType="end"/>
        </w:r>
      </w:hyperlink>
    </w:p>
    <w:p w14:paraId="2775108D" w14:textId="79EF8F6F" w:rsidR="00FE4F92" w:rsidRDefault="00FD7FEE">
      <w:pPr>
        <w:pStyle w:val="TableofFigures"/>
        <w:rPr>
          <w:rFonts w:asciiTheme="minorHAnsi" w:eastAsiaTheme="minorEastAsia" w:hAnsiTheme="minorHAnsi" w:cstheme="minorBidi"/>
          <w:noProof/>
          <w:sz w:val="22"/>
          <w:szCs w:val="22"/>
        </w:rPr>
      </w:pPr>
      <w:hyperlink w:anchor="_Toc533009192" w:history="1">
        <w:r w:rsidR="00FE4F92" w:rsidRPr="008D4E0D">
          <w:rPr>
            <w:rStyle w:val="Hyperlink"/>
            <w:noProof/>
          </w:rPr>
          <w:t>Table 12. Single-serve Bottled Water Percent Contribution to Life Cycle Stage by Impact Category</w:t>
        </w:r>
        <w:r w:rsidR="00FE4F92">
          <w:rPr>
            <w:noProof/>
            <w:webHidden/>
          </w:rPr>
          <w:tab/>
        </w:r>
        <w:r w:rsidR="00FE4F92">
          <w:rPr>
            <w:noProof/>
            <w:webHidden/>
          </w:rPr>
          <w:fldChar w:fldCharType="begin"/>
        </w:r>
        <w:r w:rsidR="00FE4F92">
          <w:rPr>
            <w:noProof/>
            <w:webHidden/>
          </w:rPr>
          <w:instrText xml:space="preserve"> PAGEREF _Toc533009192 \h </w:instrText>
        </w:r>
        <w:r w:rsidR="00FE4F92">
          <w:rPr>
            <w:noProof/>
            <w:webHidden/>
          </w:rPr>
        </w:r>
        <w:r w:rsidR="00FE4F92">
          <w:rPr>
            <w:noProof/>
            <w:webHidden/>
          </w:rPr>
          <w:fldChar w:fldCharType="separate"/>
        </w:r>
        <w:r w:rsidR="00FE4F92">
          <w:rPr>
            <w:noProof/>
            <w:webHidden/>
          </w:rPr>
          <w:t>4-6</w:t>
        </w:r>
        <w:r w:rsidR="00FE4F92">
          <w:rPr>
            <w:noProof/>
            <w:webHidden/>
          </w:rPr>
          <w:fldChar w:fldCharType="end"/>
        </w:r>
      </w:hyperlink>
    </w:p>
    <w:p w14:paraId="5108B196" w14:textId="325AE09E" w:rsidR="00FE4F92" w:rsidRDefault="00FD7FEE">
      <w:pPr>
        <w:pStyle w:val="TableofFigures"/>
        <w:rPr>
          <w:rFonts w:asciiTheme="minorHAnsi" w:eastAsiaTheme="minorEastAsia" w:hAnsiTheme="minorHAnsi" w:cstheme="minorBidi"/>
          <w:noProof/>
          <w:sz w:val="22"/>
          <w:szCs w:val="22"/>
        </w:rPr>
      </w:pPr>
      <w:hyperlink w:anchor="_Toc533009193" w:history="1">
        <w:r w:rsidR="00FE4F92" w:rsidRPr="008D4E0D">
          <w:rPr>
            <w:rStyle w:val="Hyperlink"/>
            <w:noProof/>
          </w:rPr>
          <w:t>Table 13. Multi-Serve Bottled Water Percent Contribution to Life Cycle Stage by Impact Category</w:t>
        </w:r>
        <w:r w:rsidR="00FE4F92">
          <w:rPr>
            <w:noProof/>
            <w:webHidden/>
          </w:rPr>
          <w:tab/>
        </w:r>
        <w:r w:rsidR="00FE4F92">
          <w:rPr>
            <w:noProof/>
            <w:webHidden/>
          </w:rPr>
          <w:fldChar w:fldCharType="begin"/>
        </w:r>
        <w:r w:rsidR="00FE4F92">
          <w:rPr>
            <w:noProof/>
            <w:webHidden/>
          </w:rPr>
          <w:instrText xml:space="preserve"> PAGEREF _Toc533009193 \h </w:instrText>
        </w:r>
        <w:r w:rsidR="00FE4F92">
          <w:rPr>
            <w:noProof/>
            <w:webHidden/>
          </w:rPr>
        </w:r>
        <w:r w:rsidR="00FE4F92">
          <w:rPr>
            <w:noProof/>
            <w:webHidden/>
          </w:rPr>
          <w:fldChar w:fldCharType="separate"/>
        </w:r>
        <w:r w:rsidR="00FE4F92">
          <w:rPr>
            <w:noProof/>
            <w:webHidden/>
          </w:rPr>
          <w:t>4-6</w:t>
        </w:r>
        <w:r w:rsidR="00FE4F92">
          <w:rPr>
            <w:noProof/>
            <w:webHidden/>
          </w:rPr>
          <w:fldChar w:fldCharType="end"/>
        </w:r>
      </w:hyperlink>
    </w:p>
    <w:p w14:paraId="5591A274" w14:textId="25EBBEEB" w:rsidR="00FE4F92" w:rsidRDefault="00FD7FEE">
      <w:pPr>
        <w:pStyle w:val="TableofFigures"/>
        <w:rPr>
          <w:rFonts w:asciiTheme="minorHAnsi" w:eastAsiaTheme="minorEastAsia" w:hAnsiTheme="minorHAnsi" w:cstheme="minorBidi"/>
          <w:noProof/>
          <w:sz w:val="22"/>
          <w:szCs w:val="22"/>
        </w:rPr>
      </w:pPr>
      <w:hyperlink w:anchor="_Toc533009194" w:history="1">
        <w:r w:rsidR="00FE4F92" w:rsidRPr="008D4E0D">
          <w:rPr>
            <w:rStyle w:val="Hyperlink"/>
            <w:noProof/>
          </w:rPr>
          <w:t>Table 14. Regional Electricity Impacts per kWh</w:t>
        </w:r>
        <w:r w:rsidR="00FE4F92">
          <w:rPr>
            <w:noProof/>
            <w:webHidden/>
          </w:rPr>
          <w:tab/>
        </w:r>
        <w:r w:rsidR="00FE4F92">
          <w:rPr>
            <w:noProof/>
            <w:webHidden/>
          </w:rPr>
          <w:fldChar w:fldCharType="begin"/>
        </w:r>
        <w:r w:rsidR="00FE4F92">
          <w:rPr>
            <w:noProof/>
            <w:webHidden/>
          </w:rPr>
          <w:instrText xml:space="preserve"> PAGEREF _Toc533009194 \h </w:instrText>
        </w:r>
        <w:r w:rsidR="00FE4F92">
          <w:rPr>
            <w:noProof/>
            <w:webHidden/>
          </w:rPr>
        </w:r>
        <w:r w:rsidR="00FE4F92">
          <w:rPr>
            <w:noProof/>
            <w:webHidden/>
          </w:rPr>
          <w:fldChar w:fldCharType="separate"/>
        </w:r>
        <w:r w:rsidR="00FE4F92">
          <w:rPr>
            <w:noProof/>
            <w:webHidden/>
          </w:rPr>
          <w:t>4-8</w:t>
        </w:r>
        <w:r w:rsidR="00FE4F92">
          <w:rPr>
            <w:noProof/>
            <w:webHidden/>
          </w:rPr>
          <w:fldChar w:fldCharType="end"/>
        </w:r>
      </w:hyperlink>
    </w:p>
    <w:p w14:paraId="4F12299C" w14:textId="6082DE22" w:rsidR="00FE4F92" w:rsidRDefault="00FD7FEE">
      <w:pPr>
        <w:pStyle w:val="TableofFigures"/>
        <w:rPr>
          <w:rFonts w:asciiTheme="minorHAnsi" w:eastAsiaTheme="minorEastAsia" w:hAnsiTheme="minorHAnsi" w:cstheme="minorBidi"/>
          <w:noProof/>
          <w:sz w:val="22"/>
          <w:szCs w:val="22"/>
        </w:rPr>
      </w:pPr>
      <w:hyperlink w:anchor="_Toc533009195" w:history="1">
        <w:r w:rsidR="00FE4F92" w:rsidRPr="008D4E0D">
          <w:rPr>
            <w:rStyle w:val="Hyperlink"/>
            <w:noProof/>
          </w:rPr>
          <w:t>Table 15. Sensitivity to Recycling Allocation Method for the Single-Serve and Multi-serve Bottled Water Systems for Select Impact Categories when Shifting to System Expansion (per Liter Water Delivered)</w:t>
        </w:r>
        <w:r w:rsidR="00FE4F92">
          <w:rPr>
            <w:noProof/>
            <w:webHidden/>
          </w:rPr>
          <w:tab/>
        </w:r>
        <w:r w:rsidR="00FE4F92">
          <w:rPr>
            <w:noProof/>
            <w:webHidden/>
          </w:rPr>
          <w:fldChar w:fldCharType="begin"/>
        </w:r>
        <w:r w:rsidR="00FE4F92">
          <w:rPr>
            <w:noProof/>
            <w:webHidden/>
          </w:rPr>
          <w:instrText xml:space="preserve"> PAGEREF _Toc533009195 \h </w:instrText>
        </w:r>
        <w:r w:rsidR="00FE4F92">
          <w:rPr>
            <w:noProof/>
            <w:webHidden/>
          </w:rPr>
        </w:r>
        <w:r w:rsidR="00FE4F92">
          <w:rPr>
            <w:noProof/>
            <w:webHidden/>
          </w:rPr>
          <w:fldChar w:fldCharType="separate"/>
        </w:r>
        <w:r w:rsidR="00FE4F92">
          <w:rPr>
            <w:noProof/>
            <w:webHidden/>
          </w:rPr>
          <w:t>4-13</w:t>
        </w:r>
        <w:r w:rsidR="00FE4F92">
          <w:rPr>
            <w:noProof/>
            <w:webHidden/>
          </w:rPr>
          <w:fldChar w:fldCharType="end"/>
        </w:r>
      </w:hyperlink>
    </w:p>
    <w:p w14:paraId="06D32DFA" w14:textId="2939B79E" w:rsidR="00FE4F92" w:rsidRDefault="00FD7FEE">
      <w:pPr>
        <w:pStyle w:val="TableofFigures"/>
        <w:rPr>
          <w:rFonts w:asciiTheme="minorHAnsi" w:eastAsiaTheme="minorEastAsia" w:hAnsiTheme="minorHAnsi" w:cstheme="minorBidi"/>
          <w:noProof/>
          <w:sz w:val="22"/>
          <w:szCs w:val="22"/>
        </w:rPr>
      </w:pPr>
      <w:hyperlink w:anchor="_Toc533009196" w:history="1">
        <w:r w:rsidR="00FE4F92" w:rsidRPr="008D4E0D">
          <w:rPr>
            <w:rStyle w:val="Hyperlink"/>
            <w:noProof/>
          </w:rPr>
          <w:t>Table 16. Sensitivity to the Source of Water for the Single-serve and Multi-serve Bottled Water Systems for Select Impact Categories when Shifting to Municipal Water Treatment</w:t>
        </w:r>
        <w:r w:rsidR="00FE4F92">
          <w:rPr>
            <w:noProof/>
            <w:webHidden/>
          </w:rPr>
          <w:tab/>
        </w:r>
        <w:r w:rsidR="00FE4F92">
          <w:rPr>
            <w:noProof/>
            <w:webHidden/>
          </w:rPr>
          <w:fldChar w:fldCharType="begin"/>
        </w:r>
        <w:r w:rsidR="00FE4F92">
          <w:rPr>
            <w:noProof/>
            <w:webHidden/>
          </w:rPr>
          <w:instrText xml:space="preserve"> PAGEREF _Toc533009196 \h </w:instrText>
        </w:r>
        <w:r w:rsidR="00FE4F92">
          <w:rPr>
            <w:noProof/>
            <w:webHidden/>
          </w:rPr>
        </w:r>
        <w:r w:rsidR="00FE4F92">
          <w:rPr>
            <w:noProof/>
            <w:webHidden/>
          </w:rPr>
          <w:fldChar w:fldCharType="separate"/>
        </w:r>
        <w:r w:rsidR="00FE4F92">
          <w:rPr>
            <w:noProof/>
            <w:webHidden/>
          </w:rPr>
          <w:t>4-13</w:t>
        </w:r>
        <w:r w:rsidR="00FE4F92">
          <w:rPr>
            <w:noProof/>
            <w:webHidden/>
          </w:rPr>
          <w:fldChar w:fldCharType="end"/>
        </w:r>
      </w:hyperlink>
    </w:p>
    <w:p w14:paraId="6E977D4D" w14:textId="163F5FFB" w:rsidR="00FE4F92" w:rsidRDefault="00FD7FEE">
      <w:pPr>
        <w:pStyle w:val="TableofFigures"/>
        <w:rPr>
          <w:rFonts w:asciiTheme="minorHAnsi" w:eastAsiaTheme="minorEastAsia" w:hAnsiTheme="minorHAnsi" w:cstheme="minorBidi"/>
          <w:noProof/>
          <w:sz w:val="22"/>
          <w:szCs w:val="22"/>
        </w:rPr>
      </w:pPr>
      <w:hyperlink w:anchor="_Toc533009197" w:history="1">
        <w:r w:rsidR="00FE4F92" w:rsidRPr="008D4E0D">
          <w:rPr>
            <w:rStyle w:val="Hyperlink"/>
            <w:noProof/>
          </w:rPr>
          <w:t>Table 17. Standardized Costs per Liter of Water</w:t>
        </w:r>
        <w:r w:rsidR="00FE4F92">
          <w:rPr>
            <w:noProof/>
            <w:webHidden/>
          </w:rPr>
          <w:tab/>
        </w:r>
        <w:r w:rsidR="00FE4F92">
          <w:rPr>
            <w:noProof/>
            <w:webHidden/>
          </w:rPr>
          <w:fldChar w:fldCharType="begin"/>
        </w:r>
        <w:r w:rsidR="00FE4F92">
          <w:rPr>
            <w:noProof/>
            <w:webHidden/>
          </w:rPr>
          <w:instrText xml:space="preserve"> PAGEREF _Toc533009197 \h </w:instrText>
        </w:r>
        <w:r w:rsidR="00FE4F92">
          <w:rPr>
            <w:noProof/>
            <w:webHidden/>
          </w:rPr>
        </w:r>
        <w:r w:rsidR="00FE4F92">
          <w:rPr>
            <w:noProof/>
            <w:webHidden/>
          </w:rPr>
          <w:fldChar w:fldCharType="separate"/>
        </w:r>
        <w:r w:rsidR="00FE4F92">
          <w:rPr>
            <w:noProof/>
            <w:webHidden/>
          </w:rPr>
          <w:t>4-14</w:t>
        </w:r>
        <w:r w:rsidR="00FE4F92">
          <w:rPr>
            <w:noProof/>
            <w:webHidden/>
          </w:rPr>
          <w:fldChar w:fldCharType="end"/>
        </w:r>
      </w:hyperlink>
    </w:p>
    <w:p w14:paraId="5019BF35" w14:textId="1437D516" w:rsidR="009C0846" w:rsidRDefault="003C7054" w:rsidP="009D4613">
      <w:pPr>
        <w:pStyle w:val="TableofFigures"/>
        <w:ind w:left="0" w:firstLine="0"/>
        <w:sectPr w:rsidR="009C0846" w:rsidSect="005866F1">
          <w:headerReference w:type="default" r:id="rId16"/>
          <w:headerReference w:type="first" r:id="rId17"/>
          <w:pgSz w:w="12240" w:h="15840" w:code="1"/>
          <w:pgMar w:top="1440" w:right="1440" w:bottom="1440" w:left="1440" w:header="720" w:footer="720" w:gutter="0"/>
          <w:pgNumType w:fmt="lowerRoman"/>
          <w:cols w:space="720"/>
          <w:docGrid w:linePitch="326"/>
        </w:sectPr>
      </w:pPr>
      <w:r>
        <w:fldChar w:fldCharType="end"/>
      </w:r>
    </w:p>
    <w:p w14:paraId="54DB6730" w14:textId="5F533355" w:rsidR="00E87A66" w:rsidRDefault="005B7639" w:rsidP="00E87A66">
      <w:pPr>
        <w:pStyle w:val="Subtitle2"/>
      </w:pPr>
      <w:r w:rsidRPr="00887451">
        <w:lastRenderedPageBreak/>
        <w:t xml:space="preserve">List </w:t>
      </w:r>
      <w:r>
        <w:t>o</w:t>
      </w:r>
      <w:r w:rsidRPr="00887451">
        <w:t>f Figures</w:t>
      </w:r>
      <w:r w:rsidR="00E87A66" w:rsidRPr="00E87A66">
        <w:t xml:space="preserve"> </w:t>
      </w:r>
    </w:p>
    <w:p w14:paraId="0012765B" w14:textId="75E4837A" w:rsidR="00E87A66" w:rsidRDefault="00E87A66" w:rsidP="00E87A66">
      <w:pPr>
        <w:pStyle w:val="Header"/>
        <w:pBdr>
          <w:bottom w:val="none" w:sz="0" w:space="0" w:color="auto"/>
        </w:pBdr>
        <w:rPr>
          <w:b/>
          <w:i w:val="0"/>
          <w:sz w:val="24"/>
          <w:szCs w:val="24"/>
        </w:rPr>
      </w:pPr>
      <w:r w:rsidRPr="00224D23">
        <w:rPr>
          <w:b/>
          <w:i w:val="0"/>
          <w:sz w:val="24"/>
          <w:szCs w:val="24"/>
        </w:rPr>
        <w:t>Page</w:t>
      </w:r>
    </w:p>
    <w:p w14:paraId="5A94D8A1" w14:textId="77777777" w:rsidR="00E87A66" w:rsidRDefault="00E87A66" w:rsidP="00E87A66">
      <w:pPr>
        <w:pStyle w:val="Header"/>
        <w:pBdr>
          <w:bottom w:val="none" w:sz="0" w:space="0" w:color="auto"/>
        </w:pBdr>
        <w:rPr>
          <w:b/>
          <w:i w:val="0"/>
          <w:sz w:val="24"/>
          <w:szCs w:val="24"/>
        </w:rPr>
      </w:pPr>
    </w:p>
    <w:p w14:paraId="14181746" w14:textId="6058B264" w:rsidR="00FE4F92" w:rsidRDefault="00696274">
      <w:pPr>
        <w:pStyle w:val="TableofFigures"/>
        <w:rPr>
          <w:rFonts w:asciiTheme="minorHAnsi" w:eastAsiaTheme="minorEastAsia" w:hAnsiTheme="minorHAnsi" w:cstheme="minorBidi"/>
          <w:noProof/>
          <w:sz w:val="22"/>
          <w:szCs w:val="22"/>
        </w:rPr>
      </w:pPr>
      <w:r>
        <w:rPr>
          <w:rFonts w:ascii="Times New Roman Bold" w:hAnsi="Times New Roman Bold"/>
          <w:b/>
          <w:bCs/>
          <w:caps/>
          <w:szCs w:val="24"/>
        </w:rPr>
        <w:fldChar w:fldCharType="begin"/>
      </w:r>
      <w:r>
        <w:rPr>
          <w:rFonts w:ascii="Times New Roman Bold" w:hAnsi="Times New Roman Bold"/>
          <w:b/>
          <w:bCs/>
          <w:caps/>
          <w:szCs w:val="24"/>
        </w:rPr>
        <w:instrText xml:space="preserve"> TOC \h \z \c "Figure" </w:instrText>
      </w:r>
      <w:r>
        <w:rPr>
          <w:rFonts w:ascii="Times New Roman Bold" w:hAnsi="Times New Roman Bold"/>
          <w:b/>
          <w:bCs/>
          <w:caps/>
          <w:szCs w:val="24"/>
        </w:rPr>
        <w:fldChar w:fldCharType="separate"/>
      </w:r>
      <w:hyperlink w:anchor="_Toc533009198" w:history="1">
        <w:r w:rsidR="00FE4F92" w:rsidRPr="00E07991">
          <w:rPr>
            <w:rStyle w:val="Hyperlink"/>
            <w:noProof/>
          </w:rPr>
          <w:t>Figure 1. System boundary for atmospheric water generator.</w:t>
        </w:r>
        <w:r w:rsidR="00FE4F92">
          <w:rPr>
            <w:noProof/>
            <w:webHidden/>
          </w:rPr>
          <w:tab/>
        </w:r>
        <w:r w:rsidR="00FE4F92">
          <w:rPr>
            <w:noProof/>
            <w:webHidden/>
          </w:rPr>
          <w:fldChar w:fldCharType="begin"/>
        </w:r>
        <w:r w:rsidR="00FE4F92">
          <w:rPr>
            <w:noProof/>
            <w:webHidden/>
          </w:rPr>
          <w:instrText xml:space="preserve"> PAGEREF _Toc533009198 \h </w:instrText>
        </w:r>
        <w:r w:rsidR="00FE4F92">
          <w:rPr>
            <w:noProof/>
            <w:webHidden/>
          </w:rPr>
        </w:r>
        <w:r w:rsidR="00FE4F92">
          <w:rPr>
            <w:noProof/>
            <w:webHidden/>
          </w:rPr>
          <w:fldChar w:fldCharType="separate"/>
        </w:r>
        <w:r w:rsidR="00FE4F92">
          <w:rPr>
            <w:noProof/>
            <w:webHidden/>
          </w:rPr>
          <w:t>1-4</w:t>
        </w:r>
        <w:r w:rsidR="00FE4F92">
          <w:rPr>
            <w:noProof/>
            <w:webHidden/>
          </w:rPr>
          <w:fldChar w:fldCharType="end"/>
        </w:r>
      </w:hyperlink>
    </w:p>
    <w:p w14:paraId="7B418F33" w14:textId="04AF8DF5" w:rsidR="00FE4F92" w:rsidRDefault="00FD7FEE">
      <w:pPr>
        <w:pStyle w:val="TableofFigures"/>
        <w:rPr>
          <w:rFonts w:asciiTheme="minorHAnsi" w:eastAsiaTheme="minorEastAsia" w:hAnsiTheme="minorHAnsi" w:cstheme="minorBidi"/>
          <w:noProof/>
          <w:sz w:val="22"/>
          <w:szCs w:val="22"/>
        </w:rPr>
      </w:pPr>
      <w:hyperlink w:anchor="_Toc533009199" w:history="1">
        <w:r w:rsidR="00FE4F92" w:rsidRPr="00E07991">
          <w:rPr>
            <w:rStyle w:val="Hyperlink"/>
            <w:noProof/>
          </w:rPr>
          <w:t>Figure 2. Schematic overview of AWG unit operation – Watergen.</w:t>
        </w:r>
        <w:r w:rsidR="00FE4F92">
          <w:rPr>
            <w:noProof/>
            <w:webHidden/>
          </w:rPr>
          <w:tab/>
        </w:r>
        <w:r w:rsidR="00FE4F92">
          <w:rPr>
            <w:noProof/>
            <w:webHidden/>
          </w:rPr>
          <w:fldChar w:fldCharType="begin"/>
        </w:r>
        <w:r w:rsidR="00FE4F92">
          <w:rPr>
            <w:noProof/>
            <w:webHidden/>
          </w:rPr>
          <w:instrText xml:space="preserve"> PAGEREF _Toc533009199 \h </w:instrText>
        </w:r>
        <w:r w:rsidR="00FE4F92">
          <w:rPr>
            <w:noProof/>
            <w:webHidden/>
          </w:rPr>
        </w:r>
        <w:r w:rsidR="00FE4F92">
          <w:rPr>
            <w:noProof/>
            <w:webHidden/>
          </w:rPr>
          <w:fldChar w:fldCharType="separate"/>
        </w:r>
        <w:r w:rsidR="00FE4F92">
          <w:rPr>
            <w:noProof/>
            <w:webHidden/>
          </w:rPr>
          <w:t>1-5</w:t>
        </w:r>
        <w:r w:rsidR="00FE4F92">
          <w:rPr>
            <w:noProof/>
            <w:webHidden/>
          </w:rPr>
          <w:fldChar w:fldCharType="end"/>
        </w:r>
      </w:hyperlink>
    </w:p>
    <w:p w14:paraId="1D1F8F44" w14:textId="7657C938" w:rsidR="00FE4F92" w:rsidRDefault="00FD7FEE">
      <w:pPr>
        <w:pStyle w:val="TableofFigures"/>
        <w:rPr>
          <w:rFonts w:asciiTheme="minorHAnsi" w:eastAsiaTheme="minorEastAsia" w:hAnsiTheme="minorHAnsi" w:cstheme="minorBidi"/>
          <w:noProof/>
          <w:sz w:val="22"/>
          <w:szCs w:val="22"/>
        </w:rPr>
      </w:pPr>
      <w:hyperlink w:anchor="_Toc533009200" w:history="1">
        <w:r w:rsidR="00FE4F92" w:rsidRPr="00E07991">
          <w:rPr>
            <w:rStyle w:val="Hyperlink"/>
            <w:noProof/>
          </w:rPr>
          <w:t>Figure 3. Schematic overview of AWG unit operation – EcoloBlue (all scales).</w:t>
        </w:r>
        <w:r w:rsidR="00FE4F92">
          <w:rPr>
            <w:noProof/>
            <w:webHidden/>
          </w:rPr>
          <w:tab/>
        </w:r>
        <w:r w:rsidR="00FE4F92">
          <w:rPr>
            <w:noProof/>
            <w:webHidden/>
          </w:rPr>
          <w:fldChar w:fldCharType="begin"/>
        </w:r>
        <w:r w:rsidR="00FE4F92">
          <w:rPr>
            <w:noProof/>
            <w:webHidden/>
          </w:rPr>
          <w:instrText xml:space="preserve"> PAGEREF _Toc533009200 \h </w:instrText>
        </w:r>
        <w:r w:rsidR="00FE4F92">
          <w:rPr>
            <w:noProof/>
            <w:webHidden/>
          </w:rPr>
        </w:r>
        <w:r w:rsidR="00FE4F92">
          <w:rPr>
            <w:noProof/>
            <w:webHidden/>
          </w:rPr>
          <w:fldChar w:fldCharType="separate"/>
        </w:r>
        <w:r w:rsidR="00FE4F92">
          <w:rPr>
            <w:noProof/>
            <w:webHidden/>
          </w:rPr>
          <w:t>1-5</w:t>
        </w:r>
        <w:r w:rsidR="00FE4F92">
          <w:rPr>
            <w:noProof/>
            <w:webHidden/>
          </w:rPr>
          <w:fldChar w:fldCharType="end"/>
        </w:r>
      </w:hyperlink>
    </w:p>
    <w:p w14:paraId="5EC7E15E" w14:textId="54B8E55D" w:rsidR="00FE4F92" w:rsidRDefault="00FD7FEE">
      <w:pPr>
        <w:pStyle w:val="TableofFigures"/>
        <w:rPr>
          <w:rFonts w:asciiTheme="minorHAnsi" w:eastAsiaTheme="minorEastAsia" w:hAnsiTheme="minorHAnsi" w:cstheme="minorBidi"/>
          <w:noProof/>
          <w:sz w:val="22"/>
          <w:szCs w:val="22"/>
        </w:rPr>
      </w:pPr>
      <w:hyperlink w:anchor="_Toc533009201" w:history="1">
        <w:r w:rsidR="00FE4F92" w:rsidRPr="00E07991">
          <w:rPr>
            <w:rStyle w:val="Hyperlink"/>
            <w:noProof/>
          </w:rPr>
          <w:t>Figure 4. System boundary for single-serve bottled water analysis.</w:t>
        </w:r>
        <w:r w:rsidR="00FE4F92">
          <w:rPr>
            <w:noProof/>
            <w:webHidden/>
          </w:rPr>
          <w:tab/>
        </w:r>
        <w:r w:rsidR="00FE4F92">
          <w:rPr>
            <w:noProof/>
            <w:webHidden/>
          </w:rPr>
          <w:fldChar w:fldCharType="begin"/>
        </w:r>
        <w:r w:rsidR="00FE4F92">
          <w:rPr>
            <w:noProof/>
            <w:webHidden/>
          </w:rPr>
          <w:instrText xml:space="preserve"> PAGEREF _Toc533009201 \h </w:instrText>
        </w:r>
        <w:r w:rsidR="00FE4F92">
          <w:rPr>
            <w:noProof/>
            <w:webHidden/>
          </w:rPr>
        </w:r>
        <w:r w:rsidR="00FE4F92">
          <w:rPr>
            <w:noProof/>
            <w:webHidden/>
          </w:rPr>
          <w:fldChar w:fldCharType="separate"/>
        </w:r>
        <w:r w:rsidR="00FE4F92">
          <w:rPr>
            <w:noProof/>
            <w:webHidden/>
          </w:rPr>
          <w:t>1-9</w:t>
        </w:r>
        <w:r w:rsidR="00FE4F92">
          <w:rPr>
            <w:noProof/>
            <w:webHidden/>
          </w:rPr>
          <w:fldChar w:fldCharType="end"/>
        </w:r>
      </w:hyperlink>
    </w:p>
    <w:p w14:paraId="351DBFCC" w14:textId="4676127D" w:rsidR="00FE4F92" w:rsidRDefault="00FD7FEE">
      <w:pPr>
        <w:pStyle w:val="TableofFigures"/>
        <w:rPr>
          <w:rFonts w:asciiTheme="minorHAnsi" w:eastAsiaTheme="minorEastAsia" w:hAnsiTheme="minorHAnsi" w:cstheme="minorBidi"/>
          <w:noProof/>
          <w:sz w:val="22"/>
          <w:szCs w:val="22"/>
        </w:rPr>
      </w:pPr>
      <w:hyperlink w:anchor="_Toc533009202" w:history="1">
        <w:r w:rsidR="00FE4F92" w:rsidRPr="00E07991">
          <w:rPr>
            <w:rStyle w:val="Hyperlink"/>
            <w:noProof/>
          </w:rPr>
          <w:t>Figure 5. System boundary for multi-serve home delivery jug analysis.</w:t>
        </w:r>
        <w:r w:rsidR="00FE4F92">
          <w:rPr>
            <w:noProof/>
            <w:webHidden/>
          </w:rPr>
          <w:tab/>
        </w:r>
        <w:r w:rsidR="00FE4F92">
          <w:rPr>
            <w:noProof/>
            <w:webHidden/>
          </w:rPr>
          <w:fldChar w:fldCharType="begin"/>
        </w:r>
        <w:r w:rsidR="00FE4F92">
          <w:rPr>
            <w:noProof/>
            <w:webHidden/>
          </w:rPr>
          <w:instrText xml:space="preserve"> PAGEREF _Toc533009202 \h </w:instrText>
        </w:r>
        <w:r w:rsidR="00FE4F92">
          <w:rPr>
            <w:noProof/>
            <w:webHidden/>
          </w:rPr>
        </w:r>
        <w:r w:rsidR="00FE4F92">
          <w:rPr>
            <w:noProof/>
            <w:webHidden/>
          </w:rPr>
          <w:fldChar w:fldCharType="separate"/>
        </w:r>
        <w:r w:rsidR="00FE4F92">
          <w:rPr>
            <w:noProof/>
            <w:webHidden/>
          </w:rPr>
          <w:t>1-10</w:t>
        </w:r>
        <w:r w:rsidR="00FE4F92">
          <w:rPr>
            <w:noProof/>
            <w:webHidden/>
          </w:rPr>
          <w:fldChar w:fldCharType="end"/>
        </w:r>
      </w:hyperlink>
    </w:p>
    <w:p w14:paraId="5153B71F" w14:textId="0303E376" w:rsidR="00FE4F92" w:rsidRDefault="00FD7FEE">
      <w:pPr>
        <w:pStyle w:val="TableofFigures"/>
        <w:rPr>
          <w:rFonts w:asciiTheme="minorHAnsi" w:eastAsiaTheme="minorEastAsia" w:hAnsiTheme="minorHAnsi" w:cstheme="minorBidi"/>
          <w:noProof/>
          <w:sz w:val="22"/>
          <w:szCs w:val="22"/>
        </w:rPr>
      </w:pPr>
      <w:hyperlink w:anchor="_Toc533009203" w:history="1">
        <w:r w:rsidR="00FE4F92" w:rsidRPr="00E07991">
          <w:rPr>
            <w:rStyle w:val="Hyperlink"/>
            <w:noProof/>
          </w:rPr>
          <w:t>Figure 6. Map of eGRID subregions. Arrows point to subregions assessed for AWG operation.</w:t>
        </w:r>
        <w:r w:rsidR="00FE4F92">
          <w:rPr>
            <w:noProof/>
            <w:webHidden/>
          </w:rPr>
          <w:tab/>
        </w:r>
        <w:r w:rsidR="00FE4F92">
          <w:rPr>
            <w:noProof/>
            <w:webHidden/>
          </w:rPr>
          <w:fldChar w:fldCharType="begin"/>
        </w:r>
        <w:r w:rsidR="00FE4F92">
          <w:rPr>
            <w:noProof/>
            <w:webHidden/>
          </w:rPr>
          <w:instrText xml:space="preserve"> PAGEREF _Toc533009203 \h </w:instrText>
        </w:r>
        <w:r w:rsidR="00FE4F92">
          <w:rPr>
            <w:noProof/>
            <w:webHidden/>
          </w:rPr>
        </w:r>
        <w:r w:rsidR="00FE4F92">
          <w:rPr>
            <w:noProof/>
            <w:webHidden/>
          </w:rPr>
          <w:fldChar w:fldCharType="separate"/>
        </w:r>
        <w:r w:rsidR="00FE4F92">
          <w:rPr>
            <w:noProof/>
            <w:webHidden/>
          </w:rPr>
          <w:t>2-3</w:t>
        </w:r>
        <w:r w:rsidR="00FE4F92">
          <w:rPr>
            <w:noProof/>
            <w:webHidden/>
          </w:rPr>
          <w:fldChar w:fldCharType="end"/>
        </w:r>
      </w:hyperlink>
    </w:p>
    <w:p w14:paraId="13A4FB14" w14:textId="3A3C4C5C" w:rsidR="00FE4F92" w:rsidRDefault="00FD7FEE">
      <w:pPr>
        <w:pStyle w:val="TableofFigures"/>
        <w:rPr>
          <w:rFonts w:asciiTheme="minorHAnsi" w:eastAsiaTheme="minorEastAsia" w:hAnsiTheme="minorHAnsi" w:cstheme="minorBidi"/>
          <w:noProof/>
          <w:sz w:val="22"/>
          <w:szCs w:val="22"/>
        </w:rPr>
      </w:pPr>
      <w:hyperlink w:anchor="_Toc533009204" w:history="1">
        <w:r w:rsidR="00FE4F92" w:rsidRPr="00E07991">
          <w:rPr>
            <w:rStyle w:val="Hyperlink"/>
            <w:noProof/>
          </w:rPr>
          <w:t>Figure 7. Input values for the Appendix B results calculator. Available parameter values can be selected from the dropdowns in the green highlighted cells.</w:t>
        </w:r>
        <w:r w:rsidR="00FE4F92">
          <w:rPr>
            <w:noProof/>
            <w:webHidden/>
          </w:rPr>
          <w:tab/>
        </w:r>
        <w:r w:rsidR="00FE4F92">
          <w:rPr>
            <w:noProof/>
            <w:webHidden/>
          </w:rPr>
          <w:fldChar w:fldCharType="begin"/>
        </w:r>
        <w:r w:rsidR="00FE4F92">
          <w:rPr>
            <w:noProof/>
            <w:webHidden/>
          </w:rPr>
          <w:instrText xml:space="preserve"> PAGEREF _Toc533009204 \h </w:instrText>
        </w:r>
        <w:r w:rsidR="00FE4F92">
          <w:rPr>
            <w:noProof/>
            <w:webHidden/>
          </w:rPr>
        </w:r>
        <w:r w:rsidR="00FE4F92">
          <w:rPr>
            <w:noProof/>
            <w:webHidden/>
          </w:rPr>
          <w:fldChar w:fldCharType="separate"/>
        </w:r>
        <w:r w:rsidR="00FE4F92">
          <w:rPr>
            <w:noProof/>
            <w:webHidden/>
          </w:rPr>
          <w:t>4-1</w:t>
        </w:r>
        <w:r w:rsidR="00FE4F92">
          <w:rPr>
            <w:noProof/>
            <w:webHidden/>
          </w:rPr>
          <w:fldChar w:fldCharType="end"/>
        </w:r>
      </w:hyperlink>
    </w:p>
    <w:p w14:paraId="3B40E770" w14:textId="4C0AF59C" w:rsidR="00FE4F92" w:rsidRDefault="00FD7FEE">
      <w:pPr>
        <w:pStyle w:val="TableofFigures"/>
        <w:rPr>
          <w:rFonts w:asciiTheme="minorHAnsi" w:eastAsiaTheme="minorEastAsia" w:hAnsiTheme="minorHAnsi" w:cstheme="minorBidi"/>
          <w:noProof/>
          <w:sz w:val="22"/>
          <w:szCs w:val="22"/>
        </w:rPr>
      </w:pPr>
      <w:hyperlink w:anchor="_Toc533009205" w:history="1">
        <w:r w:rsidR="00FE4F92" w:rsidRPr="00E07991">
          <w:rPr>
            <w:rStyle w:val="Hyperlink"/>
            <w:noProof/>
          </w:rPr>
          <w:t>Figure 8. System comparison of life cycle impacts for large, medium and home/office scale for Watergen and Ecoloblue AWG venders along with the single-serve and multi-serve bottled water systems. Error bars show the range of impacts between the maximum and minimum impact scenarios for all systems as compared to the default scenario.</w:t>
        </w:r>
        <w:r w:rsidR="00FE4F92">
          <w:rPr>
            <w:noProof/>
            <w:webHidden/>
          </w:rPr>
          <w:tab/>
        </w:r>
        <w:r w:rsidR="00FE4F92">
          <w:rPr>
            <w:noProof/>
            <w:webHidden/>
          </w:rPr>
          <w:fldChar w:fldCharType="begin"/>
        </w:r>
        <w:r w:rsidR="00FE4F92">
          <w:rPr>
            <w:noProof/>
            <w:webHidden/>
          </w:rPr>
          <w:instrText xml:space="preserve"> PAGEREF _Toc533009205 \h </w:instrText>
        </w:r>
        <w:r w:rsidR="00FE4F92">
          <w:rPr>
            <w:noProof/>
            <w:webHidden/>
          </w:rPr>
        </w:r>
        <w:r w:rsidR="00FE4F92">
          <w:rPr>
            <w:noProof/>
            <w:webHidden/>
          </w:rPr>
          <w:fldChar w:fldCharType="separate"/>
        </w:r>
        <w:r w:rsidR="00FE4F92">
          <w:rPr>
            <w:noProof/>
            <w:webHidden/>
          </w:rPr>
          <w:t>4-2</w:t>
        </w:r>
        <w:r w:rsidR="00FE4F92">
          <w:rPr>
            <w:noProof/>
            <w:webHidden/>
          </w:rPr>
          <w:fldChar w:fldCharType="end"/>
        </w:r>
      </w:hyperlink>
    </w:p>
    <w:p w14:paraId="43FB7DDE" w14:textId="323C8AFC" w:rsidR="00FE4F92" w:rsidRDefault="00FD7FEE">
      <w:pPr>
        <w:pStyle w:val="TableofFigures"/>
        <w:rPr>
          <w:rFonts w:asciiTheme="minorHAnsi" w:eastAsiaTheme="minorEastAsia" w:hAnsiTheme="minorHAnsi" w:cstheme="minorBidi"/>
          <w:noProof/>
          <w:sz w:val="22"/>
          <w:szCs w:val="22"/>
        </w:rPr>
      </w:pPr>
      <w:hyperlink w:anchor="_Toc533009206" w:history="1">
        <w:r w:rsidR="00FE4F92" w:rsidRPr="00E07991">
          <w:rPr>
            <w:rStyle w:val="Hyperlink"/>
            <w:noProof/>
          </w:rPr>
          <w:t>Figure 9. Watergen percent contribution to life cycle stage by impact category.</w:t>
        </w:r>
        <w:r w:rsidR="00FE4F92">
          <w:rPr>
            <w:noProof/>
            <w:webHidden/>
          </w:rPr>
          <w:tab/>
        </w:r>
        <w:r w:rsidR="00FE4F92">
          <w:rPr>
            <w:noProof/>
            <w:webHidden/>
          </w:rPr>
          <w:fldChar w:fldCharType="begin"/>
        </w:r>
        <w:r w:rsidR="00FE4F92">
          <w:rPr>
            <w:noProof/>
            <w:webHidden/>
          </w:rPr>
          <w:instrText xml:space="preserve"> PAGEREF _Toc533009206 \h </w:instrText>
        </w:r>
        <w:r w:rsidR="00FE4F92">
          <w:rPr>
            <w:noProof/>
            <w:webHidden/>
          </w:rPr>
        </w:r>
        <w:r w:rsidR="00FE4F92">
          <w:rPr>
            <w:noProof/>
            <w:webHidden/>
          </w:rPr>
          <w:fldChar w:fldCharType="separate"/>
        </w:r>
        <w:r w:rsidR="00FE4F92">
          <w:rPr>
            <w:noProof/>
            <w:webHidden/>
          </w:rPr>
          <w:t>4-5</w:t>
        </w:r>
        <w:r w:rsidR="00FE4F92">
          <w:rPr>
            <w:noProof/>
            <w:webHidden/>
          </w:rPr>
          <w:fldChar w:fldCharType="end"/>
        </w:r>
      </w:hyperlink>
    </w:p>
    <w:p w14:paraId="221880BF" w14:textId="5D85CD36" w:rsidR="00FE4F92" w:rsidRDefault="00FD7FEE">
      <w:pPr>
        <w:pStyle w:val="TableofFigures"/>
        <w:rPr>
          <w:rFonts w:asciiTheme="minorHAnsi" w:eastAsiaTheme="minorEastAsia" w:hAnsiTheme="minorHAnsi" w:cstheme="minorBidi"/>
          <w:noProof/>
          <w:sz w:val="22"/>
          <w:szCs w:val="22"/>
        </w:rPr>
      </w:pPr>
      <w:hyperlink w:anchor="_Toc533009207" w:history="1">
        <w:r w:rsidR="00FE4F92" w:rsidRPr="00E07991">
          <w:rPr>
            <w:rStyle w:val="Hyperlink"/>
            <w:noProof/>
          </w:rPr>
          <w:t>Figure 10. Ecoloblue percent contribution to life cycle stage by impact category.</w:t>
        </w:r>
        <w:r w:rsidR="00FE4F92">
          <w:rPr>
            <w:noProof/>
            <w:webHidden/>
          </w:rPr>
          <w:tab/>
        </w:r>
        <w:r w:rsidR="00FE4F92">
          <w:rPr>
            <w:noProof/>
            <w:webHidden/>
          </w:rPr>
          <w:fldChar w:fldCharType="begin"/>
        </w:r>
        <w:r w:rsidR="00FE4F92">
          <w:rPr>
            <w:noProof/>
            <w:webHidden/>
          </w:rPr>
          <w:instrText xml:space="preserve"> PAGEREF _Toc533009207 \h </w:instrText>
        </w:r>
        <w:r w:rsidR="00FE4F92">
          <w:rPr>
            <w:noProof/>
            <w:webHidden/>
          </w:rPr>
        </w:r>
        <w:r w:rsidR="00FE4F92">
          <w:rPr>
            <w:noProof/>
            <w:webHidden/>
          </w:rPr>
          <w:fldChar w:fldCharType="separate"/>
        </w:r>
        <w:r w:rsidR="00FE4F92">
          <w:rPr>
            <w:noProof/>
            <w:webHidden/>
          </w:rPr>
          <w:t>4-5</w:t>
        </w:r>
        <w:r w:rsidR="00FE4F92">
          <w:rPr>
            <w:noProof/>
            <w:webHidden/>
          </w:rPr>
          <w:fldChar w:fldCharType="end"/>
        </w:r>
      </w:hyperlink>
    </w:p>
    <w:p w14:paraId="210FE3B9" w14:textId="3277F6A9" w:rsidR="00FE4F92" w:rsidRDefault="00FD7FEE">
      <w:pPr>
        <w:pStyle w:val="TableofFigures"/>
        <w:rPr>
          <w:rFonts w:asciiTheme="minorHAnsi" w:eastAsiaTheme="minorEastAsia" w:hAnsiTheme="minorHAnsi" w:cstheme="minorBidi"/>
          <w:noProof/>
          <w:sz w:val="22"/>
          <w:szCs w:val="22"/>
        </w:rPr>
      </w:pPr>
      <w:hyperlink w:anchor="_Toc533009208" w:history="1">
        <w:r w:rsidR="00FE4F92" w:rsidRPr="00E07991">
          <w:rPr>
            <w:rStyle w:val="Hyperlink"/>
            <w:noProof/>
          </w:rPr>
          <w:t>Figure 11. Impacts per day of large and medium scale AWG operation with Average U.S., RFCW, FRCC and CAMX eGRID locations shown as percent of maximum for select impact categories.</w:t>
        </w:r>
        <w:r w:rsidR="00FE4F92">
          <w:rPr>
            <w:noProof/>
            <w:webHidden/>
          </w:rPr>
          <w:tab/>
        </w:r>
        <w:r w:rsidR="00FE4F92">
          <w:rPr>
            <w:noProof/>
            <w:webHidden/>
          </w:rPr>
          <w:fldChar w:fldCharType="begin"/>
        </w:r>
        <w:r w:rsidR="00FE4F92">
          <w:rPr>
            <w:noProof/>
            <w:webHidden/>
          </w:rPr>
          <w:instrText xml:space="preserve"> PAGEREF _Toc533009208 \h </w:instrText>
        </w:r>
        <w:r w:rsidR="00FE4F92">
          <w:rPr>
            <w:noProof/>
            <w:webHidden/>
          </w:rPr>
        </w:r>
        <w:r w:rsidR="00FE4F92">
          <w:rPr>
            <w:noProof/>
            <w:webHidden/>
          </w:rPr>
          <w:fldChar w:fldCharType="separate"/>
        </w:r>
        <w:r w:rsidR="00FE4F92">
          <w:rPr>
            <w:noProof/>
            <w:webHidden/>
          </w:rPr>
          <w:t>4-9</w:t>
        </w:r>
        <w:r w:rsidR="00FE4F92">
          <w:rPr>
            <w:noProof/>
            <w:webHidden/>
          </w:rPr>
          <w:fldChar w:fldCharType="end"/>
        </w:r>
      </w:hyperlink>
    </w:p>
    <w:p w14:paraId="799FFCDB" w14:textId="6CA4E1EE" w:rsidR="00FE4F92" w:rsidRDefault="00FD7FEE">
      <w:pPr>
        <w:pStyle w:val="TableofFigures"/>
        <w:rPr>
          <w:rFonts w:asciiTheme="minorHAnsi" w:eastAsiaTheme="minorEastAsia" w:hAnsiTheme="minorHAnsi" w:cstheme="minorBidi"/>
          <w:noProof/>
          <w:sz w:val="22"/>
          <w:szCs w:val="22"/>
        </w:rPr>
      </w:pPr>
      <w:hyperlink w:anchor="_Toc533009209" w:history="1">
        <w:r w:rsidR="00FE4F92" w:rsidRPr="00E07991">
          <w:rPr>
            <w:rStyle w:val="Hyperlink"/>
            <w:noProof/>
          </w:rPr>
          <w:t>Figure 12. Percent of maximum impacts of average daily water produced with error bars showing the range of impacts associated with maximum and minimum daily water produced.</w:t>
        </w:r>
        <w:r w:rsidR="00FE4F92">
          <w:rPr>
            <w:noProof/>
            <w:webHidden/>
          </w:rPr>
          <w:tab/>
        </w:r>
        <w:r w:rsidR="00FE4F92">
          <w:rPr>
            <w:noProof/>
            <w:webHidden/>
          </w:rPr>
          <w:fldChar w:fldCharType="begin"/>
        </w:r>
        <w:r w:rsidR="00FE4F92">
          <w:rPr>
            <w:noProof/>
            <w:webHidden/>
          </w:rPr>
          <w:instrText xml:space="preserve"> PAGEREF _Toc533009209 \h </w:instrText>
        </w:r>
        <w:r w:rsidR="00FE4F92">
          <w:rPr>
            <w:noProof/>
            <w:webHidden/>
          </w:rPr>
        </w:r>
        <w:r w:rsidR="00FE4F92">
          <w:rPr>
            <w:noProof/>
            <w:webHidden/>
          </w:rPr>
          <w:fldChar w:fldCharType="separate"/>
        </w:r>
        <w:r w:rsidR="00FE4F92">
          <w:rPr>
            <w:noProof/>
            <w:webHidden/>
          </w:rPr>
          <w:t>4-10</w:t>
        </w:r>
        <w:r w:rsidR="00FE4F92">
          <w:rPr>
            <w:noProof/>
            <w:webHidden/>
          </w:rPr>
          <w:fldChar w:fldCharType="end"/>
        </w:r>
      </w:hyperlink>
    </w:p>
    <w:p w14:paraId="09B456CC" w14:textId="6890B723" w:rsidR="00FE4F92" w:rsidRDefault="00FD7FEE">
      <w:pPr>
        <w:pStyle w:val="TableofFigures"/>
        <w:rPr>
          <w:rFonts w:asciiTheme="minorHAnsi" w:eastAsiaTheme="minorEastAsia" w:hAnsiTheme="minorHAnsi" w:cstheme="minorBidi"/>
          <w:noProof/>
          <w:sz w:val="22"/>
          <w:szCs w:val="22"/>
        </w:rPr>
      </w:pPr>
      <w:hyperlink w:anchor="_Toc533009210" w:history="1">
        <w:r w:rsidR="00FE4F92" w:rsidRPr="00E07991">
          <w:rPr>
            <w:rStyle w:val="Hyperlink"/>
            <w:noProof/>
          </w:rPr>
          <w:t>Figure 13. Sensitivity to bottle weights of 9.3g (minimum) and 10.9g (maximum) and recycled contents (RC) of 0 percent and 10 percent.</w:t>
        </w:r>
        <w:r w:rsidR="00FE4F92">
          <w:rPr>
            <w:noProof/>
            <w:webHidden/>
          </w:rPr>
          <w:tab/>
        </w:r>
        <w:r w:rsidR="00FE4F92">
          <w:rPr>
            <w:noProof/>
            <w:webHidden/>
          </w:rPr>
          <w:fldChar w:fldCharType="begin"/>
        </w:r>
        <w:r w:rsidR="00FE4F92">
          <w:rPr>
            <w:noProof/>
            <w:webHidden/>
          </w:rPr>
          <w:instrText xml:space="preserve"> PAGEREF _Toc533009210 \h </w:instrText>
        </w:r>
        <w:r w:rsidR="00FE4F92">
          <w:rPr>
            <w:noProof/>
            <w:webHidden/>
          </w:rPr>
        </w:r>
        <w:r w:rsidR="00FE4F92">
          <w:rPr>
            <w:noProof/>
            <w:webHidden/>
          </w:rPr>
          <w:fldChar w:fldCharType="separate"/>
        </w:r>
        <w:r w:rsidR="00FE4F92">
          <w:rPr>
            <w:noProof/>
            <w:webHidden/>
          </w:rPr>
          <w:t>4-11</w:t>
        </w:r>
        <w:r w:rsidR="00FE4F92">
          <w:rPr>
            <w:noProof/>
            <w:webHidden/>
          </w:rPr>
          <w:fldChar w:fldCharType="end"/>
        </w:r>
      </w:hyperlink>
    </w:p>
    <w:p w14:paraId="66727FB0" w14:textId="4B82B867" w:rsidR="00FE4F92" w:rsidRDefault="00FD7FEE">
      <w:pPr>
        <w:pStyle w:val="TableofFigures"/>
        <w:rPr>
          <w:rFonts w:asciiTheme="minorHAnsi" w:eastAsiaTheme="minorEastAsia" w:hAnsiTheme="minorHAnsi" w:cstheme="minorBidi"/>
          <w:noProof/>
          <w:sz w:val="22"/>
          <w:szCs w:val="22"/>
        </w:rPr>
      </w:pPr>
      <w:hyperlink w:anchor="_Toc533009211" w:history="1">
        <w:r w:rsidR="00FE4F92" w:rsidRPr="00E07991">
          <w:rPr>
            <w:rStyle w:val="Hyperlink"/>
            <w:noProof/>
          </w:rPr>
          <w:t>Figure 14. Sensitivity to transportation distance of reusable jug to and from the user.</w:t>
        </w:r>
        <w:r w:rsidR="00FE4F92">
          <w:rPr>
            <w:noProof/>
            <w:webHidden/>
          </w:rPr>
          <w:tab/>
        </w:r>
        <w:r w:rsidR="00FE4F92">
          <w:rPr>
            <w:noProof/>
            <w:webHidden/>
          </w:rPr>
          <w:fldChar w:fldCharType="begin"/>
        </w:r>
        <w:r w:rsidR="00FE4F92">
          <w:rPr>
            <w:noProof/>
            <w:webHidden/>
          </w:rPr>
          <w:instrText xml:space="preserve"> PAGEREF _Toc533009211 \h </w:instrText>
        </w:r>
        <w:r w:rsidR="00FE4F92">
          <w:rPr>
            <w:noProof/>
            <w:webHidden/>
          </w:rPr>
        </w:r>
        <w:r w:rsidR="00FE4F92">
          <w:rPr>
            <w:noProof/>
            <w:webHidden/>
          </w:rPr>
          <w:fldChar w:fldCharType="separate"/>
        </w:r>
        <w:r w:rsidR="00FE4F92">
          <w:rPr>
            <w:noProof/>
            <w:webHidden/>
          </w:rPr>
          <w:t>4-12</w:t>
        </w:r>
        <w:r w:rsidR="00FE4F92">
          <w:rPr>
            <w:noProof/>
            <w:webHidden/>
          </w:rPr>
          <w:fldChar w:fldCharType="end"/>
        </w:r>
      </w:hyperlink>
    </w:p>
    <w:p w14:paraId="57BC9665" w14:textId="3788BF1A" w:rsidR="00DD2E6F" w:rsidRDefault="00696274">
      <w:pPr>
        <w:tabs>
          <w:tab w:val="left" w:pos="0"/>
          <w:tab w:val="right" w:leader="dot" w:pos="9360"/>
        </w:tabs>
        <w:ind w:right="1377"/>
        <w:rPr>
          <w:rFonts w:ascii="Times New Roman Bold" w:hAnsi="Times New Roman Bold"/>
          <w:b/>
          <w:bCs/>
          <w:caps/>
          <w:szCs w:val="24"/>
        </w:rPr>
        <w:sectPr w:rsidR="00DD2E6F" w:rsidSect="007A25EA">
          <w:headerReference w:type="default" r:id="rId18"/>
          <w:headerReference w:type="first" r:id="rId19"/>
          <w:pgSz w:w="12240" w:h="15840" w:code="1"/>
          <w:pgMar w:top="1440" w:right="1440" w:bottom="1440" w:left="1440" w:header="720" w:footer="720" w:gutter="0"/>
          <w:pgNumType w:fmt="lowerRoman"/>
          <w:cols w:space="720"/>
          <w:titlePg/>
          <w:docGrid w:linePitch="326"/>
        </w:sectPr>
      </w:pPr>
      <w:r>
        <w:rPr>
          <w:rFonts w:ascii="Times New Roman Bold" w:hAnsi="Times New Roman Bold"/>
          <w:b/>
          <w:bCs/>
          <w:caps/>
          <w:szCs w:val="24"/>
        </w:rPr>
        <w:fldChar w:fldCharType="end"/>
      </w:r>
    </w:p>
    <w:p w14:paraId="6AD2B59E" w14:textId="6F8E28E7" w:rsidR="00DA6D28" w:rsidRDefault="00F874C9" w:rsidP="00DA6D28">
      <w:pPr>
        <w:pStyle w:val="Heading1"/>
      </w:pPr>
      <w:bookmarkStart w:id="7" w:name="_Toc525246192"/>
      <w:bookmarkStart w:id="8" w:name="_Toc533009150"/>
      <w:bookmarkStart w:id="9" w:name="_Ref406505137"/>
      <w:r>
        <w:lastRenderedPageBreak/>
        <w:t>Goal and</w:t>
      </w:r>
      <w:r w:rsidR="00DA6D28">
        <w:t xml:space="preserve"> Scope Definition</w:t>
      </w:r>
      <w:bookmarkEnd w:id="7"/>
      <w:bookmarkEnd w:id="8"/>
    </w:p>
    <w:p w14:paraId="4F710E00" w14:textId="161E8E05" w:rsidR="00BD00E6" w:rsidRDefault="000C6707" w:rsidP="00BB46AD">
      <w:pPr>
        <w:pStyle w:val="BodyText"/>
      </w:pPr>
      <w:r>
        <w:t>A</w:t>
      </w:r>
      <w:r w:rsidR="00667B64">
        <w:t>cross the U.S.</w:t>
      </w:r>
      <w:r>
        <w:t xml:space="preserve">, there is a </w:t>
      </w:r>
      <w:r w:rsidR="00667B64">
        <w:t>need to provide potable drinking water to communit</w:t>
      </w:r>
      <w:r>
        <w:t>ies</w:t>
      </w:r>
      <w:r w:rsidR="00667B64">
        <w:t xml:space="preserve"> in situations where </w:t>
      </w:r>
      <w:r w:rsidR="00372BEF">
        <w:t>treated municipal water is not accessible or is compromised</w:t>
      </w:r>
      <w:r w:rsidR="00667B64">
        <w:t xml:space="preserve">. </w:t>
      </w:r>
      <w:r w:rsidR="001309DE">
        <w:t>Traditionally</w:t>
      </w:r>
      <w:r w:rsidR="00B52B58">
        <w:t>,</w:t>
      </w:r>
      <w:r w:rsidR="001309DE">
        <w:t xml:space="preserve"> bottled water has been supplied to </w:t>
      </w:r>
      <w:r w:rsidR="00923B2B">
        <w:t>a</w:t>
      </w:r>
      <w:r w:rsidR="001309DE">
        <w:t>ffected populations in the U.S.</w:t>
      </w:r>
      <w:r w:rsidR="00A266FC">
        <w:t>,</w:t>
      </w:r>
      <w:r w:rsidR="001309DE">
        <w:t xml:space="preserve"> but there are some emerging technologies</w:t>
      </w:r>
      <w:r w:rsidR="00E4690C">
        <w:t>,</w:t>
      </w:r>
      <w:r w:rsidR="001309DE">
        <w:t xml:space="preserve"> such as atmospheric water generators (AWG</w:t>
      </w:r>
      <w:r w:rsidR="00E4690C">
        <w:t>s</w:t>
      </w:r>
      <w:r w:rsidR="001309DE">
        <w:t>) that can</w:t>
      </w:r>
      <w:r w:rsidR="00372BEF">
        <w:t xml:space="preserve"> produce water on</w:t>
      </w:r>
      <w:r w:rsidR="001309DE">
        <w:t>-</w:t>
      </w:r>
      <w:r w:rsidR="00372BEF">
        <w:t>site using ambient humidity and energy supply</w:t>
      </w:r>
      <w:r w:rsidR="00E4690C">
        <w:t xml:space="preserve"> from the </w:t>
      </w:r>
      <w:r w:rsidR="00916177">
        <w:t xml:space="preserve">electrical </w:t>
      </w:r>
      <w:r w:rsidR="00E4690C">
        <w:t>grid</w:t>
      </w:r>
      <w:r w:rsidR="00372BEF">
        <w:t>. While such systems are still in early stages of production</w:t>
      </w:r>
      <w:r w:rsidR="005905C1">
        <w:t xml:space="preserve"> and use</w:t>
      </w:r>
      <w:r w:rsidR="00372BEF">
        <w:t xml:space="preserve">, the findings of this study can </w:t>
      </w:r>
      <w:r w:rsidR="006C41BE">
        <w:t>help</w:t>
      </w:r>
      <w:r w:rsidR="00372BEF">
        <w:t xml:space="preserve"> identif</w:t>
      </w:r>
      <w:r w:rsidR="00FE4D1C">
        <w:t>y</w:t>
      </w:r>
      <w:r w:rsidR="00372BEF">
        <w:t xml:space="preserve"> hotspots in the life cycle </w:t>
      </w:r>
      <w:r w:rsidR="00C77A97">
        <w:t>stages</w:t>
      </w:r>
      <w:r w:rsidR="00FE4D1C">
        <w:t xml:space="preserve"> </w:t>
      </w:r>
      <w:r w:rsidR="00467BA2">
        <w:t xml:space="preserve">of AWGs </w:t>
      </w:r>
      <w:r w:rsidR="00FE4D1C">
        <w:t>in order to evaluate their e</w:t>
      </w:r>
      <w:r w:rsidR="00F8617C">
        <w:t>nvironmental impact</w:t>
      </w:r>
      <w:r w:rsidR="00FE4D1C">
        <w:t xml:space="preserve"> </w:t>
      </w:r>
      <w:r w:rsidR="00F8617C">
        <w:t xml:space="preserve">and cost </w:t>
      </w:r>
      <w:r w:rsidR="00FE4D1C">
        <w:t xml:space="preserve">as </w:t>
      </w:r>
      <w:r w:rsidR="00467BA2">
        <w:t xml:space="preserve">a </w:t>
      </w:r>
      <w:r w:rsidR="00FE4D1C">
        <w:t xml:space="preserve">source of </w:t>
      </w:r>
      <w:r w:rsidR="00467BA2">
        <w:t xml:space="preserve">drinking </w:t>
      </w:r>
      <w:r w:rsidR="00FE4D1C">
        <w:t xml:space="preserve">water </w:t>
      </w:r>
      <w:r w:rsidR="00FE4D1C">
        <w:rPr>
          <w:color w:val="000000" w:themeColor="text1"/>
          <w:szCs w:val="24"/>
        </w:rPr>
        <w:t>supply</w:t>
      </w:r>
      <w:r w:rsidR="00FE4D1C" w:rsidRPr="00291303">
        <w:rPr>
          <w:color w:val="000000" w:themeColor="text1"/>
          <w:szCs w:val="24"/>
        </w:rPr>
        <w:t xml:space="preserve"> in disaster/emergency </w:t>
      </w:r>
      <w:r w:rsidR="00FE4D1C">
        <w:rPr>
          <w:color w:val="000000" w:themeColor="text1"/>
          <w:szCs w:val="24"/>
        </w:rPr>
        <w:t>situations</w:t>
      </w:r>
      <w:r w:rsidR="00C77A97">
        <w:t xml:space="preserve">. </w:t>
      </w:r>
      <w:r w:rsidR="00667B64">
        <w:t xml:space="preserve">This study </w:t>
      </w:r>
      <w:r w:rsidR="00822C5F">
        <w:t xml:space="preserve">also </w:t>
      </w:r>
      <w:r w:rsidR="00A77DA3">
        <w:t xml:space="preserve">compares </w:t>
      </w:r>
      <w:r w:rsidR="00667B64">
        <w:t xml:space="preserve">the </w:t>
      </w:r>
      <w:r w:rsidR="00F8617C">
        <w:t xml:space="preserve">relative </w:t>
      </w:r>
      <w:r w:rsidR="00667B64">
        <w:t xml:space="preserve">environmental and cost </w:t>
      </w:r>
      <w:r w:rsidR="00A77DA3">
        <w:t>performance</w:t>
      </w:r>
      <w:r w:rsidR="00667B64">
        <w:t xml:space="preserve"> of</w:t>
      </w:r>
      <w:r w:rsidR="00372BEF">
        <w:t xml:space="preserve"> AWGs, single</w:t>
      </w:r>
      <w:r w:rsidR="00E4690C">
        <w:t>-</w:t>
      </w:r>
      <w:r w:rsidR="00372BEF">
        <w:t>serve bottles, and multi-serve reusable jugs</w:t>
      </w:r>
      <w:r w:rsidR="00A77DA3">
        <w:t xml:space="preserve"> as emergency water supply options.</w:t>
      </w:r>
    </w:p>
    <w:p w14:paraId="714C2C4F" w14:textId="504FFFF0" w:rsidR="00E41AB0" w:rsidRDefault="00E41AB0" w:rsidP="003C5EF0">
      <w:pPr>
        <w:pStyle w:val="Heading2"/>
      </w:pPr>
      <w:bookmarkStart w:id="10" w:name="_Toc525246193"/>
      <w:bookmarkStart w:id="11" w:name="_Toc533009151"/>
      <w:r w:rsidRPr="00BB3A30">
        <w:t>Introduction</w:t>
      </w:r>
      <w:r w:rsidR="00E51E41" w:rsidRPr="00BB3A30">
        <w:t xml:space="preserve"> and </w:t>
      </w:r>
      <w:bookmarkEnd w:id="9"/>
      <w:r w:rsidR="008629D7" w:rsidRPr="00BB3A30">
        <w:t>Objective</w:t>
      </w:r>
      <w:bookmarkEnd w:id="10"/>
      <w:bookmarkEnd w:id="11"/>
    </w:p>
    <w:p w14:paraId="0159DE45" w14:textId="68958D6E" w:rsidR="00CC3EE5" w:rsidRDefault="001E4B28" w:rsidP="00E8495C">
      <w:pPr>
        <w:pStyle w:val="BodyText"/>
        <w:rPr>
          <w:color w:val="000000" w:themeColor="text1"/>
        </w:rPr>
      </w:pPr>
      <w:r w:rsidRPr="00291303">
        <w:rPr>
          <w:color w:val="000000" w:themeColor="text1"/>
          <w:szCs w:val="24"/>
        </w:rPr>
        <w:t xml:space="preserve">This study investigates a novel technology </w:t>
      </w:r>
      <w:r w:rsidR="00EC6B6D">
        <w:rPr>
          <w:color w:val="000000" w:themeColor="text1"/>
          <w:szCs w:val="24"/>
        </w:rPr>
        <w:t xml:space="preserve">called AWG </w:t>
      </w:r>
      <w:r w:rsidRPr="00291303">
        <w:rPr>
          <w:color w:val="000000" w:themeColor="text1"/>
          <w:szCs w:val="24"/>
        </w:rPr>
        <w:t>that uses water harvesting</w:t>
      </w:r>
      <w:r w:rsidR="00EC6B6D" w:rsidRPr="00EC6B6D">
        <w:rPr>
          <w:color w:val="000000" w:themeColor="text1"/>
          <w:szCs w:val="24"/>
        </w:rPr>
        <w:t xml:space="preserve"> </w:t>
      </w:r>
      <w:r w:rsidR="0003649A">
        <w:t xml:space="preserve">to condense humidity from ambient air and </w:t>
      </w:r>
      <w:r w:rsidR="005F5B58">
        <w:rPr>
          <w:color w:val="000000" w:themeColor="text1"/>
          <w:szCs w:val="24"/>
        </w:rPr>
        <w:t>generate potable water</w:t>
      </w:r>
      <w:r w:rsidR="00EC6B6D">
        <w:rPr>
          <w:color w:val="000000" w:themeColor="text1"/>
          <w:szCs w:val="24"/>
        </w:rPr>
        <w:t>.</w:t>
      </w:r>
      <w:r w:rsidRPr="00291303">
        <w:rPr>
          <w:color w:val="000000" w:themeColor="text1"/>
          <w:szCs w:val="24"/>
        </w:rPr>
        <w:t xml:space="preserve"> AWG</w:t>
      </w:r>
      <w:r w:rsidR="00A5644D">
        <w:rPr>
          <w:color w:val="000000" w:themeColor="text1"/>
          <w:szCs w:val="24"/>
        </w:rPr>
        <w:t>s</w:t>
      </w:r>
      <w:r w:rsidRPr="00291303">
        <w:rPr>
          <w:color w:val="000000" w:themeColor="text1"/>
          <w:szCs w:val="24"/>
        </w:rPr>
        <w:t xml:space="preserve"> </w:t>
      </w:r>
      <w:r w:rsidR="00EC6B6D">
        <w:rPr>
          <w:color w:val="000000" w:themeColor="text1"/>
          <w:szCs w:val="24"/>
        </w:rPr>
        <w:t xml:space="preserve">can be used </w:t>
      </w:r>
      <w:r w:rsidRPr="00291303">
        <w:rPr>
          <w:color w:val="000000" w:themeColor="text1"/>
          <w:szCs w:val="24"/>
        </w:rPr>
        <w:t xml:space="preserve">for </w:t>
      </w:r>
      <w:r w:rsidR="005F5B58">
        <w:rPr>
          <w:color w:val="000000" w:themeColor="text1"/>
          <w:szCs w:val="24"/>
        </w:rPr>
        <w:t>supplying</w:t>
      </w:r>
      <w:r w:rsidRPr="00291303">
        <w:rPr>
          <w:color w:val="000000" w:themeColor="text1"/>
          <w:szCs w:val="24"/>
        </w:rPr>
        <w:t xml:space="preserve"> water </w:t>
      </w:r>
      <w:r w:rsidR="00AA3B62">
        <w:rPr>
          <w:color w:val="000000" w:themeColor="text1"/>
          <w:szCs w:val="24"/>
        </w:rPr>
        <w:t>as an</w:t>
      </w:r>
      <w:r w:rsidRPr="00291303">
        <w:rPr>
          <w:color w:val="000000" w:themeColor="text1"/>
          <w:szCs w:val="24"/>
        </w:rPr>
        <w:t xml:space="preserve"> emergency </w:t>
      </w:r>
      <w:r w:rsidR="00AA3B62">
        <w:rPr>
          <w:color w:val="000000" w:themeColor="text1"/>
          <w:szCs w:val="24"/>
        </w:rPr>
        <w:t>response option.</w:t>
      </w:r>
      <w:r w:rsidRPr="00291303">
        <w:rPr>
          <w:color w:val="000000" w:themeColor="text1"/>
          <w:szCs w:val="24"/>
        </w:rPr>
        <w:t xml:space="preserve"> </w:t>
      </w:r>
      <w:r w:rsidR="004B463B">
        <w:t>Th</w:t>
      </w:r>
      <w:r w:rsidR="00A5644D">
        <w:t>e</w:t>
      </w:r>
      <w:r w:rsidR="004B463B">
        <w:t xml:space="preserve"> </w:t>
      </w:r>
      <w:r w:rsidR="00A5644D">
        <w:t xml:space="preserve">objective of this </w:t>
      </w:r>
      <w:r w:rsidR="004B463B">
        <w:t xml:space="preserve">study </w:t>
      </w:r>
      <w:r w:rsidR="00A5644D">
        <w:t xml:space="preserve">is to </w:t>
      </w:r>
      <w:r w:rsidR="004B463B" w:rsidRPr="00D235CB">
        <w:rPr>
          <w:color w:val="000000" w:themeColor="text1"/>
        </w:rPr>
        <w:t xml:space="preserve">evaluate the </w:t>
      </w:r>
      <w:r w:rsidR="00FE52E0">
        <w:rPr>
          <w:color w:val="000000" w:themeColor="text1"/>
        </w:rPr>
        <w:t xml:space="preserve">efficacy and performance </w:t>
      </w:r>
      <w:r w:rsidR="004B463B" w:rsidRPr="0078440B">
        <w:t>of AWG technology in comparison with bottled water as an emergency response option to provide clean and safe drinking water</w:t>
      </w:r>
      <w:r w:rsidR="00916177">
        <w:t xml:space="preserve"> for</w:t>
      </w:r>
      <w:r w:rsidR="00B317EF">
        <w:t xml:space="preserve"> a long-term contamination situation.</w:t>
      </w:r>
      <w:r w:rsidR="00FE52E0">
        <w:t xml:space="preserve"> </w:t>
      </w:r>
      <w:r w:rsidR="00B317EF">
        <w:t>U</w:t>
      </w:r>
      <w:r w:rsidR="00FE52E0">
        <w:t xml:space="preserve">sing </w:t>
      </w:r>
      <w:r w:rsidR="00CC3EE5">
        <w:rPr>
          <w:color w:val="000000" w:themeColor="text1"/>
          <w:szCs w:val="24"/>
        </w:rPr>
        <w:t>l</w:t>
      </w:r>
      <w:r w:rsidR="00FE52E0">
        <w:rPr>
          <w:color w:val="000000" w:themeColor="text1"/>
          <w:szCs w:val="24"/>
        </w:rPr>
        <w:t xml:space="preserve">ife </w:t>
      </w:r>
      <w:r w:rsidR="00CC3EE5">
        <w:rPr>
          <w:color w:val="000000" w:themeColor="text1"/>
          <w:szCs w:val="24"/>
        </w:rPr>
        <w:t>c</w:t>
      </w:r>
      <w:r w:rsidR="00FE52E0">
        <w:rPr>
          <w:color w:val="000000" w:themeColor="text1"/>
          <w:szCs w:val="24"/>
        </w:rPr>
        <w:t xml:space="preserve">ycle </w:t>
      </w:r>
      <w:r w:rsidR="00CC3EE5">
        <w:rPr>
          <w:color w:val="000000" w:themeColor="text1"/>
          <w:szCs w:val="24"/>
        </w:rPr>
        <w:t>a</w:t>
      </w:r>
      <w:r w:rsidR="00FE52E0">
        <w:rPr>
          <w:color w:val="000000" w:themeColor="text1"/>
          <w:szCs w:val="24"/>
        </w:rPr>
        <w:t>ssessment (LCA)</w:t>
      </w:r>
      <w:r w:rsidR="00916177">
        <w:rPr>
          <w:color w:val="000000" w:themeColor="text1"/>
          <w:szCs w:val="24"/>
        </w:rPr>
        <w:t xml:space="preserve">, </w:t>
      </w:r>
      <w:r w:rsidR="00B317EF">
        <w:rPr>
          <w:color w:val="000000" w:themeColor="text1"/>
          <w:szCs w:val="24"/>
        </w:rPr>
        <w:t>w</w:t>
      </w:r>
      <w:r w:rsidR="00CC3EE5">
        <w:rPr>
          <w:color w:val="000000" w:themeColor="text1"/>
        </w:rPr>
        <w:t>e</w:t>
      </w:r>
      <w:r w:rsidR="00E8495C" w:rsidRPr="0027264A">
        <w:rPr>
          <w:color w:val="000000" w:themeColor="text1"/>
        </w:rPr>
        <w:t xml:space="preserve"> compare </w:t>
      </w:r>
      <w:r w:rsidR="00E8495C">
        <w:rPr>
          <w:color w:val="000000" w:themeColor="text1"/>
        </w:rPr>
        <w:t>the e</w:t>
      </w:r>
      <w:r w:rsidR="00CC3EE5">
        <w:rPr>
          <w:color w:val="000000" w:themeColor="text1"/>
        </w:rPr>
        <w:t xml:space="preserve">nvironmental </w:t>
      </w:r>
      <w:r w:rsidR="0027007A">
        <w:rPr>
          <w:color w:val="000000" w:themeColor="text1"/>
        </w:rPr>
        <w:t xml:space="preserve">LCA </w:t>
      </w:r>
      <w:r w:rsidR="00E8495C">
        <w:rPr>
          <w:color w:val="000000" w:themeColor="text1"/>
        </w:rPr>
        <w:t xml:space="preserve">metrics associated with two different configurations of the </w:t>
      </w:r>
      <w:r w:rsidR="00CC3EE5">
        <w:rPr>
          <w:color w:val="000000" w:themeColor="text1"/>
        </w:rPr>
        <w:t>AWGs</w:t>
      </w:r>
      <w:r w:rsidR="00E8495C">
        <w:rPr>
          <w:color w:val="000000" w:themeColor="text1"/>
        </w:rPr>
        <w:t xml:space="preserve"> and two types of commercially available bottled water options to</w:t>
      </w:r>
      <w:r w:rsidR="00E8495C" w:rsidRPr="0027264A">
        <w:rPr>
          <w:color w:val="000000" w:themeColor="text1"/>
        </w:rPr>
        <w:t xml:space="preserve"> provide context for understanding the outcomes associated with </w:t>
      </w:r>
      <w:r w:rsidR="00E8495C">
        <w:rPr>
          <w:color w:val="000000" w:themeColor="text1"/>
        </w:rPr>
        <w:t xml:space="preserve">providing potable drinking water in </w:t>
      </w:r>
      <w:r w:rsidR="007E2009">
        <w:rPr>
          <w:color w:val="000000" w:themeColor="text1"/>
        </w:rPr>
        <w:t xml:space="preserve">long-term contamination </w:t>
      </w:r>
      <w:r w:rsidR="00E8495C">
        <w:rPr>
          <w:color w:val="000000" w:themeColor="text1"/>
        </w:rPr>
        <w:t>emergency situations</w:t>
      </w:r>
      <w:r w:rsidR="00E8495C" w:rsidRPr="0027264A">
        <w:rPr>
          <w:color w:val="000000" w:themeColor="text1"/>
        </w:rPr>
        <w:t>.</w:t>
      </w:r>
      <w:r w:rsidR="00B317EF">
        <w:rPr>
          <w:color w:val="000000" w:themeColor="text1"/>
        </w:rPr>
        <w:t xml:space="preserve"> </w:t>
      </w:r>
      <w:r w:rsidR="007E2009">
        <w:rPr>
          <w:color w:val="000000" w:themeColor="text1"/>
        </w:rPr>
        <w:t xml:space="preserve">All AWG systems are modeled as connected to the electrical grid. </w:t>
      </w:r>
      <w:r w:rsidR="00B317EF">
        <w:rPr>
          <w:color w:val="000000" w:themeColor="text1"/>
        </w:rPr>
        <w:t>Weather related emergency situations</w:t>
      </w:r>
      <w:r w:rsidR="00132E56">
        <w:rPr>
          <w:color w:val="000000" w:themeColor="text1"/>
        </w:rPr>
        <w:t xml:space="preserve"> such as hurricanes and tornados, that cause power outages,</w:t>
      </w:r>
      <w:r w:rsidR="00B317EF">
        <w:rPr>
          <w:color w:val="000000" w:themeColor="text1"/>
        </w:rPr>
        <w:t xml:space="preserve"> </w:t>
      </w:r>
      <w:r w:rsidR="00132E56">
        <w:rPr>
          <w:color w:val="000000" w:themeColor="text1"/>
        </w:rPr>
        <w:t>and</w:t>
      </w:r>
      <w:r w:rsidR="00B317EF">
        <w:rPr>
          <w:color w:val="000000" w:themeColor="text1"/>
        </w:rPr>
        <w:t xml:space="preserve"> require a rapid response were not examined in this study.</w:t>
      </w:r>
    </w:p>
    <w:p w14:paraId="3D58E41C" w14:textId="40A1682B" w:rsidR="00E6509B" w:rsidRPr="00E8495C" w:rsidRDefault="00CC3EE5" w:rsidP="00E8495C">
      <w:pPr>
        <w:pStyle w:val="BodyText"/>
        <w:rPr>
          <w:color w:val="000000" w:themeColor="text1"/>
        </w:rPr>
      </w:pPr>
      <w:r w:rsidRPr="000D36BD">
        <w:t>As one of the largest federal water research and development laboratories in the United States, the Environmental Protection Agency (EPA) generates innovative solutions that protect human health and the environment. The Office of Research and Development’s (ORD) Safe and Sustainable Water Resources (SSWR) Program is the princip</w:t>
      </w:r>
      <w:r w:rsidR="00FE551D">
        <w:t>a</w:t>
      </w:r>
      <w:r w:rsidRPr="000D36BD">
        <w:t>l research lead seeking metrics and tools to compare the tradeoffs between economic, human health</w:t>
      </w:r>
      <w:r w:rsidR="00FE551D">
        <w:t>,</w:t>
      </w:r>
      <w:r w:rsidRPr="000D36BD">
        <w:t xml:space="preserve"> and environmental aspects of current and future municipal water and wastewater services.</w:t>
      </w:r>
      <w:r>
        <w:rPr>
          <w:color w:val="000000" w:themeColor="text1"/>
        </w:rPr>
        <w:t xml:space="preserve"> </w:t>
      </w:r>
      <w:r w:rsidR="00F7005B">
        <w:rPr>
          <w:color w:val="000000" w:themeColor="text1"/>
        </w:rPr>
        <w:t xml:space="preserve">A </w:t>
      </w:r>
      <w:r>
        <w:rPr>
          <w:color w:val="000000" w:themeColor="text1"/>
        </w:rPr>
        <w:t>comprehensive systems-level analysis</w:t>
      </w:r>
      <w:r w:rsidR="00F7005B">
        <w:rPr>
          <w:color w:val="000000" w:themeColor="text1"/>
        </w:rPr>
        <w:t xml:space="preserve"> such as LCA</w:t>
      </w:r>
      <w:r>
        <w:rPr>
          <w:color w:val="000000" w:themeColor="text1"/>
        </w:rPr>
        <w:t xml:space="preserve"> </w:t>
      </w:r>
      <w:r w:rsidR="00F7005B">
        <w:rPr>
          <w:color w:val="000000" w:themeColor="text1"/>
        </w:rPr>
        <w:t>can support the decision-making process for determining the mechanism for emergency potable water delivery.</w:t>
      </w:r>
    </w:p>
    <w:p w14:paraId="3DEF61A2" w14:textId="49E7AEFE" w:rsidR="00FE52E0" w:rsidRPr="001F6953" w:rsidRDefault="00FE52E0" w:rsidP="00FE52E0">
      <w:pPr>
        <w:pStyle w:val="BodyText"/>
      </w:pPr>
      <w:r>
        <w:t xml:space="preserve">LCA </w:t>
      </w:r>
      <w:r w:rsidR="00A902B0">
        <w:t>is</w:t>
      </w:r>
      <w:r>
        <w:t xml:space="preserve"> a widely accepted </w:t>
      </w:r>
      <w:r w:rsidR="00A902B0">
        <w:t>method</w:t>
      </w:r>
      <w:r>
        <w:t xml:space="preserve"> to assess the environmental aspects and potential impacts associated with individual products, processes, or services. </w:t>
      </w:r>
      <w:r w:rsidR="00435E7D">
        <w:t>It</w:t>
      </w:r>
      <w:r>
        <w:t xml:space="preserve"> provide</w:t>
      </w:r>
      <w:r w:rsidR="00435E7D">
        <w:t>s</w:t>
      </w:r>
      <w:r>
        <w:t xml:space="preserve"> a “cradle-to-grave” analysis of environmental impacts and benefits that can better inform and assist in selecting the most environmentally preferable choice among the various options. The steps for conducting an LCA include (1) identifying </w:t>
      </w:r>
      <w:r w:rsidR="00A902B0">
        <w:t xml:space="preserve">the </w:t>
      </w:r>
      <w:r>
        <w:t>goal and scope, (2) compiling a life cycle inventory (LCI) of relevant energy and material inputs and environmental releases</w:t>
      </w:r>
      <w:r w:rsidR="00A902B0">
        <w:t xml:space="preserve"> and emissions</w:t>
      </w:r>
      <w:r>
        <w:t>, (3) evaluating the potential environmental impacts associated with identified inputs and releases, and (4) interpreting the results to help individuals make more informed decision</w:t>
      </w:r>
      <w:r w:rsidR="00A902B0">
        <w:t>s</w:t>
      </w:r>
      <w:r>
        <w:t>.</w:t>
      </w:r>
    </w:p>
    <w:p w14:paraId="60679647" w14:textId="48437943" w:rsidR="00E6509B" w:rsidRPr="0027264A" w:rsidRDefault="00DC704B" w:rsidP="00E6509B">
      <w:pPr>
        <w:pStyle w:val="BodyText"/>
        <w:rPr>
          <w:color w:val="000000" w:themeColor="text1"/>
        </w:rPr>
      </w:pPr>
      <w:r>
        <w:lastRenderedPageBreak/>
        <w:t xml:space="preserve">The </w:t>
      </w:r>
      <w:r w:rsidR="00CC3EE5">
        <w:t xml:space="preserve">investigated </w:t>
      </w:r>
      <w:r>
        <w:t xml:space="preserve">LCA-related impacts </w:t>
      </w:r>
      <w:r w:rsidR="00BD7388">
        <w:t>include</w:t>
      </w:r>
      <w:r w:rsidR="00F6369C">
        <w:t xml:space="preserve"> acidification potential, </w:t>
      </w:r>
      <w:r w:rsidR="00CC3EE5">
        <w:t xml:space="preserve">global warming potential (GWP), </w:t>
      </w:r>
      <w:r w:rsidR="00F6369C">
        <w:t>eutrophication potential, smog formation potential and particulate matter formation potential</w:t>
      </w:r>
      <w:r w:rsidR="00CC3EE5">
        <w:t>, and</w:t>
      </w:r>
      <w:r>
        <w:t xml:space="preserve"> </w:t>
      </w:r>
      <w:r w:rsidR="00A72E38">
        <w:t xml:space="preserve">are </w:t>
      </w:r>
      <w:r>
        <w:t xml:space="preserve">based on </w:t>
      </w:r>
      <w:r w:rsidR="00CC3EE5">
        <w:t xml:space="preserve">the EPA’s </w:t>
      </w:r>
      <w:r>
        <w:t xml:space="preserve">Tool for Reduction and Assessment of Chemicals and other </w:t>
      </w:r>
      <w:r w:rsidR="00247454">
        <w:t>e</w:t>
      </w:r>
      <w:r>
        <w:t>nvironmental Impacts (TRACI</w:t>
      </w:r>
      <w:r w:rsidRPr="5B266E8B">
        <w:t>)</w:t>
      </w:r>
      <w:r>
        <w:t xml:space="preserve"> 2.1 life cycle </w:t>
      </w:r>
      <w:r w:rsidRPr="00980ED3">
        <w:t>impact assessment (LCIA</w:t>
      </w:r>
      <w:r w:rsidRPr="5B266E8B">
        <w:t>)</w:t>
      </w:r>
      <w:r w:rsidRPr="00980ED3">
        <w:t xml:space="preserve"> method</w:t>
      </w:r>
      <w:r w:rsidR="00FF4C08">
        <w:t xml:space="preserve"> (Bare et al., 2003)</w:t>
      </w:r>
      <w:r w:rsidR="00CC3EE5">
        <w:t>.</w:t>
      </w:r>
      <w:r w:rsidRPr="00980ED3">
        <w:t xml:space="preserve"> </w:t>
      </w:r>
      <w:r w:rsidR="00FF4C08">
        <w:t>F</w:t>
      </w:r>
      <w:r w:rsidRPr="00980ED3">
        <w:t xml:space="preserve">ossil </w:t>
      </w:r>
      <w:r w:rsidR="00F6369C">
        <w:t>fuel depletion</w:t>
      </w:r>
      <w:r w:rsidR="00FF4C08">
        <w:t xml:space="preserve"> and water consumption</w:t>
      </w:r>
      <w:r w:rsidRPr="00980ED3">
        <w:t xml:space="preserve"> </w:t>
      </w:r>
      <w:r w:rsidR="0027007A">
        <w:t>are</w:t>
      </w:r>
      <w:r w:rsidR="00A72E38">
        <w:t xml:space="preserve"> </w:t>
      </w:r>
      <w:r w:rsidRPr="00980ED3">
        <w:t>based on the ReCiPe</w:t>
      </w:r>
      <w:r>
        <w:rPr>
          <w:rStyle w:val="FootnoteReference"/>
        </w:rPr>
        <w:footnoteReference w:id="2"/>
      </w:r>
      <w:r w:rsidRPr="00980ED3">
        <w:t xml:space="preserve"> method; </w:t>
      </w:r>
      <w:r w:rsidR="00F6369C">
        <w:t xml:space="preserve">solid waste by weight </w:t>
      </w:r>
      <w:r w:rsidR="00A72E38">
        <w:t xml:space="preserve">is </w:t>
      </w:r>
      <w:r w:rsidR="00F6369C">
        <w:t xml:space="preserve">based on cumulative solid waste inventory; </w:t>
      </w:r>
      <w:r>
        <w:t xml:space="preserve">and cumulative energy demand </w:t>
      </w:r>
      <w:r w:rsidR="00A72E38">
        <w:t xml:space="preserve">is </w:t>
      </w:r>
      <w:r w:rsidR="00F6369C">
        <w:t>based on</w:t>
      </w:r>
      <w:r w:rsidR="007F2B0A">
        <w:t xml:space="preserve"> the</w:t>
      </w:r>
      <w:r w:rsidR="00F6369C">
        <w:t xml:space="preserve"> cumulative energy inventory</w:t>
      </w:r>
      <w:r w:rsidR="00FF4C08">
        <w:t xml:space="preserve"> method of Ecoinvent (</w:t>
      </w:r>
      <w:r w:rsidR="004228C2">
        <w:t>Frischknecht et al., 2007</w:t>
      </w:r>
      <w:r w:rsidR="00FF4C08">
        <w:t>)</w:t>
      </w:r>
      <w:r w:rsidRPr="5B266E8B">
        <w:t>.</w:t>
      </w:r>
      <w:r w:rsidR="00F6369C">
        <w:t xml:space="preserve"> </w:t>
      </w:r>
      <w:r w:rsidR="00E6509B" w:rsidRPr="0027264A">
        <w:rPr>
          <w:color w:val="000000" w:themeColor="text1"/>
        </w:rPr>
        <w:t xml:space="preserve">These metrics are discussed in detail in Section </w:t>
      </w:r>
      <w:r w:rsidR="0027264A" w:rsidRPr="0027264A">
        <w:rPr>
          <w:color w:val="000000" w:themeColor="text1"/>
        </w:rPr>
        <w:t>1.2.4</w:t>
      </w:r>
      <w:r w:rsidR="00F7005B">
        <w:rPr>
          <w:color w:val="000000" w:themeColor="text1"/>
        </w:rPr>
        <w:t>. A cost analysis is</w:t>
      </w:r>
      <w:r w:rsidR="00FF4C08">
        <w:rPr>
          <w:color w:val="000000" w:themeColor="text1"/>
        </w:rPr>
        <w:t xml:space="preserve"> also</w:t>
      </w:r>
      <w:r w:rsidR="00F7005B">
        <w:rPr>
          <w:color w:val="000000" w:themeColor="text1"/>
        </w:rPr>
        <w:t xml:space="preserve"> conducted</w:t>
      </w:r>
      <w:r w:rsidR="00FF4C08">
        <w:rPr>
          <w:color w:val="000000" w:themeColor="text1"/>
        </w:rPr>
        <w:t xml:space="preserve"> and discussed in the results section</w:t>
      </w:r>
      <w:r w:rsidR="00F7005B">
        <w:rPr>
          <w:color w:val="000000" w:themeColor="text1"/>
        </w:rPr>
        <w:t>.</w:t>
      </w:r>
    </w:p>
    <w:p w14:paraId="739B793A" w14:textId="1C5CDDFF" w:rsidR="00FF1C04" w:rsidRPr="00BB3A30" w:rsidRDefault="00FF1C04" w:rsidP="003C5EF0">
      <w:pPr>
        <w:pStyle w:val="Heading2"/>
      </w:pPr>
      <w:bookmarkStart w:id="12" w:name="_Toc525246194"/>
      <w:bookmarkStart w:id="13" w:name="_Toc533009152"/>
      <w:r w:rsidRPr="00BB3A30">
        <w:t>Scope</w:t>
      </w:r>
      <w:bookmarkEnd w:id="12"/>
      <w:bookmarkEnd w:id="13"/>
    </w:p>
    <w:p w14:paraId="0C4B9D69" w14:textId="0D67A07E" w:rsidR="009C00CA" w:rsidRDefault="00245174" w:rsidP="005431A7">
      <w:pPr>
        <w:pStyle w:val="BodyText"/>
      </w:pPr>
      <w:r>
        <w:t xml:space="preserve">This study design follows the guidelines for </w:t>
      </w:r>
      <w:r w:rsidR="00B97EF6">
        <w:t>LCA</w:t>
      </w:r>
      <w:r>
        <w:t xml:space="preserve"> provided by ISO 1404</w:t>
      </w:r>
      <w:r w:rsidR="00E10F41">
        <w:t>0/140</w:t>
      </w:r>
      <w:r>
        <w:t>4</w:t>
      </w:r>
      <w:r w:rsidR="00E10F41">
        <w:t>4</w:t>
      </w:r>
      <w:r w:rsidR="00A77FB5">
        <w:t xml:space="preserve"> (ISO</w:t>
      </w:r>
      <w:r w:rsidR="00384B49">
        <w:t>,</w:t>
      </w:r>
      <w:r w:rsidR="00A77FB5">
        <w:t xml:space="preserve"> 2006</w:t>
      </w:r>
      <w:r w:rsidR="00186C53">
        <w:t xml:space="preserve"> </w:t>
      </w:r>
      <w:r w:rsidR="00E10F41">
        <w:t>a</w:t>
      </w:r>
      <w:r w:rsidR="00745C4F">
        <w:t>,</w:t>
      </w:r>
      <w:r w:rsidR="00E10F41">
        <w:t>b</w:t>
      </w:r>
      <w:r w:rsidR="00A77FB5">
        <w:t>)</w:t>
      </w:r>
      <w:r>
        <w:t xml:space="preserve">. The following </w:t>
      </w:r>
      <w:r w:rsidR="00A74998">
        <w:t>sub</w:t>
      </w:r>
      <w:r>
        <w:t>section</w:t>
      </w:r>
      <w:r w:rsidR="00A74998">
        <w:t>s</w:t>
      </w:r>
      <w:r>
        <w:t xml:space="preserve"> de</w:t>
      </w:r>
      <w:r w:rsidR="004D548A">
        <w:t>scribe</w:t>
      </w:r>
      <w:r w:rsidR="00F31CCF">
        <w:t xml:space="preserve"> the </w:t>
      </w:r>
      <w:r w:rsidR="00A74998">
        <w:t xml:space="preserve">scope of the study </w:t>
      </w:r>
      <w:r w:rsidR="00F31CCF">
        <w:t xml:space="preserve">and the </w:t>
      </w:r>
      <w:r>
        <w:t>functional unit</w:t>
      </w:r>
      <w:r w:rsidR="00F31CCF">
        <w:t xml:space="preserve"> used for comparison</w:t>
      </w:r>
      <w:r w:rsidR="00F5673A">
        <w:t xml:space="preserve"> (i.e., basis of results), system boundaries of analysis, LCIA methods, impact assessment categories, and potential data sources</w:t>
      </w:r>
      <w:r w:rsidR="005431A7">
        <w:t xml:space="preserve">. </w:t>
      </w:r>
      <w:r w:rsidR="009C00CA">
        <w:t xml:space="preserve">The </w:t>
      </w:r>
      <w:r w:rsidR="005431A7">
        <w:t xml:space="preserve">scope of this study is to compare an </w:t>
      </w:r>
      <w:r w:rsidR="009C00CA">
        <w:t>alternative potable water emergency response option</w:t>
      </w:r>
      <w:r w:rsidR="005431A7">
        <w:t xml:space="preserve"> of</w:t>
      </w:r>
      <w:r w:rsidR="009C00CA">
        <w:t xml:space="preserve"> AWG wi</w:t>
      </w:r>
      <w:r w:rsidR="005431A7">
        <w:t>th</w:t>
      </w:r>
      <w:r w:rsidR="009C00CA">
        <w:t xml:space="preserve"> </w:t>
      </w:r>
      <w:r w:rsidR="00F7005B">
        <w:t xml:space="preserve">single-serve and multi-serve </w:t>
      </w:r>
      <w:r w:rsidR="009C00CA">
        <w:t xml:space="preserve">bottled water. This section lists the </w:t>
      </w:r>
      <w:r w:rsidR="005431A7">
        <w:t>AWG and</w:t>
      </w:r>
      <w:r w:rsidR="009C00CA">
        <w:t xml:space="preserve"> bottled water systems studied, their associated system boundaries, and potential data sources for the analysis.</w:t>
      </w:r>
      <w:r w:rsidR="00E43292">
        <w:t xml:space="preserve"> </w:t>
      </w:r>
      <w:bookmarkStart w:id="14" w:name="_Hlk531789640"/>
      <w:r w:rsidR="003806F6">
        <w:t xml:space="preserve">No other emergency water purification technologies such as </w:t>
      </w:r>
      <w:r w:rsidR="003806F6" w:rsidRPr="003806F6">
        <w:t>reverse osmosis-based filtration, cartridge filtration systems,</w:t>
      </w:r>
      <w:r w:rsidR="003806F6">
        <w:t xml:space="preserve"> </w:t>
      </w:r>
      <w:r w:rsidR="003806F6" w:rsidRPr="003806F6">
        <w:t>solar pasteurizations systems</w:t>
      </w:r>
      <w:r w:rsidR="003806F6">
        <w:t xml:space="preserve"> or natural filtration systems were assessed in this study</w:t>
      </w:r>
      <w:bookmarkEnd w:id="14"/>
      <w:r w:rsidR="003806F6">
        <w:t xml:space="preserve">. </w:t>
      </w:r>
      <w:r w:rsidR="00E43292">
        <w:t xml:space="preserve">The geographic scope of this study is production and use in the United States with four </w:t>
      </w:r>
      <w:r w:rsidR="000B531C">
        <w:t>regional electrical grid</w:t>
      </w:r>
      <w:r w:rsidR="00E43292">
        <w:t xml:space="preserve"> locations selected to assess the impacts associated with the operation of the AWG.</w:t>
      </w:r>
      <w:r w:rsidR="00C85F57">
        <w:t xml:space="preserve"> </w:t>
      </w:r>
      <w:r w:rsidR="00065C68">
        <w:t xml:space="preserve">The AWG water production varies with ambient temperature and humidity levels, </w:t>
      </w:r>
      <w:r w:rsidR="008918A8">
        <w:t>which</w:t>
      </w:r>
      <w:r w:rsidR="00065C68">
        <w:t xml:space="preserve"> is discussed in detail in </w:t>
      </w:r>
      <w:r w:rsidR="008918A8">
        <w:t>S</w:t>
      </w:r>
      <w:r w:rsidR="00065C68">
        <w:t xml:space="preserve">ection </w:t>
      </w:r>
      <w:r w:rsidR="00065C68">
        <w:fldChar w:fldCharType="begin"/>
      </w:r>
      <w:r w:rsidR="00065C68">
        <w:instrText xml:space="preserve"> REF _Ref530755207 \r \h </w:instrText>
      </w:r>
      <w:r w:rsidR="00065C68">
        <w:fldChar w:fldCharType="separate"/>
      </w:r>
      <w:r w:rsidR="008072BC">
        <w:t>3.1</w:t>
      </w:r>
      <w:r w:rsidR="00065C68">
        <w:fldChar w:fldCharType="end"/>
      </w:r>
      <w:r w:rsidR="00C85F57">
        <w:t xml:space="preserve">. </w:t>
      </w:r>
      <w:r w:rsidR="00065C68">
        <w:t>T</w:t>
      </w:r>
      <w:r w:rsidR="00C85F57">
        <w:t xml:space="preserve">he environmental impact of removing moisture from the air </w:t>
      </w:r>
      <w:r w:rsidR="00065C68">
        <w:t xml:space="preserve">is </w:t>
      </w:r>
      <w:r w:rsidR="00C85F57">
        <w:t>out</w:t>
      </w:r>
      <w:r w:rsidR="00065C68">
        <w:t>side the</w:t>
      </w:r>
      <w:r w:rsidR="00C85F57">
        <w:t xml:space="preserve"> scope</w:t>
      </w:r>
      <w:r w:rsidR="00065C68">
        <w:t xml:space="preserve"> of this report.</w:t>
      </w:r>
      <w:r w:rsidR="00FF21F4">
        <w:t xml:space="preserve"> </w:t>
      </w:r>
    </w:p>
    <w:p w14:paraId="2D0310E7" w14:textId="00D7DA29" w:rsidR="00F5137E" w:rsidRDefault="00D54A4D" w:rsidP="00F5137E">
      <w:pPr>
        <w:pStyle w:val="Heading3"/>
      </w:pPr>
      <w:bookmarkStart w:id="15" w:name="_Ref449709055"/>
      <w:bookmarkStart w:id="16" w:name="_Toc525246195"/>
      <w:bookmarkStart w:id="17" w:name="_Toc533009153"/>
      <w:r w:rsidRPr="00196F58">
        <w:t>Functional Unit</w:t>
      </w:r>
      <w:bookmarkEnd w:id="15"/>
      <w:bookmarkEnd w:id="16"/>
      <w:bookmarkEnd w:id="17"/>
    </w:p>
    <w:p w14:paraId="546A04AA" w14:textId="43E1AED5" w:rsidR="0072114B" w:rsidRPr="0072114B" w:rsidRDefault="0072114B" w:rsidP="00BB46AD">
      <w:pPr>
        <w:pStyle w:val="BodyText"/>
      </w:pPr>
      <w:r>
        <w:t>T</w:t>
      </w:r>
      <w:r w:rsidRPr="00BC17E1">
        <w:t xml:space="preserve">o provide a basis for comparison of different products, a common reference unit must be defined. The reference unit is based upon the function of the products, so that comparisons of different products are made on a uniform basis. This common basis, or functional unit, is used to normalize the inputs and outputs of the LCA, with all results expressed on a functional unit basis. </w:t>
      </w:r>
      <w:r>
        <w:t xml:space="preserve">Because the goal of AWG systems and bottled water is to deliver clean and safe drinking water, the functional unit of this study is </w:t>
      </w:r>
      <w:r w:rsidRPr="00E8495C">
        <w:rPr>
          <w:i/>
        </w:rPr>
        <w:t>one liter of potable water</w:t>
      </w:r>
      <w:r w:rsidR="00692D83">
        <w:rPr>
          <w:i/>
        </w:rPr>
        <w:t xml:space="preserve"> at ambient temperature</w:t>
      </w:r>
      <w:r>
        <w:t xml:space="preserve">. </w:t>
      </w:r>
      <w:r w:rsidR="00692D83">
        <w:t xml:space="preserve">No cooling or heating of the potable water is considered in the functional unit calculation. </w:t>
      </w:r>
      <w:r>
        <w:t>There may be differences in the water quality characteristics of the AWG product versus bottled water. Such variations will not affect the functional unit. Note that bottled water and AWG product are not managed by EPA’s National Primary Drinking Water Regulations. Bottled water is regulated by the Food and Drug Administration (FDA).</w:t>
      </w:r>
    </w:p>
    <w:p w14:paraId="7B4A3A84" w14:textId="7B3B3C3D" w:rsidR="00F5137E" w:rsidRPr="00D76D9A" w:rsidRDefault="00F5137E" w:rsidP="00F5137E">
      <w:pPr>
        <w:pStyle w:val="Heading3"/>
      </w:pPr>
      <w:bookmarkStart w:id="18" w:name="_Ref450123501"/>
      <w:bookmarkStart w:id="19" w:name="_Ref454809327"/>
      <w:bookmarkStart w:id="20" w:name="_Ref454819062"/>
      <w:bookmarkStart w:id="21" w:name="_Toc525246196"/>
      <w:bookmarkStart w:id="22" w:name="_Toc533009154"/>
      <w:r w:rsidRPr="00D76D9A">
        <w:lastRenderedPageBreak/>
        <w:t xml:space="preserve">System Descriptions of </w:t>
      </w:r>
      <w:bookmarkEnd w:id="18"/>
      <w:bookmarkEnd w:id="19"/>
      <w:bookmarkEnd w:id="20"/>
      <w:r w:rsidR="00044930">
        <w:t>Atmospheric Water Generators</w:t>
      </w:r>
      <w:bookmarkEnd w:id="21"/>
      <w:bookmarkEnd w:id="22"/>
    </w:p>
    <w:p w14:paraId="7F7B14B0" w14:textId="444B7B34" w:rsidR="009C00CA" w:rsidRDefault="009C00CA" w:rsidP="00BB46AD">
      <w:pPr>
        <w:pStyle w:val="BodyText"/>
      </w:pPr>
      <w:r>
        <w:t>The system boundaries of an AWG system are shown in</w:t>
      </w:r>
      <w:r w:rsidR="00E8495C">
        <w:t xml:space="preserve"> </w:t>
      </w:r>
      <w:r w:rsidR="00E8495C">
        <w:fldChar w:fldCharType="begin"/>
      </w:r>
      <w:r w:rsidR="00E8495C">
        <w:instrText xml:space="preserve"> REF _Ref517262772 \h </w:instrText>
      </w:r>
      <w:r w:rsidR="00E8495C">
        <w:fldChar w:fldCharType="separate"/>
      </w:r>
      <w:r w:rsidR="008072BC">
        <w:t xml:space="preserve">Figure </w:t>
      </w:r>
      <w:r w:rsidR="008072BC">
        <w:rPr>
          <w:noProof/>
        </w:rPr>
        <w:t>1</w:t>
      </w:r>
      <w:r w:rsidR="00E8495C">
        <w:fldChar w:fldCharType="end"/>
      </w:r>
      <w:r>
        <w:t>. The system boundaries start at production of the AWG unit, and continue through transport</w:t>
      </w:r>
      <w:r w:rsidR="008454B8">
        <w:t>ation</w:t>
      </w:r>
      <w:r>
        <w:t xml:space="preserve"> to point of use, water generation, maintenance, and disposal of the AWG unit at end-of-life. Material, fuel, energy, and chemical inputs as well as air, water and waste outputs across all life cycle stages of the AWG </w:t>
      </w:r>
      <w:r w:rsidR="00F7005B">
        <w:t>are</w:t>
      </w:r>
      <w:r>
        <w:t xml:space="preserve"> incorporated in the analysis. AWG infrastructure burdens </w:t>
      </w:r>
      <w:r w:rsidR="00F7005B">
        <w:t>are</w:t>
      </w:r>
      <w:r>
        <w:t xml:space="preserve"> accounted for by amortizing infrastructure impacts by the useful life of the AWG unit and then standardizing results based on the functional unit of one liter of delivered potable water.</w:t>
      </w:r>
    </w:p>
    <w:p w14:paraId="7B50B9FD" w14:textId="11EC0878" w:rsidR="00C60FE8" w:rsidRDefault="00C60FE8" w:rsidP="00C60FE8">
      <w:pPr>
        <w:pStyle w:val="BodyText"/>
      </w:pPr>
      <w:r>
        <w:t>The main end use of AWG varies with scale. The large or industrial scale AWGs such as the Watergen Large Scale Water Generator and the EcoloBlue 1000 series, capable of generating up to 10,000L of water a day, can serve small towns to cities when set up as water stations especially in time</w:t>
      </w:r>
      <w:r w:rsidR="0027007A">
        <w:t>s</w:t>
      </w:r>
      <w:r>
        <w:t xml:space="preserve"> of a natural disaster or emergency situations. They can also be used for irrigation of greenhouses, vertical farms</w:t>
      </w:r>
      <w:r w:rsidR="00186C53">
        <w:t>,</w:t>
      </w:r>
      <w:r>
        <w:t xml:space="preserve"> and hydroponics. These units are scalable and can be set up in multiples to meet high water needs. In addition, these industrial</w:t>
      </w:r>
      <w:r w:rsidR="00186C53">
        <w:t>-</w:t>
      </w:r>
      <w:r>
        <w:t xml:space="preserve">scale units can </w:t>
      </w:r>
      <w:r w:rsidRPr="002A61CB">
        <w:t>be used in schools, hospitals, commercial or residential buildings, whole villages, factories</w:t>
      </w:r>
      <w:r w:rsidR="00186C53">
        <w:t>,</w:t>
      </w:r>
      <w:r w:rsidRPr="002A61CB">
        <w:t xml:space="preserve"> and off-grid settlements</w:t>
      </w:r>
      <w:r>
        <w:t>. These units can also be installed on the roof tops of buildings and retrofitted to deliver water directly to the kitchen via the internal piping system (Watergen). The medium</w:t>
      </w:r>
      <w:r w:rsidR="00186C53">
        <w:t>-</w:t>
      </w:r>
      <w:r>
        <w:t>scale units such as the Gen-350 and EcoloBlue 100 series are mobile and can be easily transported for installation for home or business use. The EcoloBlue AWGs can be integrated with portable generators or renewable energy sources (wind, PV) for off-grid usage. The home/office scale AWG units such as Watergen Genny and EcoloBlue EB30 series are designed for indoor home or office use to replace bottled water or water fountains. We have also incorporated a number of scenarios around the electrical grid mix used, scale, water production</w:t>
      </w:r>
      <w:r w:rsidR="00186C53">
        <w:t>,</w:t>
      </w:r>
      <w:r>
        <w:t xml:space="preserve"> and the washing methods of container used to drink the water from an AWG.</w:t>
      </w:r>
    </w:p>
    <w:p w14:paraId="1068E983" w14:textId="77777777" w:rsidR="00C60FE8" w:rsidRPr="00BB46AD" w:rsidRDefault="00C60FE8" w:rsidP="00BB46AD"/>
    <w:p w14:paraId="5C01D314" w14:textId="2F3BC67D" w:rsidR="009C00CA" w:rsidRPr="00BC17E1" w:rsidRDefault="00022745" w:rsidP="008D73A8">
      <w:pPr>
        <w:keepNext/>
        <w:keepLines/>
      </w:pPr>
      <w:r w:rsidRPr="005866F1">
        <w:rPr>
          <w:noProof/>
        </w:rPr>
        <w:lastRenderedPageBreak/>
        <w:drawing>
          <wp:inline distT="0" distB="0" distL="0" distR="0" wp14:anchorId="233A6BE0" wp14:editId="7A17346E">
            <wp:extent cx="5943600" cy="3004185"/>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04185"/>
                    </a:xfrm>
                    <a:prstGeom prst="rect">
                      <a:avLst/>
                    </a:prstGeom>
                    <a:ln>
                      <a:solidFill>
                        <a:schemeClr val="tx1"/>
                      </a:solidFill>
                    </a:ln>
                  </pic:spPr>
                </pic:pic>
              </a:graphicData>
            </a:graphic>
          </wp:inline>
        </w:drawing>
      </w:r>
    </w:p>
    <w:p w14:paraId="6297A778" w14:textId="1AA8CC57" w:rsidR="009C00CA" w:rsidRDefault="009C00CA" w:rsidP="008D73A8">
      <w:pPr>
        <w:pStyle w:val="FigureTitle"/>
        <w:keepNext/>
        <w:keepLines/>
      </w:pPr>
      <w:bookmarkStart w:id="23" w:name="_Ref517262772"/>
      <w:bookmarkStart w:id="24" w:name="_Toc524635602"/>
      <w:bookmarkStart w:id="25" w:name="_Toc533009198"/>
      <w:r>
        <w:t xml:space="preserve">Figure </w:t>
      </w:r>
      <w:r>
        <w:fldChar w:fldCharType="begin"/>
      </w:r>
      <w:r>
        <w:instrText xml:space="preserve"> SEQ Figure \* ARABIC </w:instrText>
      </w:r>
      <w:r>
        <w:fldChar w:fldCharType="separate"/>
      </w:r>
      <w:r w:rsidR="008072BC">
        <w:t>1</w:t>
      </w:r>
      <w:r>
        <w:fldChar w:fldCharType="end"/>
      </w:r>
      <w:bookmarkEnd w:id="23"/>
      <w:r>
        <w:t xml:space="preserve">. System </w:t>
      </w:r>
      <w:r w:rsidR="006C50D4">
        <w:t>b</w:t>
      </w:r>
      <w:r>
        <w:t>oundar</w:t>
      </w:r>
      <w:r w:rsidR="00A971CC">
        <w:t>y</w:t>
      </w:r>
      <w:r>
        <w:t xml:space="preserve"> for </w:t>
      </w:r>
      <w:r w:rsidR="006C50D4">
        <w:t>a</w:t>
      </w:r>
      <w:r>
        <w:t xml:space="preserve">tmospheric </w:t>
      </w:r>
      <w:r w:rsidR="006C50D4">
        <w:t>w</w:t>
      </w:r>
      <w:r>
        <w:t xml:space="preserve">ater </w:t>
      </w:r>
      <w:r w:rsidR="006C50D4">
        <w:t>g</w:t>
      </w:r>
      <w:r>
        <w:t>enerator</w:t>
      </w:r>
      <w:bookmarkEnd w:id="24"/>
      <w:r w:rsidR="006C50D4">
        <w:t>.</w:t>
      </w:r>
      <w:bookmarkEnd w:id="25"/>
    </w:p>
    <w:p w14:paraId="2D679164" w14:textId="77777777" w:rsidR="00B73862" w:rsidRDefault="00B73862" w:rsidP="008D73A8">
      <w:pPr>
        <w:pStyle w:val="FigureTitle"/>
        <w:keepNext/>
        <w:keepLines/>
      </w:pPr>
    </w:p>
    <w:p w14:paraId="29CF36E0" w14:textId="7503DC52" w:rsidR="009C00CA" w:rsidRDefault="009C00CA" w:rsidP="009C00CA">
      <w:pPr>
        <w:pStyle w:val="Heading4"/>
      </w:pPr>
      <w:bookmarkStart w:id="26" w:name="_Ref510614437"/>
      <w:r>
        <w:t>AWG Vendors and Unit Scales</w:t>
      </w:r>
      <w:bookmarkEnd w:id="26"/>
    </w:p>
    <w:p w14:paraId="76764C97" w14:textId="17D39A3D" w:rsidR="009C00CA" w:rsidRDefault="009C00CA" w:rsidP="00D459A4">
      <w:pPr>
        <w:pStyle w:val="BodyText"/>
      </w:pPr>
      <w:r>
        <w:t>The study evaluate</w:t>
      </w:r>
      <w:r w:rsidR="00406823">
        <w:t>s</w:t>
      </w:r>
      <w:r>
        <w:t xml:space="preserve"> different AWG vendors to capture the range of potential environmental and cost impacts of this technology option. </w:t>
      </w:r>
      <w:r w:rsidR="000F2B11">
        <w:t>Eastern Research Group, Inc. (</w:t>
      </w:r>
      <w:r>
        <w:t>ERG</w:t>
      </w:r>
      <w:r w:rsidR="000F2B11">
        <w:t>)</w:t>
      </w:r>
      <w:r>
        <w:t>, in coordination with EPA, identified the following possible vendors:</w:t>
      </w:r>
    </w:p>
    <w:p w14:paraId="336537D0" w14:textId="7C99225D" w:rsidR="009C00CA" w:rsidRDefault="009A4CD3" w:rsidP="005866F1">
      <w:pPr>
        <w:pStyle w:val="ListBullet"/>
      </w:pPr>
      <w:r>
        <w:rPr>
          <w:b/>
        </w:rPr>
        <w:t>Watergen</w:t>
      </w:r>
      <w:r w:rsidR="002E10F6">
        <w:rPr>
          <w:b/>
        </w:rPr>
        <w:t>©</w:t>
      </w:r>
      <w:r w:rsidR="009C00CA">
        <w:rPr>
          <w:b/>
        </w:rPr>
        <w:t xml:space="preserve">: </w:t>
      </w:r>
      <w:r>
        <w:t>Watergen</w:t>
      </w:r>
      <w:r w:rsidR="009C00CA" w:rsidRPr="005970EF">
        <w:t xml:space="preserve"> manufactures AWG units of large</w:t>
      </w:r>
      <w:r w:rsidR="00D60DC7">
        <w:t xml:space="preserve"> (i.e., industrial)</w:t>
      </w:r>
      <w:r w:rsidR="009C00CA" w:rsidRPr="005970EF">
        <w:t>, medium and home</w:t>
      </w:r>
      <w:r w:rsidR="00D60DC7">
        <w:t>/</w:t>
      </w:r>
      <w:r w:rsidR="009C00CA" w:rsidRPr="005970EF">
        <w:t>office scale</w:t>
      </w:r>
      <w:r w:rsidR="009C00CA">
        <w:t>. The large-scale or industrial</w:t>
      </w:r>
      <w:r w:rsidR="004440C8">
        <w:t>-</w:t>
      </w:r>
      <w:r w:rsidR="009C00CA">
        <w:t xml:space="preserve">scale units produce </w:t>
      </w:r>
      <w:r w:rsidR="00015959">
        <w:t>3</w:t>
      </w:r>
      <w:r w:rsidR="0027007A">
        <w:t>,</w:t>
      </w:r>
      <w:r w:rsidR="009C00CA">
        <w:t>000</w:t>
      </w:r>
      <w:r w:rsidR="0027007A">
        <w:t xml:space="preserve"> </w:t>
      </w:r>
      <w:r w:rsidR="009C00CA">
        <w:t xml:space="preserve">L per day </w:t>
      </w:r>
      <w:r w:rsidR="008D73A8">
        <w:t xml:space="preserve">(with a maximum of 5,000 L per day) </w:t>
      </w:r>
      <w:r w:rsidR="009C00CA">
        <w:t>given optimum levels of temperature (27 degrees Celsius) and humidity (60 %) and can be installed on the rooftops of commercial buildings, in multiples, to meet high water demands. The medium scale unit, Gen</w:t>
      </w:r>
      <w:r w:rsidR="00F177F4">
        <w:t>-</w:t>
      </w:r>
      <w:r w:rsidR="009C00CA">
        <w:t xml:space="preserve">350, is a portable AWG which can be mounted on a small truck or an SUV and allows for generation of up to </w:t>
      </w:r>
      <w:r w:rsidR="00015959">
        <w:t>4</w:t>
      </w:r>
      <w:r w:rsidR="009C00CA">
        <w:t>00 L water per day. The home or office scale unit, Genny, is able to generate 25 L of water daily.</w:t>
      </w:r>
    </w:p>
    <w:p w14:paraId="43FCDFE0" w14:textId="6EB32166" w:rsidR="009C00CA" w:rsidRPr="00AD7040" w:rsidRDefault="009C00CA" w:rsidP="00BB46AD">
      <w:pPr>
        <w:pStyle w:val="ListBulletLast"/>
        <w:rPr>
          <w:b/>
        </w:rPr>
      </w:pPr>
      <w:r>
        <w:rPr>
          <w:b/>
        </w:rPr>
        <w:t>EcoloBlue</w:t>
      </w:r>
      <w:r w:rsidR="002E10F6">
        <w:rPr>
          <w:b/>
        </w:rPr>
        <w:t>™</w:t>
      </w:r>
      <w:r w:rsidR="002757C5">
        <w:rPr>
          <w:rStyle w:val="FootnoteReference"/>
          <w:b/>
        </w:rPr>
        <w:footnoteReference w:id="3"/>
      </w:r>
      <w:r>
        <w:rPr>
          <w:b/>
        </w:rPr>
        <w:t xml:space="preserve">: </w:t>
      </w:r>
      <w:r w:rsidRPr="00F301F7">
        <w:t xml:space="preserve">EcoloBlue </w:t>
      </w:r>
      <w:r w:rsidRPr="005970EF">
        <w:t>manufactures AWG units of large, medium and home</w:t>
      </w:r>
      <w:r w:rsidR="00D60DC7">
        <w:t>/</w:t>
      </w:r>
      <w:r w:rsidRPr="005970EF">
        <w:t>office scale</w:t>
      </w:r>
      <w:r>
        <w:t>. The large-scale units range from 10,000 L produced per day to 1</w:t>
      </w:r>
      <w:r w:rsidR="0027007A">
        <w:t>,</w:t>
      </w:r>
      <w:r>
        <w:t>000</w:t>
      </w:r>
      <w:r w:rsidR="0027007A">
        <w:t xml:space="preserve"> </w:t>
      </w:r>
      <w:r>
        <w:t>L per day given optimum levels of temperature (30 degrees Celsius) and humidity (80 %). These units are scalable to meet high drinking water demands. The medium scale units or the light industrial series come in 100 L, 300</w:t>
      </w:r>
      <w:r w:rsidR="00C322EB">
        <w:t xml:space="preserve"> </w:t>
      </w:r>
      <w:r>
        <w:t>L and 600L per day options. The home</w:t>
      </w:r>
      <w:r w:rsidR="005F4643">
        <w:t>-</w:t>
      </w:r>
      <w:r>
        <w:t xml:space="preserve"> or office</w:t>
      </w:r>
      <w:r w:rsidR="005F4643">
        <w:t>-</w:t>
      </w:r>
      <w:r>
        <w:t xml:space="preserve">scale units can generate up to 30 L of water daily in </w:t>
      </w:r>
      <w:r>
        <w:lastRenderedPageBreak/>
        <w:t>optimal conditions. All EcoloBlue units are capable of integration with alternative</w:t>
      </w:r>
      <w:r>
        <w:rPr>
          <w:b/>
        </w:rPr>
        <w:t xml:space="preserve"> </w:t>
      </w:r>
      <w:r>
        <w:t>power sources such as portable generators, wind</w:t>
      </w:r>
      <w:r w:rsidR="005F4643">
        <w:t>,</w:t>
      </w:r>
      <w:r>
        <w:t xml:space="preserve"> and photovoltaic solar panels</w:t>
      </w:r>
      <w:r w:rsidRPr="009D0D09">
        <w:t>.</w:t>
      </w:r>
      <w:r w:rsidR="00AA5297">
        <w:t xml:space="preserve"> </w:t>
      </w:r>
    </w:p>
    <w:p w14:paraId="49193D16" w14:textId="053272AE" w:rsidR="00C60FE8" w:rsidRDefault="006C50D4" w:rsidP="00BB46AD">
      <w:pPr>
        <w:pStyle w:val="BodyText"/>
      </w:pPr>
      <w:r w:rsidRPr="00AD7040">
        <w:rPr>
          <w:b/>
        </w:rPr>
        <w:fldChar w:fldCharType="begin"/>
      </w:r>
      <w:r w:rsidRPr="00AD7040">
        <w:instrText xml:space="preserve"> REF _Ref517262473 \h </w:instrText>
      </w:r>
      <w:r w:rsidR="00AD7040">
        <w:instrText xml:space="preserve"> \* MERGEFORMAT </w:instrText>
      </w:r>
      <w:r w:rsidRPr="00AD7040">
        <w:rPr>
          <w:b/>
        </w:rPr>
      </w:r>
      <w:r w:rsidRPr="00AD7040">
        <w:rPr>
          <w:b/>
        </w:rPr>
        <w:fldChar w:fldCharType="separate"/>
      </w:r>
      <w:r w:rsidR="008072BC">
        <w:t>Figure 2</w:t>
      </w:r>
      <w:r w:rsidRPr="00AD7040">
        <w:rPr>
          <w:b/>
        </w:rPr>
        <w:fldChar w:fldCharType="end"/>
      </w:r>
      <w:r w:rsidRPr="00AD7040">
        <w:t xml:space="preserve"> and </w:t>
      </w:r>
      <w:r w:rsidRPr="00AD7040">
        <w:rPr>
          <w:b/>
        </w:rPr>
        <w:fldChar w:fldCharType="begin"/>
      </w:r>
      <w:r w:rsidRPr="00AD7040">
        <w:instrText xml:space="preserve"> REF _Ref517262491 \h </w:instrText>
      </w:r>
      <w:r w:rsidR="00AD7040">
        <w:instrText xml:space="preserve"> \* MERGEFORMAT </w:instrText>
      </w:r>
      <w:r w:rsidRPr="00AD7040">
        <w:rPr>
          <w:b/>
        </w:rPr>
      </w:r>
      <w:r w:rsidRPr="00AD7040">
        <w:rPr>
          <w:b/>
        </w:rPr>
        <w:fldChar w:fldCharType="separate"/>
      </w:r>
      <w:r w:rsidR="008072BC">
        <w:t>Figure 3</w:t>
      </w:r>
      <w:r w:rsidRPr="00AD7040">
        <w:rPr>
          <w:b/>
        </w:rPr>
        <w:fldChar w:fldCharType="end"/>
      </w:r>
      <w:r w:rsidRPr="00AD7040">
        <w:t xml:space="preserve"> show the unit processes of two different AWG units developed by Watergen and EcoloBlue</w:t>
      </w:r>
      <w:r w:rsidR="0027007A">
        <w:t>,</w:t>
      </w:r>
      <w:r w:rsidRPr="00AD7040">
        <w:t xml:space="preserve"> respectively. The specific treatment of the water prior to delivery depends on the AWG design and unit scale.</w:t>
      </w:r>
      <w:r w:rsidR="007E2009">
        <w:t xml:space="preserve"> All systems are modeled as connected to an electrical grid for the purposes of this study. Assessment of alternative energy sources such as a diesel generator or renewable solar options are outside of the current project scope, but may be considered in later phases.</w:t>
      </w:r>
    </w:p>
    <w:p w14:paraId="0443D1C3" w14:textId="77777777" w:rsidR="00950BB0" w:rsidRDefault="00950BB0" w:rsidP="00950BB0">
      <w:pPr>
        <w:pStyle w:val="BodyText"/>
        <w:ind w:firstLine="0"/>
      </w:pPr>
    </w:p>
    <w:p w14:paraId="28B2138A" w14:textId="00139636" w:rsidR="00220C65" w:rsidRDefault="00220C65" w:rsidP="00220C65">
      <w:pPr>
        <w:rPr>
          <w:b/>
        </w:rPr>
      </w:pPr>
      <w:r w:rsidRPr="00220C65">
        <w:rPr>
          <w:noProof/>
        </w:rPr>
        <w:drawing>
          <wp:inline distT="0" distB="0" distL="0" distR="0" wp14:anchorId="1BB7F47F" wp14:editId="5D7DFA67">
            <wp:extent cx="5943600" cy="2388235"/>
            <wp:effectExtent l="19050" t="19050" r="1905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388235"/>
                    </a:xfrm>
                    <a:prstGeom prst="rect">
                      <a:avLst/>
                    </a:prstGeom>
                    <a:ln>
                      <a:solidFill>
                        <a:schemeClr val="tx1"/>
                      </a:solidFill>
                    </a:ln>
                  </pic:spPr>
                </pic:pic>
              </a:graphicData>
            </a:graphic>
          </wp:inline>
        </w:drawing>
      </w:r>
    </w:p>
    <w:p w14:paraId="43D1DE81" w14:textId="5ACC92A8" w:rsidR="004F5620" w:rsidRDefault="004F5620" w:rsidP="00BB46AD">
      <w:pPr>
        <w:pStyle w:val="FigureTitle"/>
      </w:pPr>
      <w:bookmarkStart w:id="27" w:name="_Ref517262473"/>
      <w:bookmarkStart w:id="28" w:name="_Toc524635603"/>
      <w:bookmarkStart w:id="29" w:name="_Toc533009199"/>
      <w:r>
        <w:t xml:space="preserve">Figure </w:t>
      </w:r>
      <w:r>
        <w:fldChar w:fldCharType="begin"/>
      </w:r>
      <w:r>
        <w:instrText xml:space="preserve"> SEQ Figure \* ARABIC </w:instrText>
      </w:r>
      <w:r>
        <w:fldChar w:fldCharType="separate"/>
      </w:r>
      <w:r w:rsidR="008072BC">
        <w:t>2</w:t>
      </w:r>
      <w:r>
        <w:fldChar w:fldCharType="end"/>
      </w:r>
      <w:bookmarkEnd w:id="27"/>
      <w:r>
        <w:t xml:space="preserve">. </w:t>
      </w:r>
      <w:r w:rsidRPr="000443EE">
        <w:t>Schem</w:t>
      </w:r>
      <w:r w:rsidRPr="00BB46AD">
        <w:t>a</w:t>
      </w:r>
      <w:r w:rsidRPr="000443EE">
        <w:t xml:space="preserve">tic </w:t>
      </w:r>
      <w:r w:rsidR="00FD5035">
        <w:t>o</w:t>
      </w:r>
      <w:r w:rsidRPr="000443EE">
        <w:t xml:space="preserve">verview of AWG </w:t>
      </w:r>
      <w:r w:rsidR="00FD5035">
        <w:t>u</w:t>
      </w:r>
      <w:r w:rsidRPr="000443EE">
        <w:t xml:space="preserve">nit </w:t>
      </w:r>
      <w:r w:rsidR="00FD5035">
        <w:t>o</w:t>
      </w:r>
      <w:r w:rsidRPr="000443EE">
        <w:t xml:space="preserve">peration – </w:t>
      </w:r>
      <w:r w:rsidR="009A4CD3">
        <w:t>Watergen</w:t>
      </w:r>
      <w:bookmarkEnd w:id="28"/>
      <w:r w:rsidR="00FD5035">
        <w:t>.</w:t>
      </w:r>
      <w:bookmarkEnd w:id="29"/>
    </w:p>
    <w:p w14:paraId="59C4A9ED" w14:textId="29FF6D14" w:rsidR="00AD7040" w:rsidRPr="00400810" w:rsidRDefault="0081354E" w:rsidP="00400810">
      <w:r>
        <w:rPr>
          <w:noProof/>
        </w:rPr>
        <w:drawing>
          <wp:inline distT="0" distB="0" distL="0" distR="0" wp14:anchorId="5B6144E3" wp14:editId="3DBB152F">
            <wp:extent cx="5934075" cy="24765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476500"/>
                    </a:xfrm>
                    <a:prstGeom prst="rect">
                      <a:avLst/>
                    </a:prstGeom>
                    <a:noFill/>
                    <a:ln w="12700">
                      <a:solidFill>
                        <a:schemeClr val="tx1"/>
                      </a:solidFill>
                    </a:ln>
                  </pic:spPr>
                </pic:pic>
              </a:graphicData>
            </a:graphic>
          </wp:inline>
        </w:drawing>
      </w:r>
    </w:p>
    <w:p w14:paraId="419DE342" w14:textId="7AD41B52" w:rsidR="00633764" w:rsidRPr="00FD5035" w:rsidRDefault="004F5620" w:rsidP="0027007A">
      <w:pPr>
        <w:pStyle w:val="FigureTitle"/>
        <w:keepLines/>
        <w:rPr>
          <w:color w:val="000000" w:themeColor="text1"/>
        </w:rPr>
      </w:pPr>
      <w:bookmarkStart w:id="30" w:name="_Ref517262491"/>
      <w:bookmarkStart w:id="31" w:name="_Toc524635604"/>
      <w:bookmarkStart w:id="32" w:name="_Toc533009200"/>
      <w:r>
        <w:t xml:space="preserve">Figure </w:t>
      </w:r>
      <w:r>
        <w:fldChar w:fldCharType="begin"/>
      </w:r>
      <w:r>
        <w:instrText xml:space="preserve"> SEQ Figure \* ARABIC </w:instrText>
      </w:r>
      <w:r>
        <w:fldChar w:fldCharType="separate"/>
      </w:r>
      <w:r w:rsidR="008072BC">
        <w:t>3</w:t>
      </w:r>
      <w:r>
        <w:fldChar w:fldCharType="end"/>
      </w:r>
      <w:bookmarkEnd w:id="30"/>
      <w:r>
        <w:t xml:space="preserve">. </w:t>
      </w:r>
      <w:r w:rsidRPr="004F5620">
        <w:t xml:space="preserve">Schematic </w:t>
      </w:r>
      <w:r w:rsidR="002E10F6">
        <w:t>o</w:t>
      </w:r>
      <w:r w:rsidRPr="004F5620">
        <w:t xml:space="preserve">verview of AWG </w:t>
      </w:r>
      <w:r w:rsidR="002E10F6">
        <w:t>u</w:t>
      </w:r>
      <w:r w:rsidRPr="004F5620">
        <w:t xml:space="preserve">nit </w:t>
      </w:r>
      <w:r w:rsidR="002E10F6">
        <w:t>o</w:t>
      </w:r>
      <w:r w:rsidRPr="004F5620">
        <w:t>peration – EcoloBlue (</w:t>
      </w:r>
      <w:r w:rsidR="002E10F6">
        <w:t>a</w:t>
      </w:r>
      <w:r w:rsidRPr="004F5620">
        <w:t xml:space="preserve">ll </w:t>
      </w:r>
      <w:r w:rsidR="002E10F6">
        <w:rPr>
          <w:color w:val="000000" w:themeColor="text1"/>
        </w:rPr>
        <w:t>s</w:t>
      </w:r>
      <w:r w:rsidRPr="00FD5035">
        <w:rPr>
          <w:color w:val="000000" w:themeColor="text1"/>
        </w:rPr>
        <w:t>cales</w:t>
      </w:r>
      <w:r w:rsidR="001318E9" w:rsidRPr="00FD5035">
        <w:rPr>
          <w:color w:val="000000" w:themeColor="text1"/>
        </w:rPr>
        <w:t>)</w:t>
      </w:r>
      <w:bookmarkEnd w:id="31"/>
      <w:r w:rsidR="002E10F6">
        <w:rPr>
          <w:color w:val="000000" w:themeColor="text1"/>
        </w:rPr>
        <w:t>.</w:t>
      </w:r>
      <w:bookmarkEnd w:id="32"/>
    </w:p>
    <w:p w14:paraId="0EFACF08" w14:textId="11CBD3A5" w:rsidR="00015959" w:rsidRDefault="00015959" w:rsidP="00220C65">
      <w:pPr>
        <w:pStyle w:val="BodyText"/>
      </w:pPr>
      <w:r>
        <w:lastRenderedPageBreak/>
        <w:t xml:space="preserve">The vendor specific parameters used in the LCA model are listed in </w:t>
      </w:r>
      <w:r w:rsidR="00DE2718">
        <w:fldChar w:fldCharType="begin"/>
      </w:r>
      <w:r w:rsidR="00DE2718">
        <w:instrText xml:space="preserve"> REF _Ref524340875 \h </w:instrText>
      </w:r>
      <w:r w:rsidR="00DE2718">
        <w:fldChar w:fldCharType="separate"/>
      </w:r>
      <w:r w:rsidR="008072BC">
        <w:t xml:space="preserve">Table </w:t>
      </w:r>
      <w:r w:rsidR="008072BC">
        <w:rPr>
          <w:noProof/>
        </w:rPr>
        <w:t>1</w:t>
      </w:r>
      <w:r w:rsidR="00DE2718">
        <w:fldChar w:fldCharType="end"/>
      </w:r>
      <w:r w:rsidR="00DE2718">
        <w:t>.</w:t>
      </w:r>
      <w:r w:rsidR="00B56DDF">
        <w:t xml:space="preserve">These data were provided </w:t>
      </w:r>
      <w:r w:rsidR="003A796E">
        <w:t xml:space="preserve">directly </w:t>
      </w:r>
      <w:r w:rsidR="00B56DDF">
        <w:t>by the vendors</w:t>
      </w:r>
      <w:r w:rsidR="003A796E">
        <w:t xml:space="preserve"> (Watergen and EcoloBlue)</w:t>
      </w:r>
      <w:r w:rsidR="00B56DDF">
        <w:t xml:space="preserve"> in the form of </w:t>
      </w:r>
      <w:r w:rsidR="00651C10">
        <w:t>vendor specific reports</w:t>
      </w:r>
      <w:r w:rsidR="00B56DDF">
        <w:t xml:space="preserve">, </w:t>
      </w:r>
      <w:r w:rsidR="00BE12FD">
        <w:t xml:space="preserve">completed </w:t>
      </w:r>
      <w:r w:rsidR="00B56DDF">
        <w:t>data forms, via</w:t>
      </w:r>
      <w:r w:rsidR="002367B1">
        <w:t xml:space="preserve"> </w:t>
      </w:r>
      <w:r w:rsidR="00B56DDF">
        <w:t>e</w:t>
      </w:r>
      <w:r w:rsidR="00811E9D">
        <w:t>-</w:t>
      </w:r>
      <w:r w:rsidR="00B56DDF">
        <w:t>mail</w:t>
      </w:r>
      <w:r w:rsidR="00811E9D">
        <w:t xml:space="preserve"> communication,</w:t>
      </w:r>
      <w:r w:rsidR="00B56DDF">
        <w:t xml:space="preserve"> or provided on the</w:t>
      </w:r>
      <w:r w:rsidR="00BE12FD">
        <w:t xml:space="preserve"> vendors’</w:t>
      </w:r>
      <w:r w:rsidR="00B56DDF">
        <w:t xml:space="preserve"> official websites. The data parameters for daily volume of water generated </w:t>
      </w:r>
      <w:r w:rsidR="0003117C">
        <w:t>w</w:t>
      </w:r>
      <w:r w:rsidR="00B12117">
        <w:t>ere</w:t>
      </w:r>
      <w:r w:rsidR="0003117C">
        <w:t xml:space="preserve"> varied in a sensitivity analysis to study the impacts associated with low or high daily volume of water produced by the AWGs (see </w:t>
      </w:r>
      <w:r w:rsidR="000F2B11">
        <w:t>S</w:t>
      </w:r>
      <w:r w:rsidR="0003117C">
        <w:t xml:space="preserve">ection </w:t>
      </w:r>
      <w:r w:rsidR="0003117C">
        <w:fldChar w:fldCharType="begin"/>
      </w:r>
      <w:r w:rsidR="0003117C">
        <w:instrText xml:space="preserve"> REF _Ref525039328 \r \h </w:instrText>
      </w:r>
      <w:r w:rsidR="0003117C">
        <w:fldChar w:fldCharType="separate"/>
      </w:r>
      <w:r w:rsidR="008072BC">
        <w:t>4.4</w:t>
      </w:r>
      <w:r w:rsidR="0003117C">
        <w:fldChar w:fldCharType="end"/>
      </w:r>
      <w:r w:rsidR="0003117C">
        <w:t xml:space="preserve"> for details).</w:t>
      </w:r>
    </w:p>
    <w:tbl>
      <w:tblPr>
        <w:tblW w:w="5000" w:type="pct"/>
        <w:tblCellMar>
          <w:left w:w="0" w:type="dxa"/>
          <w:right w:w="0" w:type="dxa"/>
        </w:tblCellMar>
        <w:tblLook w:val="04A0" w:firstRow="1" w:lastRow="0" w:firstColumn="1" w:lastColumn="0" w:noHBand="0" w:noVBand="1"/>
      </w:tblPr>
      <w:tblGrid>
        <w:gridCol w:w="1391"/>
        <w:gridCol w:w="1449"/>
        <w:gridCol w:w="1166"/>
        <w:gridCol w:w="1503"/>
        <w:gridCol w:w="1279"/>
        <w:gridCol w:w="1275"/>
        <w:gridCol w:w="1297"/>
      </w:tblGrid>
      <w:tr w:rsidR="00E87A66" w:rsidRPr="00690F82" w14:paraId="3CE1EF4C" w14:textId="77777777" w:rsidTr="00E87A66">
        <w:trPr>
          <w:trHeight w:val="297"/>
        </w:trPr>
        <w:tc>
          <w:tcPr>
            <w:tcW w:w="5000" w:type="pct"/>
            <w:gridSpan w:val="7"/>
            <w:tcBorders>
              <w:bottom w:val="single" w:sz="24" w:space="0" w:color="FFFFFF"/>
            </w:tcBorders>
            <w:shd w:val="clear" w:color="auto" w:fill="auto"/>
            <w:vAlign w:val="center"/>
          </w:tcPr>
          <w:p w14:paraId="5FD30133" w14:textId="1FE831BB" w:rsidR="00E87A66" w:rsidRPr="00690F82" w:rsidRDefault="00E87A66" w:rsidP="00E87A66">
            <w:pPr>
              <w:pStyle w:val="TableTitle"/>
              <w:rPr>
                <w:rFonts w:asciiTheme="majorHAnsi" w:hAnsiTheme="majorHAnsi" w:cstheme="majorHAnsi"/>
                <w:bCs/>
                <w:color w:val="000000" w:themeColor="text1"/>
                <w:sz w:val="20"/>
              </w:rPr>
            </w:pPr>
            <w:bookmarkStart w:id="33" w:name="_Ref524340875"/>
            <w:bookmarkStart w:id="34" w:name="_Ref524340870"/>
            <w:bookmarkStart w:id="35" w:name="_Toc524636921"/>
            <w:bookmarkStart w:id="36" w:name="_Toc533009181"/>
            <w:r>
              <w:t xml:space="preserve">Table </w:t>
            </w:r>
            <w:r>
              <w:rPr>
                <w:noProof/>
              </w:rPr>
              <w:fldChar w:fldCharType="begin"/>
            </w:r>
            <w:r>
              <w:rPr>
                <w:noProof/>
              </w:rPr>
              <w:instrText xml:space="preserve"> SEQ Table \* ARABIC </w:instrText>
            </w:r>
            <w:r>
              <w:rPr>
                <w:noProof/>
              </w:rPr>
              <w:fldChar w:fldCharType="separate"/>
            </w:r>
            <w:r w:rsidR="008072BC">
              <w:rPr>
                <w:noProof/>
              </w:rPr>
              <w:t>1</w:t>
            </w:r>
            <w:r>
              <w:rPr>
                <w:noProof/>
              </w:rPr>
              <w:fldChar w:fldCharType="end"/>
            </w:r>
            <w:bookmarkEnd w:id="33"/>
            <w:r>
              <w:t>. Vendor Specific LCA Parameters</w:t>
            </w:r>
            <w:bookmarkEnd w:id="34"/>
            <w:bookmarkEnd w:id="35"/>
            <w:bookmarkEnd w:id="36"/>
          </w:p>
        </w:tc>
      </w:tr>
      <w:tr w:rsidR="006F6738" w:rsidRPr="00690F82" w14:paraId="3F399A80" w14:textId="56624D1D" w:rsidTr="005866F1">
        <w:trPr>
          <w:trHeight w:val="297"/>
        </w:trPr>
        <w:tc>
          <w:tcPr>
            <w:tcW w:w="743"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5A6BE240" w14:textId="32BE1D16" w:rsidR="006F6738" w:rsidRPr="00690F82" w:rsidRDefault="006F6738" w:rsidP="002E10F6">
            <w:pPr>
              <w:rPr>
                <w:rFonts w:asciiTheme="majorHAnsi" w:hAnsiTheme="majorHAnsi" w:cstheme="majorHAnsi"/>
                <w:b/>
                <w:color w:val="000000" w:themeColor="text1"/>
                <w:sz w:val="20"/>
              </w:rPr>
            </w:pPr>
            <w:r w:rsidRPr="00690F82">
              <w:rPr>
                <w:rFonts w:asciiTheme="majorHAnsi" w:hAnsiTheme="majorHAnsi" w:cstheme="majorHAnsi"/>
                <w:b/>
                <w:bCs/>
                <w:color w:val="000000" w:themeColor="text1"/>
                <w:sz w:val="20"/>
              </w:rPr>
              <w:t>Vendor</w:t>
            </w:r>
          </w:p>
        </w:tc>
        <w:tc>
          <w:tcPr>
            <w:tcW w:w="774"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tcPr>
          <w:p w14:paraId="590BD9CA" w14:textId="0ED5894E" w:rsidR="006F6738" w:rsidRPr="00690F82" w:rsidRDefault="006F6738" w:rsidP="002E10F6">
            <w:pPr>
              <w:jc w:val="center"/>
              <w:rPr>
                <w:rFonts w:asciiTheme="majorHAnsi" w:hAnsiTheme="majorHAnsi" w:cstheme="majorHAnsi"/>
                <w:b/>
                <w:color w:val="000000" w:themeColor="text1"/>
                <w:sz w:val="20"/>
              </w:rPr>
            </w:pPr>
            <w:r w:rsidRPr="00690F82">
              <w:rPr>
                <w:rFonts w:asciiTheme="majorHAnsi" w:hAnsiTheme="majorHAnsi" w:cstheme="majorHAnsi"/>
                <w:b/>
                <w:bCs/>
                <w:color w:val="000000" w:themeColor="text1"/>
                <w:sz w:val="20"/>
              </w:rPr>
              <w:t>Scale</w:t>
            </w:r>
          </w:p>
        </w:tc>
        <w:tc>
          <w:tcPr>
            <w:tcW w:w="623"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tcPr>
          <w:p w14:paraId="36AEEED4" w14:textId="31012118" w:rsidR="006F6738" w:rsidRPr="00690F82" w:rsidRDefault="006F6738" w:rsidP="002E10F6">
            <w:pPr>
              <w:jc w:val="center"/>
              <w:rPr>
                <w:rFonts w:asciiTheme="majorHAnsi" w:hAnsiTheme="majorHAnsi" w:cstheme="majorHAnsi"/>
                <w:b/>
                <w:color w:val="000000" w:themeColor="text1"/>
                <w:sz w:val="20"/>
              </w:rPr>
            </w:pPr>
            <w:r w:rsidRPr="00690F82">
              <w:rPr>
                <w:rFonts w:asciiTheme="majorHAnsi" w:hAnsiTheme="majorHAnsi" w:cstheme="majorHAnsi"/>
                <w:b/>
                <w:bCs/>
                <w:color w:val="000000" w:themeColor="text1"/>
                <w:sz w:val="20"/>
              </w:rPr>
              <w:t>Weight (kg)</w:t>
            </w:r>
          </w:p>
        </w:tc>
        <w:tc>
          <w:tcPr>
            <w:tcW w:w="803"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135F728F" w14:textId="77777777" w:rsidR="006F6738" w:rsidRPr="00690F82" w:rsidRDefault="006F6738" w:rsidP="002E10F6">
            <w:pPr>
              <w:jc w:val="center"/>
              <w:rPr>
                <w:rFonts w:asciiTheme="majorHAnsi" w:hAnsiTheme="majorHAnsi" w:cstheme="majorHAnsi"/>
                <w:color w:val="000000" w:themeColor="text1"/>
                <w:sz w:val="20"/>
              </w:rPr>
            </w:pPr>
            <w:r w:rsidRPr="00690F82">
              <w:rPr>
                <w:rFonts w:asciiTheme="majorHAnsi" w:hAnsiTheme="majorHAnsi" w:cstheme="majorHAnsi"/>
                <w:b/>
                <w:bCs/>
                <w:color w:val="000000" w:themeColor="text1"/>
                <w:sz w:val="20"/>
              </w:rPr>
              <w:t>Volume Generated</w:t>
            </w:r>
          </w:p>
          <w:p w14:paraId="700D09B0" w14:textId="03884CCF" w:rsidR="006F6738" w:rsidRPr="00690F82" w:rsidRDefault="006F6738" w:rsidP="002E10F6">
            <w:pPr>
              <w:jc w:val="center"/>
              <w:rPr>
                <w:rFonts w:asciiTheme="majorHAnsi" w:hAnsiTheme="majorHAnsi" w:cstheme="majorHAnsi"/>
                <w:b/>
                <w:color w:val="000000" w:themeColor="text1"/>
                <w:sz w:val="20"/>
              </w:rPr>
            </w:pPr>
            <w:r w:rsidRPr="00690F82">
              <w:rPr>
                <w:rFonts w:asciiTheme="majorHAnsi" w:hAnsiTheme="majorHAnsi" w:cstheme="majorHAnsi"/>
                <w:b/>
                <w:bCs/>
                <w:color w:val="000000" w:themeColor="text1"/>
                <w:sz w:val="20"/>
              </w:rPr>
              <w:t>(L per day)</w:t>
            </w:r>
          </w:p>
        </w:tc>
        <w:tc>
          <w:tcPr>
            <w:tcW w:w="683"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4F8DBC57" w14:textId="1F1A38A2" w:rsidR="006F6738" w:rsidRPr="00690F82" w:rsidRDefault="006F6738" w:rsidP="002E10F6">
            <w:pPr>
              <w:jc w:val="center"/>
              <w:rPr>
                <w:rFonts w:asciiTheme="majorHAnsi" w:hAnsiTheme="majorHAnsi" w:cstheme="majorHAnsi"/>
                <w:b/>
                <w:color w:val="000000" w:themeColor="text1"/>
                <w:sz w:val="20"/>
              </w:rPr>
            </w:pPr>
            <w:r w:rsidRPr="00690F82">
              <w:rPr>
                <w:rFonts w:asciiTheme="majorHAnsi" w:hAnsiTheme="majorHAnsi" w:cstheme="majorHAnsi"/>
                <w:b/>
                <w:bCs/>
                <w:color w:val="000000" w:themeColor="text1"/>
                <w:sz w:val="20"/>
              </w:rPr>
              <w:t xml:space="preserve">Electricity per </w:t>
            </w:r>
            <w:r w:rsidR="008918A8">
              <w:rPr>
                <w:rFonts w:asciiTheme="majorHAnsi" w:hAnsiTheme="majorHAnsi" w:cstheme="majorHAnsi"/>
                <w:b/>
                <w:bCs/>
                <w:color w:val="000000" w:themeColor="text1"/>
                <w:sz w:val="20"/>
              </w:rPr>
              <w:t>V</w:t>
            </w:r>
            <w:r w:rsidRPr="00690F82">
              <w:rPr>
                <w:rFonts w:asciiTheme="majorHAnsi" w:hAnsiTheme="majorHAnsi" w:cstheme="majorHAnsi"/>
                <w:b/>
                <w:bCs/>
                <w:color w:val="000000" w:themeColor="text1"/>
                <w:sz w:val="20"/>
              </w:rPr>
              <w:t xml:space="preserve">olume </w:t>
            </w:r>
            <w:r w:rsidR="008918A8">
              <w:rPr>
                <w:rFonts w:asciiTheme="majorHAnsi" w:hAnsiTheme="majorHAnsi" w:cstheme="majorHAnsi"/>
                <w:b/>
                <w:bCs/>
                <w:color w:val="000000" w:themeColor="text1"/>
                <w:sz w:val="20"/>
              </w:rPr>
              <w:t>P</w:t>
            </w:r>
            <w:r w:rsidRPr="00690F82">
              <w:rPr>
                <w:rFonts w:asciiTheme="majorHAnsi" w:hAnsiTheme="majorHAnsi" w:cstheme="majorHAnsi"/>
                <w:b/>
                <w:bCs/>
                <w:color w:val="000000" w:themeColor="text1"/>
                <w:sz w:val="20"/>
              </w:rPr>
              <w:t>roduced (Wh/L)</w:t>
            </w:r>
          </w:p>
        </w:tc>
        <w:tc>
          <w:tcPr>
            <w:tcW w:w="681"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14353B90" w14:textId="1B6E3332" w:rsidR="006F6738" w:rsidRPr="00690F82" w:rsidRDefault="006F6738" w:rsidP="002E10F6">
            <w:pPr>
              <w:jc w:val="center"/>
              <w:rPr>
                <w:rFonts w:asciiTheme="majorHAnsi" w:hAnsiTheme="majorHAnsi" w:cstheme="majorHAnsi"/>
                <w:b/>
                <w:color w:val="000000" w:themeColor="text1"/>
                <w:sz w:val="20"/>
              </w:rPr>
            </w:pPr>
            <w:r w:rsidRPr="00690F82">
              <w:rPr>
                <w:rFonts w:asciiTheme="majorHAnsi" w:hAnsiTheme="majorHAnsi" w:cstheme="majorHAnsi"/>
                <w:b/>
                <w:bCs/>
                <w:color w:val="000000" w:themeColor="text1"/>
                <w:sz w:val="20"/>
              </w:rPr>
              <w:t xml:space="preserve">Unit </w:t>
            </w:r>
            <w:r w:rsidR="008918A8">
              <w:rPr>
                <w:rFonts w:asciiTheme="majorHAnsi" w:hAnsiTheme="majorHAnsi" w:cstheme="majorHAnsi"/>
                <w:b/>
                <w:bCs/>
                <w:color w:val="000000" w:themeColor="text1"/>
                <w:sz w:val="20"/>
              </w:rPr>
              <w:t>C</w:t>
            </w:r>
            <w:r w:rsidRPr="00690F82">
              <w:rPr>
                <w:rFonts w:asciiTheme="majorHAnsi" w:hAnsiTheme="majorHAnsi" w:cstheme="majorHAnsi"/>
                <w:b/>
                <w:bCs/>
                <w:color w:val="000000" w:themeColor="text1"/>
                <w:sz w:val="20"/>
              </w:rPr>
              <w:t>ost (</w:t>
            </w:r>
            <w:r w:rsidR="006E44D5">
              <w:rPr>
                <w:rFonts w:asciiTheme="majorHAnsi" w:hAnsiTheme="majorHAnsi" w:cstheme="majorHAnsi"/>
                <w:b/>
                <w:bCs/>
                <w:color w:val="000000" w:themeColor="text1"/>
                <w:sz w:val="20"/>
              </w:rPr>
              <w:t>2018 USD</w:t>
            </w:r>
            <w:r w:rsidRPr="00796D5E">
              <w:rPr>
                <w:rFonts w:asciiTheme="majorHAnsi" w:hAnsiTheme="majorHAnsi" w:cstheme="majorHAnsi"/>
                <w:b/>
                <w:bCs/>
                <w:color w:val="000000" w:themeColor="text1"/>
                <w:szCs w:val="24"/>
                <w:vertAlign w:val="superscript"/>
              </w:rPr>
              <w:t>)</w:t>
            </w:r>
            <w:r w:rsidR="00796D5E" w:rsidRPr="00796D5E">
              <w:rPr>
                <w:rFonts w:asciiTheme="majorHAnsi" w:hAnsiTheme="majorHAnsi" w:cstheme="majorHAnsi"/>
                <w:b/>
                <w:bCs/>
                <w:color w:val="000000" w:themeColor="text1"/>
                <w:szCs w:val="24"/>
                <w:vertAlign w:val="superscript"/>
              </w:rPr>
              <w:t>§</w:t>
            </w:r>
          </w:p>
        </w:tc>
        <w:tc>
          <w:tcPr>
            <w:tcW w:w="693"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593AB79C" w14:textId="0B8B049C" w:rsidR="006F6738" w:rsidRPr="00690F82" w:rsidRDefault="006F6738" w:rsidP="002E10F6">
            <w:pPr>
              <w:jc w:val="center"/>
              <w:rPr>
                <w:rFonts w:asciiTheme="majorHAnsi" w:hAnsiTheme="majorHAnsi" w:cstheme="majorHAnsi"/>
                <w:b/>
                <w:color w:val="000000" w:themeColor="text1"/>
                <w:sz w:val="20"/>
              </w:rPr>
            </w:pPr>
            <w:r w:rsidRPr="00690F82">
              <w:rPr>
                <w:rFonts w:asciiTheme="majorHAnsi" w:hAnsiTheme="majorHAnsi" w:cstheme="majorHAnsi"/>
                <w:b/>
                <w:bCs/>
                <w:color w:val="000000" w:themeColor="text1"/>
                <w:sz w:val="20"/>
              </w:rPr>
              <w:t xml:space="preserve">Maintenance </w:t>
            </w:r>
            <w:r w:rsidR="008918A8">
              <w:rPr>
                <w:rFonts w:asciiTheme="majorHAnsi" w:hAnsiTheme="majorHAnsi" w:cstheme="majorHAnsi"/>
                <w:b/>
                <w:bCs/>
                <w:color w:val="000000" w:themeColor="text1"/>
                <w:sz w:val="20"/>
              </w:rPr>
              <w:t>C</w:t>
            </w:r>
            <w:r w:rsidRPr="00690F82">
              <w:rPr>
                <w:rFonts w:asciiTheme="majorHAnsi" w:hAnsiTheme="majorHAnsi" w:cstheme="majorHAnsi"/>
                <w:b/>
                <w:bCs/>
                <w:color w:val="000000" w:themeColor="text1"/>
                <w:sz w:val="20"/>
              </w:rPr>
              <w:t>ost</w:t>
            </w:r>
            <w:r w:rsidR="006E44D5">
              <w:rPr>
                <w:rFonts w:asciiTheme="majorHAnsi" w:hAnsiTheme="majorHAnsi" w:cstheme="majorHAnsi"/>
                <w:b/>
                <w:bCs/>
                <w:color w:val="000000" w:themeColor="text1"/>
                <w:sz w:val="20"/>
              </w:rPr>
              <w:t xml:space="preserve"> per </w:t>
            </w:r>
            <w:r w:rsidR="008918A8">
              <w:rPr>
                <w:rFonts w:asciiTheme="majorHAnsi" w:hAnsiTheme="majorHAnsi" w:cstheme="majorHAnsi"/>
                <w:b/>
                <w:bCs/>
                <w:color w:val="000000" w:themeColor="text1"/>
                <w:sz w:val="20"/>
              </w:rPr>
              <w:t>Y</w:t>
            </w:r>
            <w:r w:rsidR="006E44D5">
              <w:rPr>
                <w:rFonts w:asciiTheme="majorHAnsi" w:hAnsiTheme="majorHAnsi" w:cstheme="majorHAnsi"/>
                <w:b/>
                <w:bCs/>
                <w:color w:val="000000" w:themeColor="text1"/>
                <w:sz w:val="20"/>
              </w:rPr>
              <w:t>ear</w:t>
            </w:r>
            <w:r w:rsidRPr="00690F82">
              <w:rPr>
                <w:rFonts w:asciiTheme="majorHAnsi" w:hAnsiTheme="majorHAnsi" w:cstheme="majorHAnsi"/>
                <w:b/>
                <w:bCs/>
                <w:color w:val="000000" w:themeColor="text1"/>
                <w:sz w:val="20"/>
              </w:rPr>
              <w:t xml:space="preserve"> (</w:t>
            </w:r>
            <w:r w:rsidR="006E44D5">
              <w:rPr>
                <w:rFonts w:asciiTheme="majorHAnsi" w:hAnsiTheme="majorHAnsi" w:cstheme="majorHAnsi"/>
                <w:b/>
                <w:bCs/>
                <w:color w:val="000000" w:themeColor="text1"/>
                <w:sz w:val="20"/>
              </w:rPr>
              <w:t>2018 USD</w:t>
            </w:r>
            <w:r w:rsidRPr="00690F82">
              <w:rPr>
                <w:rFonts w:asciiTheme="majorHAnsi" w:hAnsiTheme="majorHAnsi" w:cstheme="majorHAnsi"/>
                <w:b/>
                <w:bCs/>
                <w:color w:val="000000" w:themeColor="text1"/>
                <w:sz w:val="20"/>
              </w:rPr>
              <w:t>)</w:t>
            </w:r>
            <w:r w:rsidR="005A5DB3">
              <w:rPr>
                <w:rFonts w:asciiTheme="majorHAnsi" w:hAnsiTheme="majorHAnsi" w:cstheme="majorHAnsi"/>
                <w:b/>
                <w:bCs/>
                <w:color w:val="000000" w:themeColor="text1"/>
                <w:sz w:val="20"/>
              </w:rPr>
              <w:t>*</w:t>
            </w:r>
          </w:p>
        </w:tc>
      </w:tr>
      <w:tr w:rsidR="006F6738" w:rsidRPr="00690F82" w14:paraId="7B6001FC" w14:textId="3CA2D3A2" w:rsidTr="005866F1">
        <w:trPr>
          <w:trHeight w:val="187"/>
        </w:trPr>
        <w:tc>
          <w:tcPr>
            <w:tcW w:w="743" w:type="pct"/>
            <w:tcBorders>
              <w:top w:val="single" w:sz="24" w:space="0" w:color="FFFFFF"/>
              <w:left w:val="single" w:sz="8" w:space="0" w:color="FFFFFF"/>
              <w:bottom w:val="single" w:sz="8" w:space="0" w:color="FFFFFF"/>
              <w:right w:val="single" w:sz="8" w:space="0" w:color="FFFFFF"/>
            </w:tcBorders>
            <w:shd w:val="clear" w:color="auto" w:fill="BBE0E3"/>
            <w:vAlign w:val="center"/>
          </w:tcPr>
          <w:p w14:paraId="0CA52ACD" w14:textId="426EABD6" w:rsidR="006F6738" w:rsidRPr="00690F82" w:rsidRDefault="006F6738" w:rsidP="006F6738">
            <w:pPr>
              <w:rPr>
                <w:rFonts w:asciiTheme="majorHAnsi" w:hAnsiTheme="majorHAnsi" w:cstheme="majorHAnsi"/>
                <w:b/>
                <w:sz w:val="20"/>
              </w:rPr>
            </w:pPr>
            <w:r w:rsidRPr="00690F82">
              <w:rPr>
                <w:rFonts w:asciiTheme="majorHAnsi" w:hAnsiTheme="majorHAnsi" w:cstheme="majorHAnsi"/>
                <w:b/>
                <w:bCs/>
                <w:sz w:val="20"/>
              </w:rPr>
              <w:t>Watergen</w:t>
            </w:r>
          </w:p>
        </w:tc>
        <w:tc>
          <w:tcPr>
            <w:tcW w:w="774" w:type="pct"/>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47D2ED89" w14:textId="54CFB4B9" w:rsidR="006F6738" w:rsidRPr="00690F82" w:rsidRDefault="006F6738" w:rsidP="006F6738">
            <w:pPr>
              <w:rPr>
                <w:rFonts w:asciiTheme="majorHAnsi" w:hAnsiTheme="majorHAnsi" w:cstheme="majorHAnsi"/>
                <w:sz w:val="20"/>
              </w:rPr>
            </w:pPr>
            <w:r w:rsidRPr="00690F82">
              <w:rPr>
                <w:rFonts w:asciiTheme="majorHAnsi" w:hAnsiTheme="majorHAnsi" w:cstheme="majorHAnsi"/>
                <w:sz w:val="20"/>
              </w:rPr>
              <w:t>Large</w:t>
            </w:r>
          </w:p>
        </w:tc>
        <w:tc>
          <w:tcPr>
            <w:tcW w:w="623" w:type="pct"/>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01EF8268" w14:textId="0A7C734C"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2</w:t>
            </w:r>
            <w:r w:rsidR="00B426BA" w:rsidRPr="00690F82">
              <w:rPr>
                <w:rFonts w:asciiTheme="majorHAnsi" w:hAnsiTheme="majorHAnsi" w:cstheme="majorHAnsi"/>
                <w:sz w:val="20"/>
              </w:rPr>
              <w:t>,</w:t>
            </w:r>
            <w:r w:rsidRPr="00690F82">
              <w:rPr>
                <w:rFonts w:asciiTheme="majorHAnsi" w:hAnsiTheme="majorHAnsi" w:cstheme="majorHAnsi"/>
                <w:sz w:val="20"/>
              </w:rPr>
              <w:t>870</w:t>
            </w:r>
          </w:p>
        </w:tc>
        <w:tc>
          <w:tcPr>
            <w:tcW w:w="803"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5C6A76E4" w14:textId="6D7C6359"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3</w:t>
            </w:r>
            <w:r w:rsidR="00B426BA" w:rsidRPr="00690F82">
              <w:rPr>
                <w:rFonts w:asciiTheme="majorHAnsi" w:hAnsiTheme="majorHAnsi" w:cstheme="majorHAnsi"/>
                <w:sz w:val="20"/>
              </w:rPr>
              <w:t>,</w:t>
            </w:r>
            <w:r w:rsidRPr="00690F82">
              <w:rPr>
                <w:rFonts w:asciiTheme="majorHAnsi" w:hAnsiTheme="majorHAnsi" w:cstheme="majorHAnsi"/>
                <w:sz w:val="20"/>
              </w:rPr>
              <w:t>000</w:t>
            </w:r>
            <w:r w:rsidR="005A774C">
              <w:rPr>
                <w:rFonts w:cstheme="majorHAnsi"/>
                <w:vertAlign w:val="superscript"/>
              </w:rPr>
              <w:t>ǂ</w:t>
            </w:r>
          </w:p>
        </w:tc>
        <w:tc>
          <w:tcPr>
            <w:tcW w:w="683"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279FAD5B" w14:textId="106F99B1"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350</w:t>
            </w:r>
          </w:p>
        </w:tc>
        <w:tc>
          <w:tcPr>
            <w:tcW w:w="681"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4D9DC046" w14:textId="180D4535"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115,000</w:t>
            </w:r>
          </w:p>
        </w:tc>
        <w:tc>
          <w:tcPr>
            <w:tcW w:w="693"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37E60FC7" w14:textId="022559D0"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7</w:t>
            </w:r>
            <w:r w:rsidRPr="00690F82">
              <w:rPr>
                <w:rFonts w:asciiTheme="majorHAnsi" w:hAnsiTheme="majorHAnsi" w:cstheme="majorHAnsi"/>
                <w:sz w:val="20"/>
              </w:rPr>
              <w:t>,</w:t>
            </w:r>
            <w:r w:rsidR="006F6738" w:rsidRPr="00690F82">
              <w:rPr>
                <w:rFonts w:asciiTheme="majorHAnsi" w:hAnsiTheme="majorHAnsi" w:cstheme="majorHAnsi"/>
                <w:sz w:val="20"/>
              </w:rPr>
              <w:t>866</w:t>
            </w:r>
          </w:p>
        </w:tc>
      </w:tr>
      <w:tr w:rsidR="006F6738" w:rsidRPr="00690F82" w14:paraId="27F836B1" w14:textId="0FF810AD" w:rsidTr="005866F1">
        <w:trPr>
          <w:trHeight w:val="224"/>
        </w:trPr>
        <w:tc>
          <w:tcPr>
            <w:tcW w:w="743"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204C8C28" w14:textId="2AC2F83A" w:rsidR="006F6738" w:rsidRPr="00690F82" w:rsidRDefault="006F6738" w:rsidP="006F6738">
            <w:pPr>
              <w:rPr>
                <w:rFonts w:asciiTheme="majorHAnsi" w:hAnsiTheme="majorHAnsi" w:cstheme="majorHAnsi"/>
                <w:b/>
                <w:sz w:val="20"/>
              </w:rPr>
            </w:pPr>
            <w:r w:rsidRPr="00690F82">
              <w:rPr>
                <w:rFonts w:asciiTheme="majorHAnsi" w:hAnsiTheme="majorHAnsi" w:cstheme="majorHAnsi"/>
                <w:b/>
                <w:bCs/>
                <w:sz w:val="20"/>
              </w:rPr>
              <w:t>Watergen</w:t>
            </w:r>
          </w:p>
        </w:tc>
        <w:tc>
          <w:tcPr>
            <w:tcW w:w="774"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057622CF" w14:textId="69D6CC51" w:rsidR="006F6738" w:rsidRPr="00690F82" w:rsidRDefault="006F6738" w:rsidP="006F6738">
            <w:pPr>
              <w:rPr>
                <w:rFonts w:asciiTheme="majorHAnsi" w:hAnsiTheme="majorHAnsi" w:cstheme="majorHAnsi"/>
                <w:sz w:val="20"/>
              </w:rPr>
            </w:pPr>
            <w:r w:rsidRPr="00690F82">
              <w:rPr>
                <w:rFonts w:asciiTheme="majorHAnsi" w:hAnsiTheme="majorHAnsi" w:cstheme="majorHAnsi"/>
                <w:sz w:val="20"/>
              </w:rPr>
              <w:t>Medium</w:t>
            </w:r>
          </w:p>
        </w:tc>
        <w:tc>
          <w:tcPr>
            <w:tcW w:w="623"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20221201" w14:textId="70693E47"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800</w:t>
            </w:r>
          </w:p>
        </w:tc>
        <w:tc>
          <w:tcPr>
            <w:tcW w:w="80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61969AF" w14:textId="1087177E"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400</w:t>
            </w:r>
          </w:p>
        </w:tc>
        <w:tc>
          <w:tcPr>
            <w:tcW w:w="68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4458A9D" w14:textId="299CED41"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330</w:t>
            </w:r>
          </w:p>
        </w:tc>
        <w:tc>
          <w:tcPr>
            <w:tcW w:w="681"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AA465FC" w14:textId="07334E5A"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55,000</w:t>
            </w:r>
          </w:p>
        </w:tc>
        <w:tc>
          <w:tcPr>
            <w:tcW w:w="69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FE943AC" w14:textId="47E73CBC"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2</w:t>
            </w:r>
            <w:r w:rsidRPr="00690F82">
              <w:rPr>
                <w:rFonts w:asciiTheme="majorHAnsi" w:hAnsiTheme="majorHAnsi" w:cstheme="majorHAnsi"/>
                <w:sz w:val="20"/>
              </w:rPr>
              <w:t>,</w:t>
            </w:r>
            <w:r w:rsidR="006F6738" w:rsidRPr="00690F82">
              <w:rPr>
                <w:rFonts w:asciiTheme="majorHAnsi" w:hAnsiTheme="majorHAnsi" w:cstheme="majorHAnsi"/>
                <w:sz w:val="20"/>
              </w:rPr>
              <w:t>500</w:t>
            </w:r>
          </w:p>
        </w:tc>
      </w:tr>
      <w:tr w:rsidR="006F6738" w:rsidRPr="00690F82" w14:paraId="44FED812" w14:textId="42D5F021" w:rsidTr="005866F1">
        <w:trPr>
          <w:trHeight w:val="218"/>
        </w:trPr>
        <w:tc>
          <w:tcPr>
            <w:tcW w:w="743"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0EA7C723" w14:textId="14B9877D" w:rsidR="006F6738" w:rsidRPr="00690F82" w:rsidRDefault="006F6738" w:rsidP="006F6738">
            <w:pPr>
              <w:rPr>
                <w:rFonts w:asciiTheme="majorHAnsi" w:hAnsiTheme="majorHAnsi" w:cstheme="majorHAnsi"/>
                <w:b/>
                <w:sz w:val="20"/>
              </w:rPr>
            </w:pPr>
            <w:r w:rsidRPr="00690F82">
              <w:rPr>
                <w:rFonts w:asciiTheme="majorHAnsi" w:hAnsiTheme="majorHAnsi" w:cstheme="majorHAnsi"/>
                <w:b/>
                <w:bCs/>
                <w:sz w:val="20"/>
              </w:rPr>
              <w:t>Watergen</w:t>
            </w:r>
          </w:p>
        </w:tc>
        <w:tc>
          <w:tcPr>
            <w:tcW w:w="774"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3A21969E" w14:textId="42C364BD" w:rsidR="006F6738" w:rsidRPr="00690F82" w:rsidRDefault="006F6738" w:rsidP="006F6738">
            <w:pPr>
              <w:rPr>
                <w:rFonts w:asciiTheme="majorHAnsi" w:hAnsiTheme="majorHAnsi" w:cstheme="majorHAnsi"/>
                <w:sz w:val="20"/>
              </w:rPr>
            </w:pPr>
            <w:r w:rsidRPr="00690F82">
              <w:rPr>
                <w:rFonts w:asciiTheme="majorHAnsi" w:hAnsiTheme="majorHAnsi" w:cstheme="majorHAnsi"/>
                <w:sz w:val="20"/>
              </w:rPr>
              <w:t>Home/Office</w:t>
            </w:r>
          </w:p>
        </w:tc>
        <w:tc>
          <w:tcPr>
            <w:tcW w:w="623"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359BF128" w14:textId="5CFC8C30"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50</w:t>
            </w:r>
          </w:p>
        </w:tc>
        <w:tc>
          <w:tcPr>
            <w:tcW w:w="80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A7F697E" w14:textId="5F9AEBFF"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25</w:t>
            </w:r>
          </w:p>
        </w:tc>
        <w:tc>
          <w:tcPr>
            <w:tcW w:w="68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6E9A8A1" w14:textId="555C7851"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300</w:t>
            </w:r>
          </w:p>
        </w:tc>
        <w:tc>
          <w:tcPr>
            <w:tcW w:w="681"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46A093E" w14:textId="7122A4C0"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1</w:t>
            </w:r>
            <w:r w:rsidRPr="00690F82">
              <w:rPr>
                <w:rFonts w:asciiTheme="majorHAnsi" w:hAnsiTheme="majorHAnsi" w:cstheme="majorHAnsi"/>
                <w:sz w:val="20"/>
              </w:rPr>
              <w:t>,</w:t>
            </w:r>
            <w:r w:rsidR="006F6738" w:rsidRPr="00690F82">
              <w:rPr>
                <w:rFonts w:asciiTheme="majorHAnsi" w:hAnsiTheme="majorHAnsi" w:cstheme="majorHAnsi"/>
                <w:sz w:val="20"/>
              </w:rPr>
              <w:t>250</w:t>
            </w:r>
          </w:p>
        </w:tc>
        <w:tc>
          <w:tcPr>
            <w:tcW w:w="69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2F14E8B" w14:textId="7C2FF4C2" w:rsidR="006F6738" w:rsidRPr="00690F82" w:rsidRDefault="006F6738" w:rsidP="005866F1">
            <w:pPr>
              <w:ind w:right="220"/>
              <w:jc w:val="right"/>
              <w:rPr>
                <w:rFonts w:asciiTheme="majorHAnsi" w:hAnsiTheme="majorHAnsi" w:cstheme="majorHAnsi"/>
                <w:sz w:val="20"/>
              </w:rPr>
            </w:pPr>
            <w:r w:rsidRPr="00690F82">
              <w:rPr>
                <w:rFonts w:asciiTheme="majorHAnsi" w:hAnsiTheme="majorHAnsi" w:cstheme="majorHAnsi"/>
                <w:sz w:val="20"/>
              </w:rPr>
              <w:t>-</w:t>
            </w:r>
          </w:p>
        </w:tc>
      </w:tr>
      <w:tr w:rsidR="006F6738" w:rsidRPr="00690F82" w14:paraId="22B7D0E9" w14:textId="4E5ED4C1" w:rsidTr="005866F1">
        <w:trPr>
          <w:trHeight w:val="210"/>
        </w:trPr>
        <w:tc>
          <w:tcPr>
            <w:tcW w:w="743"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756A389B" w14:textId="0CBEEBCC" w:rsidR="006F6738" w:rsidRPr="00690F82" w:rsidRDefault="006F6738" w:rsidP="006F6738">
            <w:pPr>
              <w:rPr>
                <w:rFonts w:asciiTheme="majorHAnsi" w:hAnsiTheme="majorHAnsi" w:cstheme="majorHAnsi"/>
                <w:b/>
                <w:sz w:val="20"/>
              </w:rPr>
            </w:pPr>
            <w:r w:rsidRPr="00690F82">
              <w:rPr>
                <w:rFonts w:asciiTheme="majorHAnsi" w:hAnsiTheme="majorHAnsi" w:cstheme="majorHAnsi"/>
                <w:b/>
                <w:bCs/>
                <w:sz w:val="20"/>
              </w:rPr>
              <w:t>Ecolo</w:t>
            </w:r>
            <w:r w:rsidR="00D60DC7">
              <w:rPr>
                <w:rFonts w:asciiTheme="majorHAnsi" w:hAnsiTheme="majorHAnsi" w:cstheme="majorHAnsi"/>
                <w:b/>
                <w:bCs/>
                <w:sz w:val="20"/>
              </w:rPr>
              <w:t>B</w:t>
            </w:r>
            <w:r w:rsidRPr="00690F82">
              <w:rPr>
                <w:rFonts w:asciiTheme="majorHAnsi" w:hAnsiTheme="majorHAnsi" w:cstheme="majorHAnsi"/>
                <w:b/>
                <w:bCs/>
                <w:sz w:val="20"/>
              </w:rPr>
              <w:t>lue</w:t>
            </w:r>
          </w:p>
        </w:tc>
        <w:tc>
          <w:tcPr>
            <w:tcW w:w="774"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388EA99C" w14:textId="56CDB0E9" w:rsidR="006F6738" w:rsidRPr="00690F82" w:rsidRDefault="006F6738" w:rsidP="006F6738">
            <w:pPr>
              <w:rPr>
                <w:rFonts w:asciiTheme="majorHAnsi" w:hAnsiTheme="majorHAnsi" w:cstheme="majorHAnsi"/>
                <w:sz w:val="20"/>
              </w:rPr>
            </w:pPr>
            <w:r w:rsidRPr="00690F82">
              <w:rPr>
                <w:rFonts w:asciiTheme="majorHAnsi" w:hAnsiTheme="majorHAnsi" w:cstheme="majorHAnsi"/>
                <w:sz w:val="20"/>
              </w:rPr>
              <w:t>Large</w:t>
            </w:r>
          </w:p>
        </w:tc>
        <w:tc>
          <w:tcPr>
            <w:tcW w:w="623"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540D8FA0" w14:textId="75364F72"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3</w:t>
            </w:r>
            <w:r w:rsidR="00B426BA" w:rsidRPr="00690F82">
              <w:rPr>
                <w:rFonts w:asciiTheme="majorHAnsi" w:hAnsiTheme="majorHAnsi" w:cstheme="majorHAnsi"/>
                <w:sz w:val="20"/>
              </w:rPr>
              <w:t>,</w:t>
            </w:r>
            <w:r w:rsidRPr="00690F82">
              <w:rPr>
                <w:rFonts w:asciiTheme="majorHAnsi" w:hAnsiTheme="majorHAnsi" w:cstheme="majorHAnsi"/>
                <w:sz w:val="20"/>
              </w:rPr>
              <w:t>800</w:t>
            </w:r>
          </w:p>
        </w:tc>
        <w:tc>
          <w:tcPr>
            <w:tcW w:w="80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74BD1AE" w14:textId="5322E4FC"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3</w:t>
            </w:r>
            <w:r w:rsidR="00B426BA" w:rsidRPr="00690F82">
              <w:rPr>
                <w:rFonts w:asciiTheme="majorHAnsi" w:hAnsiTheme="majorHAnsi" w:cstheme="majorHAnsi"/>
                <w:sz w:val="20"/>
              </w:rPr>
              <w:t>,</w:t>
            </w:r>
            <w:r w:rsidRPr="00690F82">
              <w:rPr>
                <w:rFonts w:asciiTheme="majorHAnsi" w:hAnsiTheme="majorHAnsi" w:cstheme="majorHAnsi"/>
                <w:sz w:val="20"/>
              </w:rPr>
              <w:t>000</w:t>
            </w:r>
          </w:p>
        </w:tc>
        <w:tc>
          <w:tcPr>
            <w:tcW w:w="68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2706E26" w14:textId="56EC712A"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420</w:t>
            </w:r>
          </w:p>
        </w:tc>
        <w:tc>
          <w:tcPr>
            <w:tcW w:w="681"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714DB0A" w14:textId="0FAE1E4A"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159,700</w:t>
            </w:r>
          </w:p>
        </w:tc>
        <w:tc>
          <w:tcPr>
            <w:tcW w:w="69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623C9D3" w14:textId="5EBCD7BB"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3</w:t>
            </w:r>
            <w:r w:rsidRPr="00690F82">
              <w:rPr>
                <w:rFonts w:asciiTheme="majorHAnsi" w:hAnsiTheme="majorHAnsi" w:cstheme="majorHAnsi"/>
                <w:sz w:val="20"/>
              </w:rPr>
              <w:t>,</w:t>
            </w:r>
            <w:r w:rsidR="006F6738" w:rsidRPr="00690F82">
              <w:rPr>
                <w:rFonts w:asciiTheme="majorHAnsi" w:hAnsiTheme="majorHAnsi" w:cstheme="majorHAnsi"/>
                <w:sz w:val="20"/>
              </w:rPr>
              <w:t>767</w:t>
            </w:r>
          </w:p>
        </w:tc>
      </w:tr>
      <w:tr w:rsidR="006F6738" w:rsidRPr="00690F82" w14:paraId="088448AC" w14:textId="06029087" w:rsidTr="005866F1">
        <w:trPr>
          <w:trHeight w:val="196"/>
        </w:trPr>
        <w:tc>
          <w:tcPr>
            <w:tcW w:w="743"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38C95E30" w14:textId="3FDD335A" w:rsidR="006F6738" w:rsidRPr="00690F82" w:rsidRDefault="006F6738" w:rsidP="006F6738">
            <w:pPr>
              <w:rPr>
                <w:rFonts w:asciiTheme="majorHAnsi" w:hAnsiTheme="majorHAnsi" w:cstheme="majorHAnsi"/>
                <w:b/>
                <w:sz w:val="20"/>
              </w:rPr>
            </w:pPr>
            <w:r w:rsidRPr="00690F82">
              <w:rPr>
                <w:rFonts w:asciiTheme="majorHAnsi" w:hAnsiTheme="majorHAnsi" w:cstheme="majorHAnsi"/>
                <w:b/>
                <w:bCs/>
                <w:sz w:val="20"/>
              </w:rPr>
              <w:t>Ecolo</w:t>
            </w:r>
            <w:r w:rsidR="00D60DC7">
              <w:rPr>
                <w:rFonts w:asciiTheme="majorHAnsi" w:hAnsiTheme="majorHAnsi" w:cstheme="majorHAnsi"/>
                <w:b/>
                <w:bCs/>
                <w:sz w:val="20"/>
              </w:rPr>
              <w:t>B</w:t>
            </w:r>
            <w:r w:rsidRPr="00690F82">
              <w:rPr>
                <w:rFonts w:asciiTheme="majorHAnsi" w:hAnsiTheme="majorHAnsi" w:cstheme="majorHAnsi"/>
                <w:b/>
                <w:bCs/>
                <w:sz w:val="20"/>
              </w:rPr>
              <w:t>lue</w:t>
            </w:r>
          </w:p>
        </w:tc>
        <w:tc>
          <w:tcPr>
            <w:tcW w:w="774"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374EE36C" w14:textId="664BF928" w:rsidR="006F6738" w:rsidRPr="00690F82" w:rsidRDefault="006F6738" w:rsidP="006F6738">
            <w:pPr>
              <w:rPr>
                <w:rFonts w:asciiTheme="majorHAnsi" w:hAnsiTheme="majorHAnsi" w:cstheme="majorHAnsi"/>
                <w:sz w:val="20"/>
              </w:rPr>
            </w:pPr>
            <w:r w:rsidRPr="00690F82">
              <w:rPr>
                <w:rFonts w:asciiTheme="majorHAnsi" w:hAnsiTheme="majorHAnsi" w:cstheme="majorHAnsi"/>
                <w:sz w:val="20"/>
              </w:rPr>
              <w:t>Medium</w:t>
            </w:r>
          </w:p>
        </w:tc>
        <w:tc>
          <w:tcPr>
            <w:tcW w:w="623"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68776D1E" w14:textId="3C5E3BCC"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1</w:t>
            </w:r>
            <w:r w:rsidR="00B426BA" w:rsidRPr="00690F82">
              <w:rPr>
                <w:rFonts w:asciiTheme="majorHAnsi" w:hAnsiTheme="majorHAnsi" w:cstheme="majorHAnsi"/>
                <w:sz w:val="20"/>
              </w:rPr>
              <w:t>,</w:t>
            </w:r>
            <w:r w:rsidRPr="00690F82">
              <w:rPr>
                <w:rFonts w:asciiTheme="majorHAnsi" w:hAnsiTheme="majorHAnsi" w:cstheme="majorHAnsi"/>
                <w:sz w:val="20"/>
              </w:rPr>
              <w:t>000</w:t>
            </w:r>
          </w:p>
        </w:tc>
        <w:tc>
          <w:tcPr>
            <w:tcW w:w="80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8A1F6C2" w14:textId="6E39B344"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600</w:t>
            </w:r>
          </w:p>
        </w:tc>
        <w:tc>
          <w:tcPr>
            <w:tcW w:w="68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BAD8EE4" w14:textId="369F22A0"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410</w:t>
            </w:r>
          </w:p>
        </w:tc>
        <w:tc>
          <w:tcPr>
            <w:tcW w:w="681"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B6F3B99" w14:textId="1BDEDF48"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30,750</w:t>
            </w:r>
          </w:p>
        </w:tc>
        <w:tc>
          <w:tcPr>
            <w:tcW w:w="69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54E2B08" w14:textId="6CAFF07B"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870</w:t>
            </w:r>
          </w:p>
        </w:tc>
      </w:tr>
      <w:tr w:rsidR="006F6738" w:rsidRPr="00690F82" w14:paraId="41AC7E0D" w14:textId="02D5B291" w:rsidTr="005866F1">
        <w:trPr>
          <w:trHeight w:val="270"/>
        </w:trPr>
        <w:tc>
          <w:tcPr>
            <w:tcW w:w="743"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4A60468C" w14:textId="5A4A81F8" w:rsidR="006F6738" w:rsidRPr="00690F82" w:rsidRDefault="006F6738" w:rsidP="006F6738">
            <w:pPr>
              <w:rPr>
                <w:rFonts w:asciiTheme="majorHAnsi" w:hAnsiTheme="majorHAnsi" w:cstheme="majorHAnsi"/>
                <w:b/>
                <w:sz w:val="20"/>
              </w:rPr>
            </w:pPr>
            <w:r w:rsidRPr="00690F82">
              <w:rPr>
                <w:rFonts w:asciiTheme="majorHAnsi" w:hAnsiTheme="majorHAnsi" w:cstheme="majorHAnsi"/>
                <w:b/>
                <w:bCs/>
                <w:sz w:val="20"/>
              </w:rPr>
              <w:t>Ecolo</w:t>
            </w:r>
            <w:r w:rsidR="00D60DC7">
              <w:rPr>
                <w:rFonts w:asciiTheme="majorHAnsi" w:hAnsiTheme="majorHAnsi" w:cstheme="majorHAnsi"/>
                <w:b/>
                <w:bCs/>
                <w:sz w:val="20"/>
              </w:rPr>
              <w:t>B</w:t>
            </w:r>
            <w:r w:rsidRPr="00690F82">
              <w:rPr>
                <w:rFonts w:asciiTheme="majorHAnsi" w:hAnsiTheme="majorHAnsi" w:cstheme="majorHAnsi"/>
                <w:b/>
                <w:bCs/>
                <w:sz w:val="20"/>
              </w:rPr>
              <w:t>lue</w:t>
            </w:r>
          </w:p>
        </w:tc>
        <w:tc>
          <w:tcPr>
            <w:tcW w:w="774"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3DF299E1" w14:textId="04CC0371" w:rsidR="006F6738" w:rsidRPr="00690F82" w:rsidRDefault="006F6738" w:rsidP="006F6738">
            <w:pPr>
              <w:rPr>
                <w:rFonts w:asciiTheme="majorHAnsi" w:hAnsiTheme="majorHAnsi" w:cstheme="majorHAnsi"/>
                <w:sz w:val="20"/>
              </w:rPr>
            </w:pPr>
            <w:r w:rsidRPr="00690F82">
              <w:rPr>
                <w:rFonts w:asciiTheme="majorHAnsi" w:hAnsiTheme="majorHAnsi" w:cstheme="majorHAnsi"/>
                <w:sz w:val="20"/>
              </w:rPr>
              <w:t>Home/Office</w:t>
            </w:r>
          </w:p>
        </w:tc>
        <w:tc>
          <w:tcPr>
            <w:tcW w:w="62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F0612B9" w14:textId="44226168" w:rsidR="006F6738" w:rsidRPr="00690F82" w:rsidRDefault="00311A92" w:rsidP="00311A92">
            <w:pPr>
              <w:tabs>
                <w:tab w:val="left" w:pos="766"/>
              </w:tabs>
              <w:ind w:left="88" w:right="220"/>
              <w:jc w:val="center"/>
              <w:rPr>
                <w:rFonts w:asciiTheme="majorHAnsi" w:hAnsiTheme="majorHAnsi" w:cstheme="majorHAnsi"/>
                <w:sz w:val="20"/>
              </w:rPr>
            </w:pPr>
            <w:r>
              <w:rPr>
                <w:rFonts w:asciiTheme="majorHAnsi" w:hAnsiTheme="majorHAnsi" w:cstheme="majorHAnsi"/>
                <w:sz w:val="20"/>
              </w:rPr>
              <w:t xml:space="preserve">         </w:t>
            </w:r>
            <w:r w:rsidR="006F6738" w:rsidRPr="00690F82">
              <w:rPr>
                <w:rFonts w:asciiTheme="majorHAnsi" w:hAnsiTheme="majorHAnsi" w:cstheme="majorHAnsi"/>
                <w:sz w:val="20"/>
              </w:rPr>
              <w:t>50</w:t>
            </w:r>
          </w:p>
        </w:tc>
        <w:tc>
          <w:tcPr>
            <w:tcW w:w="80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7090FB5" w14:textId="78AFB4B9"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30</w:t>
            </w:r>
          </w:p>
        </w:tc>
        <w:tc>
          <w:tcPr>
            <w:tcW w:w="68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970EFCF" w14:textId="07B514F2" w:rsidR="006F6738" w:rsidRPr="00690F82" w:rsidRDefault="006F6738" w:rsidP="00311A92">
            <w:pPr>
              <w:ind w:right="220"/>
              <w:jc w:val="right"/>
              <w:rPr>
                <w:rFonts w:asciiTheme="majorHAnsi" w:hAnsiTheme="majorHAnsi" w:cstheme="majorHAnsi"/>
                <w:sz w:val="20"/>
              </w:rPr>
            </w:pPr>
            <w:r w:rsidRPr="00690F82">
              <w:rPr>
                <w:rFonts w:asciiTheme="majorHAnsi" w:hAnsiTheme="majorHAnsi" w:cstheme="majorHAnsi"/>
                <w:sz w:val="20"/>
              </w:rPr>
              <w:t>300</w:t>
            </w:r>
          </w:p>
        </w:tc>
        <w:tc>
          <w:tcPr>
            <w:tcW w:w="681"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B30244A" w14:textId="139F2D36" w:rsidR="006F6738" w:rsidRPr="00690F82" w:rsidRDefault="002E10F6" w:rsidP="005866F1">
            <w:pPr>
              <w:ind w:right="220"/>
              <w:jc w:val="right"/>
              <w:rPr>
                <w:rFonts w:asciiTheme="majorHAnsi" w:hAnsiTheme="majorHAnsi" w:cstheme="majorHAnsi"/>
                <w:sz w:val="20"/>
              </w:rPr>
            </w:pPr>
            <w:r w:rsidRPr="00690F82">
              <w:rPr>
                <w:rFonts w:asciiTheme="majorHAnsi" w:hAnsiTheme="majorHAnsi" w:cstheme="majorHAnsi"/>
                <w:sz w:val="20"/>
              </w:rPr>
              <w:t>$</w:t>
            </w:r>
            <w:r w:rsidR="006F6738" w:rsidRPr="00690F82">
              <w:rPr>
                <w:rFonts w:asciiTheme="majorHAnsi" w:hAnsiTheme="majorHAnsi" w:cstheme="majorHAnsi"/>
                <w:sz w:val="20"/>
              </w:rPr>
              <w:t>799</w:t>
            </w:r>
            <w:r w:rsidR="005A5DB3" w:rsidRPr="005A5DB3">
              <w:rPr>
                <w:rFonts w:asciiTheme="majorHAnsi" w:hAnsiTheme="majorHAnsi" w:cstheme="majorHAnsi"/>
                <w:szCs w:val="24"/>
                <w:vertAlign w:val="superscript"/>
              </w:rPr>
              <w:t>†</w:t>
            </w:r>
          </w:p>
        </w:tc>
        <w:tc>
          <w:tcPr>
            <w:tcW w:w="69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0ED0CE4" w14:textId="6B072B69" w:rsidR="006F6738" w:rsidRPr="00690F82" w:rsidRDefault="006F6738" w:rsidP="005866F1">
            <w:pPr>
              <w:ind w:right="220"/>
              <w:jc w:val="right"/>
              <w:rPr>
                <w:rFonts w:asciiTheme="majorHAnsi" w:hAnsiTheme="majorHAnsi" w:cstheme="majorHAnsi"/>
                <w:sz w:val="20"/>
              </w:rPr>
            </w:pPr>
            <w:r w:rsidRPr="00690F82">
              <w:rPr>
                <w:rFonts w:asciiTheme="majorHAnsi" w:hAnsiTheme="majorHAnsi" w:cstheme="majorHAnsi"/>
                <w:sz w:val="20"/>
              </w:rPr>
              <w:t>-</w:t>
            </w:r>
          </w:p>
        </w:tc>
      </w:tr>
    </w:tbl>
    <w:p w14:paraId="112F07EB" w14:textId="50684D0D" w:rsidR="005A5DB3" w:rsidRPr="00291EF6" w:rsidRDefault="005A5DB3" w:rsidP="00E87A66">
      <w:pPr>
        <w:pStyle w:val="Tablefootnotes"/>
      </w:pPr>
      <w:r w:rsidRPr="00291EF6">
        <w:t>*</w:t>
      </w:r>
      <w:r w:rsidR="00811E9D">
        <w:t>M</w:t>
      </w:r>
      <w:r w:rsidRPr="00291EF6">
        <w:t>aintenance cost</w:t>
      </w:r>
      <w:r w:rsidR="00883CFE" w:rsidRPr="00291EF6">
        <w:t xml:space="preserve"> of AWGs</w:t>
      </w:r>
      <w:r w:rsidRPr="00291EF6">
        <w:t xml:space="preserve"> includes filters replacement and disinfection of internal tanks</w:t>
      </w:r>
      <w:r w:rsidR="000F2B11">
        <w:t>.</w:t>
      </w:r>
    </w:p>
    <w:p w14:paraId="09464718" w14:textId="1CCB8610" w:rsidR="00DE2718" w:rsidRDefault="001B1E29" w:rsidP="00BE12FD">
      <w:pPr>
        <w:pStyle w:val="Tablefootnotes"/>
        <w:ind w:left="0" w:firstLine="0"/>
      </w:pPr>
      <w:r w:rsidRPr="001B1E29">
        <w:rPr>
          <w:rFonts w:cstheme="majorHAnsi"/>
          <w:sz w:val="20"/>
          <w:szCs w:val="20"/>
          <w:vertAlign w:val="superscript"/>
        </w:rPr>
        <w:t>†</w:t>
      </w:r>
      <w:r w:rsidR="005A5DB3" w:rsidRPr="00291EF6">
        <w:t>The default parameters for the EcoloBlue home/office unit are associated with Ecoloblue30</w:t>
      </w:r>
      <w:r w:rsidR="00EF6AD3" w:rsidRPr="00291EF6">
        <w:t>E</w:t>
      </w:r>
      <w:r w:rsidR="005A5DB3" w:rsidRPr="00291EF6">
        <w:t>, there are two other units produced in this category called Ecoloblue30X and Ecoloblue30X Alkaline and their</w:t>
      </w:r>
      <w:r w:rsidR="00AD7040" w:rsidRPr="00291EF6">
        <w:t xml:space="preserve"> </w:t>
      </w:r>
      <w:r w:rsidR="005A5DB3" w:rsidRPr="00291EF6">
        <w:t>unit</w:t>
      </w:r>
      <w:r w:rsidR="00AD7040" w:rsidRPr="00291EF6">
        <w:t xml:space="preserve"> cost</w:t>
      </w:r>
      <w:r w:rsidR="005A5DB3" w:rsidRPr="00291EF6">
        <w:t>s are</w:t>
      </w:r>
      <w:r w:rsidR="00AD7040" w:rsidRPr="00291EF6">
        <w:t xml:space="preserve"> </w:t>
      </w:r>
      <w:r w:rsidR="005A5DB3" w:rsidRPr="00291EF6">
        <w:t>$</w:t>
      </w:r>
      <w:r w:rsidR="00AD7040" w:rsidRPr="00291EF6">
        <w:t xml:space="preserve">1299 and </w:t>
      </w:r>
      <w:r w:rsidR="005A5DB3" w:rsidRPr="00291EF6">
        <w:t>$</w:t>
      </w:r>
      <w:r w:rsidR="00AD7040" w:rsidRPr="00291EF6">
        <w:t>1499</w:t>
      </w:r>
      <w:r w:rsidR="005A5DB3" w:rsidRPr="00291EF6">
        <w:t xml:space="preserve"> respectively</w:t>
      </w:r>
      <w:r w:rsidR="00216D75">
        <w:t>.</w:t>
      </w:r>
    </w:p>
    <w:p w14:paraId="4BCA172A" w14:textId="537A2553" w:rsidR="005A774C" w:rsidRPr="00291EF6" w:rsidRDefault="005A774C" w:rsidP="005A774C">
      <w:pPr>
        <w:pStyle w:val="Tablefootnotes"/>
        <w:ind w:left="90" w:hanging="90"/>
      </w:pPr>
      <w:r w:rsidRPr="001B1E29">
        <w:rPr>
          <w:rFonts w:cstheme="majorHAnsi"/>
          <w:sz w:val="20"/>
          <w:szCs w:val="20"/>
          <w:vertAlign w:val="superscript"/>
        </w:rPr>
        <w:t>ǂ</w:t>
      </w:r>
      <w:r>
        <w:rPr>
          <w:rFonts w:cstheme="majorHAnsi"/>
          <w:vertAlign w:val="superscript"/>
        </w:rPr>
        <w:t xml:space="preserve"> </w:t>
      </w:r>
      <w:r>
        <w:t xml:space="preserve">This volume is reported in multiple sources and selected as per the data provided directly </w:t>
      </w:r>
      <w:r w:rsidR="002367B1">
        <w:t xml:space="preserve">to ERG </w:t>
      </w:r>
      <w:r>
        <w:t xml:space="preserve">by Watergen and the Watergen </w:t>
      </w:r>
      <w:r w:rsidR="002367B1">
        <w:t xml:space="preserve">large scale AWG </w:t>
      </w:r>
      <w:r>
        <w:t xml:space="preserve">brochure available at the </w:t>
      </w:r>
      <w:r w:rsidR="002367B1">
        <w:t>time of the project</w:t>
      </w:r>
      <w:r>
        <w:t xml:space="preserve">. </w:t>
      </w:r>
      <w:r w:rsidR="002367B1">
        <w:t xml:space="preserve">Maximum water production for the large scale unit is modeled as up to 5,000 liters/day in a sensitivity analysis as specified in </w:t>
      </w:r>
      <w:r w:rsidR="002367B1">
        <w:fldChar w:fldCharType="begin"/>
      </w:r>
      <w:r w:rsidR="002367B1">
        <w:instrText xml:space="preserve"> REF _Ref524356079 \h </w:instrText>
      </w:r>
      <w:r w:rsidR="002367B1">
        <w:fldChar w:fldCharType="separate"/>
      </w:r>
      <w:r w:rsidR="008072BC">
        <w:t xml:space="preserve">Table </w:t>
      </w:r>
      <w:r w:rsidR="008072BC">
        <w:rPr>
          <w:noProof/>
        </w:rPr>
        <w:t>6</w:t>
      </w:r>
      <w:r w:rsidR="002367B1">
        <w:fldChar w:fldCharType="end"/>
      </w:r>
      <w:r w:rsidR="002367B1">
        <w:t>.</w:t>
      </w:r>
    </w:p>
    <w:p w14:paraId="61B30337" w14:textId="79DDA755" w:rsidR="00796D5E" w:rsidRDefault="00796D5E" w:rsidP="00E87A66">
      <w:pPr>
        <w:pStyle w:val="Tablefootnotes"/>
      </w:pPr>
      <w:r w:rsidRPr="00291EF6">
        <w:rPr>
          <w:vertAlign w:val="superscript"/>
        </w:rPr>
        <w:t>§</w:t>
      </w:r>
      <w:r w:rsidRPr="00291EF6">
        <w:t>Unit cost includes the cost of external tank</w:t>
      </w:r>
      <w:r w:rsidR="00955281">
        <w:t>s</w:t>
      </w:r>
      <w:r w:rsidRPr="00291EF6">
        <w:t xml:space="preserve"> </w:t>
      </w:r>
      <w:r w:rsidR="00E63A9E">
        <w:t>that are purchased with the</w:t>
      </w:r>
      <w:r w:rsidRPr="00291EF6">
        <w:t xml:space="preserve"> large</w:t>
      </w:r>
      <w:r w:rsidR="00811E9D">
        <w:t>-</w:t>
      </w:r>
      <w:r w:rsidRPr="00291EF6">
        <w:t>scale unit</w:t>
      </w:r>
      <w:r w:rsidR="00EB21EB">
        <w:t>s</w:t>
      </w:r>
      <w:r w:rsidR="005E79F5">
        <w:t>.</w:t>
      </w:r>
    </w:p>
    <w:p w14:paraId="6C043912" w14:textId="4A7D0795" w:rsidR="005866F1" w:rsidRPr="005866F1" w:rsidRDefault="005866F1" w:rsidP="005866F1"/>
    <w:p w14:paraId="12EA7758" w14:textId="421D3011" w:rsidR="00044930" w:rsidRDefault="00044930" w:rsidP="00044930">
      <w:pPr>
        <w:pStyle w:val="Heading3"/>
      </w:pPr>
      <w:bookmarkStart w:id="37" w:name="_Toc525246197"/>
      <w:bookmarkStart w:id="38" w:name="_Toc533009155"/>
      <w:r w:rsidRPr="00D76D9A">
        <w:t xml:space="preserve">System Descriptions of </w:t>
      </w:r>
      <w:r>
        <w:t>Bottled Water Production</w:t>
      </w:r>
      <w:bookmarkEnd w:id="37"/>
      <w:bookmarkEnd w:id="38"/>
    </w:p>
    <w:p w14:paraId="3AA0C3B5" w14:textId="3091D66C" w:rsidR="0031492A" w:rsidRDefault="009C00CA" w:rsidP="00220C65">
      <w:pPr>
        <w:pStyle w:val="BodyText"/>
      </w:pPr>
      <w:r w:rsidRPr="00EF4E78">
        <w:t>The comparative bottled water analysis include</w:t>
      </w:r>
      <w:r w:rsidR="00D60DC7">
        <w:t>s</w:t>
      </w:r>
      <w:r w:rsidRPr="00EF4E78">
        <w:t xml:space="preserve"> both a single-serve and </w:t>
      </w:r>
      <w:r w:rsidR="00FD25DE">
        <w:t xml:space="preserve">a </w:t>
      </w:r>
      <w:r w:rsidRPr="00EF4E78">
        <w:t xml:space="preserve">multi-serve option. </w:t>
      </w:r>
      <w:r>
        <w:t>The main parameters for these two bottled water options in the baseline analysis are displayed in</w:t>
      </w:r>
      <w:r w:rsidR="00B035F7">
        <w:t xml:space="preserve"> </w:t>
      </w:r>
      <w:r w:rsidR="0031492A">
        <w:fldChar w:fldCharType="begin"/>
      </w:r>
      <w:r w:rsidR="0031492A">
        <w:instrText xml:space="preserve"> REF _Ref524892172 \h </w:instrText>
      </w:r>
      <w:r w:rsidR="0031492A">
        <w:fldChar w:fldCharType="separate"/>
      </w:r>
      <w:r w:rsidR="008072BC" w:rsidRPr="003F0783">
        <w:t xml:space="preserve">Table </w:t>
      </w:r>
      <w:r w:rsidR="008072BC">
        <w:rPr>
          <w:noProof/>
        </w:rPr>
        <w:t>2</w:t>
      </w:r>
      <w:r w:rsidR="0031492A">
        <w:fldChar w:fldCharType="end"/>
      </w:r>
      <w:r>
        <w:t xml:space="preserve">. </w:t>
      </w:r>
      <w:r w:rsidRPr="00EF4E78">
        <w:t xml:space="preserve">The primary packaging option for single-serve bottled water delivery is </w:t>
      </w:r>
      <w:r w:rsidR="00146FE7">
        <w:t>polyethylene terephthalate (</w:t>
      </w:r>
      <w:r w:rsidRPr="00EF4E78">
        <w:t>PET</w:t>
      </w:r>
      <w:r w:rsidR="00146FE7">
        <w:t>)</w:t>
      </w:r>
      <w:r w:rsidRPr="00EF4E78">
        <w:t xml:space="preserve"> plastic bottles and for the multi-serve large polycarbonate </w:t>
      </w:r>
      <w:r w:rsidR="00146FE7">
        <w:t xml:space="preserve">(PC) </w:t>
      </w:r>
      <w:r w:rsidRPr="00EF4E78">
        <w:t xml:space="preserve">jugs are typically used for home/office delivery (HOD). Two sizes of bottles </w:t>
      </w:r>
      <w:r w:rsidR="00D60DC7">
        <w:t>are</w:t>
      </w:r>
      <w:r w:rsidRPr="00EF4E78">
        <w:t xml:space="preserve"> considered in this study; for the </w:t>
      </w:r>
      <w:r w:rsidR="009B2365">
        <w:t>single-serve</w:t>
      </w:r>
      <w:r w:rsidRPr="00EF4E78">
        <w:t xml:space="preserve"> option a 500</w:t>
      </w:r>
      <w:r>
        <w:t xml:space="preserve"> </w:t>
      </w:r>
      <w:r w:rsidRPr="00EF4E78">
        <w:t xml:space="preserve">ml (16.9 oz) PET bottle </w:t>
      </w:r>
      <w:r w:rsidR="00D60DC7">
        <w:t>is</w:t>
      </w:r>
      <w:r w:rsidRPr="00EF4E78">
        <w:t xml:space="preserve"> studied and for the multi-serve a</w:t>
      </w:r>
      <w:r>
        <w:t>n</w:t>
      </w:r>
      <w:r w:rsidRPr="00EF4E78">
        <w:t xml:space="preserve"> 18.9 L (5 gallon) </w:t>
      </w:r>
      <w:r w:rsidR="00D60DC7">
        <w:t>PC</w:t>
      </w:r>
      <w:r w:rsidR="00D60DC7" w:rsidRPr="00EF4E78">
        <w:t xml:space="preserve"> </w:t>
      </w:r>
      <w:r w:rsidRPr="00EF4E78">
        <w:t xml:space="preserve">water jug </w:t>
      </w:r>
      <w:r w:rsidR="00D60DC7">
        <w:t>is</w:t>
      </w:r>
      <w:r w:rsidRPr="00EF4E78">
        <w:t xml:space="preserve"> studied. </w:t>
      </w:r>
      <w:r>
        <w:t xml:space="preserve">The baseline analysis </w:t>
      </w:r>
      <w:r w:rsidR="0099421F">
        <w:t xml:space="preserve">for the single serve bottle </w:t>
      </w:r>
      <w:r>
        <w:t>assume</w:t>
      </w:r>
      <w:r w:rsidR="00D60DC7">
        <w:t>s</w:t>
      </w:r>
      <w:r w:rsidR="00C67C38">
        <w:t xml:space="preserve"> a 16.9 oz bottle</w:t>
      </w:r>
      <w:r w:rsidR="004C27B6">
        <w:t xml:space="preserve"> (9.3g)</w:t>
      </w:r>
      <w:r w:rsidR="00C67C38">
        <w:t xml:space="preserve"> modeled based on </w:t>
      </w:r>
      <w:r w:rsidR="00BE12FD">
        <w:t>a lightweight</w:t>
      </w:r>
      <w:r w:rsidR="004C27B6">
        <w:t xml:space="preserve"> domestic spring water system</w:t>
      </w:r>
      <w:r w:rsidR="00C67C38">
        <w:t xml:space="preserve">. </w:t>
      </w:r>
      <w:r w:rsidR="005E79F5">
        <w:t>For determining</w:t>
      </w:r>
      <w:r w:rsidR="00C67C38">
        <w:t xml:space="preserve"> sensitivity </w:t>
      </w:r>
      <w:r w:rsidR="005E79F5">
        <w:t xml:space="preserve">of the LCA results </w:t>
      </w:r>
      <w:r w:rsidR="00C67C38">
        <w:t>to bottle weight</w:t>
      </w:r>
      <w:r w:rsidR="00BE12FD">
        <w:t>,</w:t>
      </w:r>
      <w:r w:rsidR="00C67C38">
        <w:t xml:space="preserve"> an additional </w:t>
      </w:r>
      <w:r w:rsidR="004C27B6">
        <w:t>16.9 oz (</w:t>
      </w:r>
      <w:r w:rsidR="00C67C38">
        <w:t>10.9g</w:t>
      </w:r>
      <w:r w:rsidR="004C27B6">
        <w:t xml:space="preserve">) </w:t>
      </w:r>
      <w:r w:rsidR="00BE12FD">
        <w:t xml:space="preserve">lightweight </w:t>
      </w:r>
      <w:r w:rsidR="004C27B6">
        <w:t xml:space="preserve">bottle is modeled </w:t>
      </w:r>
      <w:r w:rsidR="00BE12FD">
        <w:t xml:space="preserve">based on an alternative </w:t>
      </w:r>
      <w:r w:rsidR="004C27B6">
        <w:t xml:space="preserve">water brand. </w:t>
      </w:r>
      <w:r w:rsidR="00C67C38">
        <w:t>While the packaging weights and supply chain for alternative bottled spring water were based on specific brands, no primary data were collected from these brands for this study.</w:t>
      </w:r>
      <w:r>
        <w:t xml:space="preserve"> </w:t>
      </w:r>
      <w:r w:rsidR="00213CE3">
        <w:t>The baseline</w:t>
      </w:r>
      <w:r w:rsidR="0099421F">
        <w:t xml:space="preserve"> analysis for </w:t>
      </w:r>
      <w:r w:rsidR="009B2365">
        <w:t>single-serve</w:t>
      </w:r>
      <w:r w:rsidR="0099421F">
        <w:t xml:space="preserve"> bottle</w:t>
      </w:r>
      <w:r w:rsidR="00213CE3">
        <w:t xml:space="preserve"> also assumes </w:t>
      </w:r>
      <w:r>
        <w:t>0% recycled content of the primary bottle material</w:t>
      </w:r>
      <w:r w:rsidR="00205442">
        <w:t xml:space="preserve">, </w:t>
      </w:r>
      <w:r w:rsidR="0099421F">
        <w:t xml:space="preserve">however, </w:t>
      </w:r>
      <w:r w:rsidR="00205442">
        <w:t>10% recycled content is also modeled for sensitivity analysis</w:t>
      </w:r>
      <w:r w:rsidR="007B454B">
        <w:t xml:space="preserve"> (McKay, 2008)</w:t>
      </w:r>
      <w:r>
        <w:t xml:space="preserve">. The single-serve bottles include a polypropylene (PP) closure and are configured in 24-count multipacks with shrink wrap distribution packaging. </w:t>
      </w:r>
      <w:r w:rsidR="0099421F">
        <w:t xml:space="preserve">The baseline weight and material of the empty HOD bottle and closure material were acquired from </w:t>
      </w:r>
      <w:r w:rsidR="00BE12FD">
        <w:t>publicly available e-commerce listings</w:t>
      </w:r>
      <w:r w:rsidR="0099421F">
        <w:t xml:space="preserve">. </w:t>
      </w:r>
      <w:r>
        <w:t xml:space="preserve">The HOD bottles </w:t>
      </w:r>
      <w:r>
        <w:lastRenderedPageBreak/>
        <w:t xml:space="preserve">are used by consumers in combination with a reusable glass. </w:t>
      </w:r>
      <w:r w:rsidR="008918A8">
        <w:t>T</w:t>
      </w:r>
      <w:r>
        <w:t xml:space="preserve">he HOD bottles have approximately 40 lifetime uses (ORDEQ, 2009). The water within the bottles is modeled as </w:t>
      </w:r>
      <w:r w:rsidR="00D60DC7">
        <w:t xml:space="preserve">either spring water or </w:t>
      </w:r>
      <w:r>
        <w:t xml:space="preserve">purified municipal water. In many cases, bottled water plants treat municipal water with additional purification steps such as ozone treatment and UV treatment (ORDEQ, 2009). </w:t>
      </w:r>
      <w:r w:rsidRPr="00EF4E78">
        <w:t xml:space="preserve">The percentages of postconsumer waste that </w:t>
      </w:r>
      <w:r w:rsidR="00274952">
        <w:t>is</w:t>
      </w:r>
      <w:r w:rsidRPr="00EF4E78">
        <w:t xml:space="preserve"> recycled and disposed </w:t>
      </w:r>
      <w:r>
        <w:t xml:space="preserve">after use </w:t>
      </w:r>
      <w:r w:rsidRPr="00EF4E78">
        <w:t>are based on U.S. data from the U.S. EPA “Advancing Sustainable Materials Management Report” (U.S. EPA</w:t>
      </w:r>
      <w:r>
        <w:t>,</w:t>
      </w:r>
      <w:r w:rsidRPr="00EF4E78">
        <w:t xml:space="preserve"> 2016). </w:t>
      </w:r>
      <w:r w:rsidR="009408C6">
        <w:t xml:space="preserve">The recycling rate of the single-use bottle is </w:t>
      </w:r>
      <w:r w:rsidR="00D60DC7">
        <w:t xml:space="preserve">modeled as </w:t>
      </w:r>
      <w:r w:rsidR="009408C6">
        <w:t xml:space="preserve">31.3%. </w:t>
      </w:r>
      <w:r>
        <w:t xml:space="preserve">The HOD bottle </w:t>
      </w:r>
      <w:r w:rsidR="00D60DC7">
        <w:t>is</w:t>
      </w:r>
      <w:r>
        <w:t xml:space="preserve"> modeled with 100% recycling, since the bottles are managed by delivery services. </w:t>
      </w:r>
      <w:r w:rsidRPr="00EF4E78">
        <w:t xml:space="preserve">For all </w:t>
      </w:r>
      <w:r>
        <w:t xml:space="preserve">packaging </w:t>
      </w:r>
      <w:r w:rsidRPr="00EF4E78">
        <w:t xml:space="preserve">waste that enters the municipal waste stream, 82.2% </w:t>
      </w:r>
      <w:r w:rsidR="00991E8F">
        <w:t>are managed in a</w:t>
      </w:r>
      <w:r w:rsidRPr="00EF4E78">
        <w:t xml:space="preserve"> landfill and 17.8% </w:t>
      </w:r>
      <w:r w:rsidR="00991E8F">
        <w:t xml:space="preserve">are sent </w:t>
      </w:r>
      <w:r w:rsidRPr="00EF4E78">
        <w:t xml:space="preserve">to waste to energy incineration </w:t>
      </w:r>
      <w:r>
        <w:t xml:space="preserve">based on average U.S. conditions </w:t>
      </w:r>
      <w:r w:rsidRPr="00EF4E78">
        <w:t>(U.S. EPA</w:t>
      </w:r>
      <w:r>
        <w:t>,</w:t>
      </w:r>
      <w:r w:rsidRPr="00EF4E78">
        <w:t xml:space="preserve"> 201</w:t>
      </w:r>
      <w:r>
        <w:t>6</w:t>
      </w:r>
      <w:r w:rsidRPr="00EF4E78">
        <w:t>).</w:t>
      </w:r>
    </w:p>
    <w:tbl>
      <w:tblPr>
        <w:tblW w:w="9260" w:type="dxa"/>
        <w:tblCellMar>
          <w:left w:w="0" w:type="dxa"/>
          <w:right w:w="0" w:type="dxa"/>
        </w:tblCellMar>
        <w:tblLook w:val="04A0" w:firstRow="1" w:lastRow="0" w:firstColumn="1" w:lastColumn="0" w:noHBand="0" w:noVBand="1"/>
      </w:tblPr>
      <w:tblGrid>
        <w:gridCol w:w="2738"/>
        <w:gridCol w:w="2832"/>
        <w:gridCol w:w="3690"/>
      </w:tblGrid>
      <w:tr w:rsidR="00E87A66" w:rsidRPr="00690F82" w14:paraId="70707426" w14:textId="77777777" w:rsidTr="00E87A66">
        <w:trPr>
          <w:tblHeader/>
        </w:trPr>
        <w:tc>
          <w:tcPr>
            <w:tcW w:w="9260" w:type="dxa"/>
            <w:gridSpan w:val="3"/>
            <w:tcBorders>
              <w:bottom w:val="single" w:sz="24" w:space="0" w:color="FFFFFF"/>
            </w:tcBorders>
            <w:shd w:val="clear" w:color="auto" w:fill="auto"/>
            <w:tcMar>
              <w:top w:w="15" w:type="dxa"/>
              <w:left w:w="108" w:type="dxa"/>
              <w:bottom w:w="0" w:type="dxa"/>
              <w:right w:w="108" w:type="dxa"/>
            </w:tcMar>
          </w:tcPr>
          <w:p w14:paraId="02AE3694" w14:textId="4C685025" w:rsidR="00E87A66" w:rsidRPr="00E87A66" w:rsidRDefault="00E87A66" w:rsidP="00E87A66">
            <w:pPr>
              <w:pStyle w:val="TableTitle"/>
              <w:spacing w:before="120"/>
              <w:rPr>
                <w:rFonts w:asciiTheme="majorHAnsi" w:hAnsiTheme="majorHAnsi" w:cstheme="majorHAnsi"/>
                <w:bCs/>
                <w:color w:val="000000" w:themeColor="text1"/>
                <w:sz w:val="20"/>
              </w:rPr>
            </w:pPr>
            <w:bookmarkStart w:id="39" w:name="_Ref524892172"/>
            <w:bookmarkStart w:id="40" w:name="_Toc533009182"/>
            <w:r w:rsidRPr="003F0783">
              <w:t xml:space="preserve">Table </w:t>
            </w:r>
            <w:r>
              <w:rPr>
                <w:noProof/>
              </w:rPr>
              <w:fldChar w:fldCharType="begin"/>
            </w:r>
            <w:r>
              <w:rPr>
                <w:noProof/>
              </w:rPr>
              <w:instrText xml:space="preserve"> SEQ Table \* ARABIC </w:instrText>
            </w:r>
            <w:r>
              <w:rPr>
                <w:noProof/>
              </w:rPr>
              <w:fldChar w:fldCharType="separate"/>
            </w:r>
            <w:r w:rsidR="008072BC">
              <w:rPr>
                <w:noProof/>
              </w:rPr>
              <w:t>2</w:t>
            </w:r>
            <w:r>
              <w:rPr>
                <w:noProof/>
              </w:rPr>
              <w:fldChar w:fldCharType="end"/>
            </w:r>
            <w:bookmarkEnd w:id="39"/>
            <w:r w:rsidRPr="003F0783">
              <w:t>. Bottled Water Systems Studied</w:t>
            </w:r>
            <w:bookmarkEnd w:id="40"/>
          </w:p>
        </w:tc>
      </w:tr>
      <w:tr w:rsidR="0031492A" w:rsidRPr="00690F82" w14:paraId="34105C42" w14:textId="77777777" w:rsidTr="000B531C">
        <w:trPr>
          <w:trHeight w:val="285"/>
          <w:tblHeader/>
        </w:trPr>
        <w:tc>
          <w:tcPr>
            <w:tcW w:w="2738"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14:paraId="26C914C1" w14:textId="77777777" w:rsidR="0031492A" w:rsidRPr="00690F82" w:rsidRDefault="0031492A" w:rsidP="008F4763">
            <w:pPr>
              <w:rPr>
                <w:rFonts w:asciiTheme="majorHAnsi" w:hAnsiTheme="majorHAnsi" w:cstheme="majorHAnsi"/>
                <w:b/>
                <w:color w:val="000000" w:themeColor="text1"/>
                <w:sz w:val="20"/>
              </w:rPr>
            </w:pPr>
          </w:p>
        </w:tc>
        <w:tc>
          <w:tcPr>
            <w:tcW w:w="2832"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14:paraId="0B2DFD11" w14:textId="77777777" w:rsidR="0031492A" w:rsidRPr="00690F82" w:rsidRDefault="0031492A" w:rsidP="008F4763">
            <w:pPr>
              <w:rPr>
                <w:rFonts w:asciiTheme="majorHAnsi" w:hAnsiTheme="majorHAnsi" w:cstheme="majorHAnsi"/>
                <w:b/>
                <w:color w:val="000000" w:themeColor="text1"/>
                <w:sz w:val="20"/>
              </w:rPr>
            </w:pPr>
            <w:r w:rsidRPr="00690F82">
              <w:rPr>
                <w:rFonts w:asciiTheme="majorHAnsi" w:hAnsiTheme="majorHAnsi" w:cstheme="majorHAnsi"/>
                <w:b/>
                <w:bCs/>
                <w:color w:val="000000" w:themeColor="text1"/>
                <w:sz w:val="20"/>
              </w:rPr>
              <w:t>Single-Serve Water Bottle</w:t>
            </w:r>
          </w:p>
        </w:tc>
        <w:tc>
          <w:tcPr>
            <w:tcW w:w="369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14:paraId="7E523D8E" w14:textId="77777777" w:rsidR="0031492A" w:rsidRPr="00690F82" w:rsidRDefault="0031492A" w:rsidP="008F4763">
            <w:pPr>
              <w:rPr>
                <w:rFonts w:asciiTheme="majorHAnsi" w:hAnsiTheme="majorHAnsi" w:cstheme="majorHAnsi"/>
                <w:b/>
                <w:color w:val="000000" w:themeColor="text1"/>
                <w:sz w:val="20"/>
              </w:rPr>
            </w:pPr>
            <w:r w:rsidRPr="00690F82">
              <w:rPr>
                <w:rFonts w:asciiTheme="majorHAnsi" w:hAnsiTheme="majorHAnsi" w:cstheme="majorHAnsi"/>
                <w:b/>
                <w:bCs/>
                <w:color w:val="000000" w:themeColor="text1"/>
                <w:sz w:val="20"/>
              </w:rPr>
              <w:t>Multi-Serve Water Bottle</w:t>
            </w:r>
          </w:p>
        </w:tc>
      </w:tr>
      <w:tr w:rsidR="0031492A" w:rsidRPr="00690F82" w14:paraId="188776CA" w14:textId="77777777" w:rsidTr="00E87A66">
        <w:trPr>
          <w:trHeight w:val="180"/>
        </w:trPr>
        <w:tc>
          <w:tcPr>
            <w:tcW w:w="2738"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72B02A90"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Volume</w:t>
            </w:r>
          </w:p>
        </w:tc>
        <w:tc>
          <w:tcPr>
            <w:tcW w:w="2832"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6B5DC74D"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500 ml (16.9 oz)</w:t>
            </w:r>
          </w:p>
        </w:tc>
        <w:tc>
          <w:tcPr>
            <w:tcW w:w="369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07B3D1E2"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18.9 L (5 gallons)</w:t>
            </w:r>
          </w:p>
        </w:tc>
      </w:tr>
      <w:tr w:rsidR="0031492A" w:rsidRPr="00690F82" w14:paraId="7608B326" w14:textId="77777777" w:rsidTr="00E87A66">
        <w:trPr>
          <w:trHeight w:val="215"/>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1FE4D2E4"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Primary bottle material</w:t>
            </w:r>
          </w:p>
        </w:tc>
        <w:tc>
          <w:tcPr>
            <w:tcW w:w="2832"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287B2E73"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polyethylene terephthalate</w:t>
            </w:r>
          </w:p>
        </w:tc>
        <w:tc>
          <w:tcPr>
            <w:tcW w:w="369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18B1BF68"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polycarbonate</w:t>
            </w:r>
          </w:p>
        </w:tc>
      </w:tr>
      <w:tr w:rsidR="0031492A" w:rsidRPr="00690F82" w14:paraId="1251B850" w14:textId="77777777" w:rsidTr="00E87A66">
        <w:trPr>
          <w:trHeight w:val="210"/>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46CDA5C0"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Empty bottle weight (g)</w:t>
            </w:r>
          </w:p>
        </w:tc>
        <w:tc>
          <w:tcPr>
            <w:tcW w:w="2832"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5A5C94C9"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9.3</w:t>
            </w:r>
          </w:p>
        </w:tc>
        <w:tc>
          <w:tcPr>
            <w:tcW w:w="369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2CC4BB49"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794 (1.75 lbs)</w:t>
            </w:r>
          </w:p>
        </w:tc>
      </w:tr>
      <w:tr w:rsidR="0031492A" w:rsidRPr="00690F82" w14:paraId="1354DFA5" w14:textId="77777777" w:rsidTr="00E87A66">
        <w:trPr>
          <w:trHeight w:val="202"/>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641891E7"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Closure material</w:t>
            </w:r>
          </w:p>
        </w:tc>
        <w:tc>
          <w:tcPr>
            <w:tcW w:w="2832"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1DA237A4"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Polypropylene</w:t>
            </w:r>
          </w:p>
        </w:tc>
        <w:tc>
          <w:tcPr>
            <w:tcW w:w="369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733D578E"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LDPE</w:t>
            </w:r>
          </w:p>
        </w:tc>
      </w:tr>
      <w:tr w:rsidR="0031492A" w:rsidRPr="00690F82" w14:paraId="2B09B652" w14:textId="77777777" w:rsidTr="00E87A66">
        <w:trPr>
          <w:trHeight w:val="188"/>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3A147690"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Closure weight (g)</w:t>
            </w:r>
          </w:p>
        </w:tc>
        <w:tc>
          <w:tcPr>
            <w:tcW w:w="2832"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3E153FF0"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1.1</w:t>
            </w:r>
          </w:p>
        </w:tc>
        <w:tc>
          <w:tcPr>
            <w:tcW w:w="369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5042BAEB"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14.5</w:t>
            </w:r>
          </w:p>
        </w:tc>
      </w:tr>
      <w:tr w:rsidR="0031492A" w:rsidRPr="00690F82" w14:paraId="0B657F5D" w14:textId="77777777" w:rsidTr="00E87A66">
        <w:trPr>
          <w:trHeight w:val="258"/>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2EA41F50"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Type of water</w:t>
            </w:r>
          </w:p>
        </w:tc>
        <w:tc>
          <w:tcPr>
            <w:tcW w:w="6522" w:type="dxa"/>
            <w:gridSpan w:val="2"/>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69520A64"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Purified municipal water or spring water with ultrafiltration, ozone treatment, and UV.</w:t>
            </w:r>
          </w:p>
        </w:tc>
      </w:tr>
      <w:tr w:rsidR="0031492A" w:rsidRPr="00690F82" w14:paraId="60B57A3A" w14:textId="77777777" w:rsidTr="00E87A66">
        <w:trPr>
          <w:trHeight w:val="116"/>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4FD3CEE1"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Label material</w:t>
            </w:r>
          </w:p>
        </w:tc>
        <w:tc>
          <w:tcPr>
            <w:tcW w:w="2832"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0BB45B25"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PP</w:t>
            </w:r>
          </w:p>
        </w:tc>
        <w:tc>
          <w:tcPr>
            <w:tcW w:w="369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21193FE8"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n/a</w:t>
            </w:r>
          </w:p>
        </w:tc>
      </w:tr>
      <w:tr w:rsidR="0031492A" w:rsidRPr="00690F82" w14:paraId="5508CC0F" w14:textId="77777777" w:rsidTr="00E87A66">
        <w:trPr>
          <w:trHeight w:val="116"/>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2D1EDFD5"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Label weight (g)</w:t>
            </w:r>
          </w:p>
        </w:tc>
        <w:tc>
          <w:tcPr>
            <w:tcW w:w="2832"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147DC347"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0.6</w:t>
            </w:r>
          </w:p>
        </w:tc>
        <w:tc>
          <w:tcPr>
            <w:tcW w:w="369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37B9268D"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n/a</w:t>
            </w:r>
          </w:p>
        </w:tc>
      </w:tr>
      <w:tr w:rsidR="0031492A" w:rsidRPr="00690F82" w14:paraId="48878B85" w14:textId="77777777" w:rsidTr="00E87A66">
        <w:trPr>
          <w:trHeight w:val="160"/>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4D893750"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Multipack</w:t>
            </w:r>
          </w:p>
        </w:tc>
        <w:tc>
          <w:tcPr>
            <w:tcW w:w="2832"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241BC611"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24-count</w:t>
            </w:r>
          </w:p>
        </w:tc>
        <w:tc>
          <w:tcPr>
            <w:tcW w:w="369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588A3106"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n/a</w:t>
            </w:r>
          </w:p>
        </w:tc>
      </w:tr>
      <w:tr w:rsidR="0031492A" w:rsidRPr="00690F82" w14:paraId="774A9F66" w14:textId="77777777" w:rsidTr="00E87A66">
        <w:trPr>
          <w:trHeight w:val="219"/>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13004D14"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Multipack packaging</w:t>
            </w:r>
          </w:p>
        </w:tc>
        <w:tc>
          <w:tcPr>
            <w:tcW w:w="2832"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0D99B0FD"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Shrink wrap (LDPE)</w:t>
            </w:r>
          </w:p>
        </w:tc>
        <w:tc>
          <w:tcPr>
            <w:tcW w:w="369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5C27A0A4"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n/a</w:t>
            </w:r>
          </w:p>
        </w:tc>
      </w:tr>
      <w:tr w:rsidR="0031492A" w:rsidRPr="00690F82" w14:paraId="014E8C66" w14:textId="77777777" w:rsidTr="00E87A66">
        <w:trPr>
          <w:trHeight w:val="205"/>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04D1F482"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Shrink wrap weight (g)</w:t>
            </w:r>
          </w:p>
        </w:tc>
        <w:tc>
          <w:tcPr>
            <w:tcW w:w="2832"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059DDACC"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31.5</w:t>
            </w:r>
          </w:p>
        </w:tc>
        <w:tc>
          <w:tcPr>
            <w:tcW w:w="369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13DF8719"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n/a</w:t>
            </w:r>
          </w:p>
        </w:tc>
      </w:tr>
      <w:tr w:rsidR="0031492A" w:rsidRPr="00690F82" w14:paraId="496BB8B8" w14:textId="77777777" w:rsidTr="00E87A66">
        <w:trPr>
          <w:trHeight w:val="205"/>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3D6CCF04"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Type of reusable drinking container</w:t>
            </w:r>
          </w:p>
        </w:tc>
        <w:tc>
          <w:tcPr>
            <w:tcW w:w="2832"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124E9B82"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Not applicable</w:t>
            </w:r>
          </w:p>
        </w:tc>
        <w:tc>
          <w:tcPr>
            <w:tcW w:w="369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6CB07B01"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475 ml (16.1 oz) glass</w:t>
            </w:r>
          </w:p>
        </w:tc>
      </w:tr>
      <w:tr w:rsidR="0031492A" w:rsidRPr="00690F82" w14:paraId="159FBC7F" w14:textId="77777777" w:rsidTr="00E87A66">
        <w:trPr>
          <w:trHeight w:val="205"/>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449A3F4A"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Recycling rate</w:t>
            </w:r>
          </w:p>
        </w:tc>
        <w:tc>
          <w:tcPr>
            <w:tcW w:w="2832"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6C7AC88E"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31.3%</w:t>
            </w:r>
          </w:p>
        </w:tc>
        <w:tc>
          <w:tcPr>
            <w:tcW w:w="369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3D6CE526"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100%</w:t>
            </w:r>
          </w:p>
        </w:tc>
      </w:tr>
      <w:tr w:rsidR="0031492A" w:rsidRPr="00690F82" w14:paraId="5E8205AA" w14:textId="77777777" w:rsidTr="00E87A66">
        <w:trPr>
          <w:trHeight w:val="215"/>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2C0F17E0"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Lifetime uses</w:t>
            </w:r>
          </w:p>
        </w:tc>
        <w:tc>
          <w:tcPr>
            <w:tcW w:w="2832"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5A13A7A4"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1</w:t>
            </w:r>
          </w:p>
        </w:tc>
        <w:tc>
          <w:tcPr>
            <w:tcW w:w="369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14:paraId="3F13326B"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40</w:t>
            </w:r>
          </w:p>
        </w:tc>
      </w:tr>
      <w:tr w:rsidR="0031492A" w:rsidRPr="00690F82" w14:paraId="2E4ED499" w14:textId="77777777" w:rsidTr="00E87A66">
        <w:trPr>
          <w:trHeight w:val="215"/>
        </w:trPr>
        <w:tc>
          <w:tcPr>
            <w:tcW w:w="2738"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14:paraId="3D203FF2" w14:textId="77777777" w:rsidR="0031492A" w:rsidRPr="00690F82" w:rsidRDefault="0031492A" w:rsidP="00E87A66">
            <w:pPr>
              <w:rPr>
                <w:rFonts w:asciiTheme="majorHAnsi" w:hAnsiTheme="majorHAnsi" w:cstheme="majorHAnsi"/>
                <w:b/>
                <w:sz w:val="20"/>
              </w:rPr>
            </w:pPr>
            <w:r w:rsidRPr="00690F82">
              <w:rPr>
                <w:rFonts w:asciiTheme="majorHAnsi" w:hAnsiTheme="majorHAnsi" w:cstheme="majorHAnsi"/>
                <w:b/>
                <w:bCs/>
                <w:sz w:val="20"/>
              </w:rPr>
              <w:t>Transport distance*</w:t>
            </w:r>
          </w:p>
        </w:tc>
        <w:tc>
          <w:tcPr>
            <w:tcW w:w="2832"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1942040D"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100 mi</w:t>
            </w:r>
          </w:p>
        </w:tc>
        <w:tc>
          <w:tcPr>
            <w:tcW w:w="369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14:paraId="14A23819" w14:textId="77777777" w:rsidR="0031492A" w:rsidRPr="00690F82" w:rsidRDefault="0031492A" w:rsidP="008F4763">
            <w:pPr>
              <w:rPr>
                <w:rFonts w:asciiTheme="majorHAnsi" w:hAnsiTheme="majorHAnsi" w:cstheme="majorHAnsi"/>
                <w:sz w:val="20"/>
              </w:rPr>
            </w:pPr>
            <w:r w:rsidRPr="00690F82">
              <w:rPr>
                <w:rFonts w:asciiTheme="majorHAnsi" w:hAnsiTheme="majorHAnsi" w:cstheme="majorHAnsi"/>
                <w:sz w:val="20"/>
              </w:rPr>
              <w:t>75 mi</w:t>
            </w:r>
          </w:p>
        </w:tc>
      </w:tr>
    </w:tbl>
    <w:p w14:paraId="213ED04B" w14:textId="18DC7A86" w:rsidR="0031492A" w:rsidRDefault="0031492A" w:rsidP="00BE12FD">
      <w:pPr>
        <w:pStyle w:val="Tablefootnotes"/>
        <w:tabs>
          <w:tab w:val="clear" w:pos="360"/>
          <w:tab w:val="left" w:pos="450"/>
        </w:tabs>
        <w:ind w:left="0" w:firstLine="0"/>
      </w:pPr>
      <w:r>
        <w:t>*</w:t>
      </w:r>
      <w:r w:rsidRPr="00A953B0">
        <w:t xml:space="preserve">Transport of bottled water from filling location to the consumer. Transport </w:t>
      </w:r>
      <w:r w:rsidR="00274952">
        <w:t xml:space="preserve">is </w:t>
      </w:r>
      <w:r w:rsidRPr="00A953B0">
        <w:t xml:space="preserve"> modeled in a diesel combination truck for single-serve bottles. The HOD bottles are transported in smaller vans by a delivery service.</w:t>
      </w:r>
    </w:p>
    <w:p w14:paraId="75D4B646" w14:textId="77777777" w:rsidR="00220C65" w:rsidRPr="00220C65" w:rsidRDefault="00220C65" w:rsidP="00220C65"/>
    <w:p w14:paraId="50F5FE4C" w14:textId="05973D47" w:rsidR="00EA132D" w:rsidRDefault="00EF4309" w:rsidP="00E411A3">
      <w:pPr>
        <w:pStyle w:val="BodyText"/>
      </w:pPr>
      <w:r>
        <w:t xml:space="preserve">The cost </w:t>
      </w:r>
      <w:r w:rsidR="00EA132D">
        <w:t xml:space="preserve">of bottled water </w:t>
      </w:r>
      <w:r>
        <w:t>to the consumer is based o</w:t>
      </w:r>
      <w:r w:rsidR="00EA132D">
        <w:t>n the price of a 24</w:t>
      </w:r>
      <w:r w:rsidR="00DE041D">
        <w:t>-</w:t>
      </w:r>
      <w:r w:rsidR="00EA132D">
        <w:t xml:space="preserve">pack for </w:t>
      </w:r>
      <w:r w:rsidR="009B2365">
        <w:t>single-serve</w:t>
      </w:r>
      <w:r w:rsidR="00EA132D">
        <w:t xml:space="preserve"> PET bottles</w:t>
      </w:r>
      <w:r w:rsidR="00053298">
        <w:t xml:space="preserve"> as sold at a large-scale grocery chain</w:t>
      </w:r>
      <w:r w:rsidR="00EA132D">
        <w:t xml:space="preserve"> and </w:t>
      </w:r>
      <w:r w:rsidR="00706D7B">
        <w:t xml:space="preserve">the price of a </w:t>
      </w:r>
      <w:r w:rsidR="00053298">
        <w:t>5</w:t>
      </w:r>
      <w:r w:rsidR="00DE041D">
        <w:t>-</w:t>
      </w:r>
      <w:r w:rsidR="00EA132D">
        <w:t xml:space="preserve">gallon spring water jug </w:t>
      </w:r>
      <w:r w:rsidR="00053298">
        <w:t>sold by various vendors</w:t>
      </w:r>
      <w:r w:rsidR="0045701B">
        <w:t xml:space="preserve"> </w:t>
      </w:r>
      <w:r w:rsidR="001E52F2">
        <w:t>as a</w:t>
      </w:r>
      <w:r w:rsidR="0045701B">
        <w:t xml:space="preserve"> home/office delivery service</w:t>
      </w:r>
      <w:r w:rsidR="00EA132D">
        <w:t xml:space="preserve">. The costs are listed in </w:t>
      </w:r>
      <w:r w:rsidR="00C027B9">
        <w:fldChar w:fldCharType="begin"/>
      </w:r>
      <w:r w:rsidR="00C027B9">
        <w:instrText xml:space="preserve"> REF _Ref524510123 \h </w:instrText>
      </w:r>
      <w:r w:rsidR="00C027B9">
        <w:fldChar w:fldCharType="separate"/>
      </w:r>
      <w:r w:rsidR="008072BC">
        <w:t xml:space="preserve">Table </w:t>
      </w:r>
      <w:r w:rsidR="008072BC">
        <w:rPr>
          <w:noProof/>
        </w:rPr>
        <w:t>3</w:t>
      </w:r>
      <w:r w:rsidR="00C027B9">
        <w:fldChar w:fldCharType="end"/>
      </w:r>
      <w:r w:rsidR="00C027B9">
        <w:t>.</w:t>
      </w:r>
      <w:r w:rsidR="0031492A">
        <w:t xml:space="preserve"> In emergency situations where the public water supply is rendered non-potable or inaccessible, various organizations within the U.S. government have historically been</w:t>
      </w:r>
      <w:r w:rsidR="00FA1ED6">
        <w:t xml:space="preserve"> responsible</w:t>
      </w:r>
      <w:r w:rsidR="00510F9D">
        <w:t xml:space="preserve"> for delivering</w:t>
      </w:r>
      <w:r w:rsidR="00FA1ED6">
        <w:t xml:space="preserve"> </w:t>
      </w:r>
      <w:r w:rsidR="00510F9D">
        <w:t>w</w:t>
      </w:r>
      <w:r w:rsidR="0031492A">
        <w:t xml:space="preserve">ater to the affected citizens. For example, the National Guard delivered water and water filters </w:t>
      </w:r>
      <w:r w:rsidR="00510F9D">
        <w:t>door</w:t>
      </w:r>
      <w:r w:rsidR="00DE041D">
        <w:t>-</w:t>
      </w:r>
      <w:r w:rsidR="0031492A">
        <w:t>to</w:t>
      </w:r>
      <w:r w:rsidR="00DE041D">
        <w:t>-</w:t>
      </w:r>
      <w:r w:rsidR="0031492A">
        <w:t>door and in schools during the Flint water crisis and the cost of water supply was covered by the state of Michigan (Maher, 2016). Similarly</w:t>
      </w:r>
      <w:r w:rsidR="00311A92">
        <w:t>,</w:t>
      </w:r>
      <w:r w:rsidR="0031492A">
        <w:t xml:space="preserve"> during the hurricane Maria, </w:t>
      </w:r>
      <w:r w:rsidR="00510F9D">
        <w:t>Federal Emergency Management Agency (</w:t>
      </w:r>
      <w:r w:rsidR="0031492A">
        <w:t>FEMA</w:t>
      </w:r>
      <w:r w:rsidR="00510F9D">
        <w:t>)</w:t>
      </w:r>
      <w:r w:rsidR="0031492A">
        <w:t xml:space="preserve">, </w:t>
      </w:r>
      <w:r w:rsidR="00510F9D">
        <w:t>Federal Bureau of Investigation (</w:t>
      </w:r>
      <w:r w:rsidR="0031492A">
        <w:t>FBI</w:t>
      </w:r>
      <w:r w:rsidR="00510F9D">
        <w:t>)</w:t>
      </w:r>
      <w:r w:rsidR="0031492A">
        <w:t xml:space="preserve"> and U</w:t>
      </w:r>
      <w:r w:rsidR="00510F9D">
        <w:t xml:space="preserve">nited </w:t>
      </w:r>
      <w:r w:rsidR="0031492A">
        <w:t>S</w:t>
      </w:r>
      <w:r w:rsidR="00510F9D">
        <w:t>tates</w:t>
      </w:r>
      <w:r w:rsidR="0031492A">
        <w:t xml:space="preserve"> Army Reserves provided bottled drinking water to survivors in Puerto Rico (Baja, 2017).</w:t>
      </w:r>
      <w:r w:rsidR="0045701B">
        <w:t xml:space="preserve"> </w:t>
      </w:r>
      <w:r w:rsidR="00E451EF">
        <w:t xml:space="preserve">Based on recent water disasters locally and internationally it appears </w:t>
      </w:r>
      <w:r w:rsidR="0045701B">
        <w:t xml:space="preserve">that states handle </w:t>
      </w:r>
      <w:r w:rsidR="0045701B">
        <w:lastRenderedPageBreak/>
        <w:t>contaminated local water, and federal entities typically handle weather disasters (</w:t>
      </w:r>
      <w:r w:rsidR="00D55081">
        <w:t xml:space="preserve">U.S. </w:t>
      </w:r>
      <w:r w:rsidR="00E451EF">
        <w:t>EPA, 2011</w:t>
      </w:r>
      <w:r w:rsidR="0045701B">
        <w:t>).</w:t>
      </w:r>
    </w:p>
    <w:p w14:paraId="6CA7AB93" w14:textId="6685E52A" w:rsidR="00EA132D" w:rsidRDefault="00EA132D" w:rsidP="00220C65">
      <w:pPr>
        <w:pStyle w:val="TableTitle"/>
      </w:pPr>
      <w:bookmarkStart w:id="41" w:name="_Ref524510123"/>
      <w:bookmarkStart w:id="42" w:name="_Toc524636922"/>
      <w:bookmarkStart w:id="43" w:name="_Toc533009183"/>
      <w:r>
        <w:t xml:space="preserve">Table </w:t>
      </w:r>
      <w:r w:rsidR="005810D9">
        <w:rPr>
          <w:noProof/>
        </w:rPr>
        <w:fldChar w:fldCharType="begin"/>
      </w:r>
      <w:r w:rsidR="005810D9">
        <w:rPr>
          <w:noProof/>
        </w:rPr>
        <w:instrText xml:space="preserve"> SEQ Table \* ARABIC </w:instrText>
      </w:r>
      <w:r w:rsidR="005810D9">
        <w:rPr>
          <w:noProof/>
        </w:rPr>
        <w:fldChar w:fldCharType="separate"/>
      </w:r>
      <w:r w:rsidR="008072BC">
        <w:rPr>
          <w:noProof/>
        </w:rPr>
        <w:t>3</w:t>
      </w:r>
      <w:r w:rsidR="005810D9">
        <w:rPr>
          <w:noProof/>
        </w:rPr>
        <w:fldChar w:fldCharType="end"/>
      </w:r>
      <w:bookmarkEnd w:id="41"/>
      <w:r>
        <w:t xml:space="preserve">. </w:t>
      </w:r>
      <w:r w:rsidR="00991E8F">
        <w:t xml:space="preserve">Sample </w:t>
      </w:r>
      <w:r>
        <w:t xml:space="preserve">Cost of </w:t>
      </w:r>
      <w:r w:rsidR="00991E8F">
        <w:t>W</w:t>
      </w:r>
      <w:r>
        <w:t xml:space="preserve">ater </w:t>
      </w:r>
      <w:r w:rsidR="00991E8F">
        <w:t>B</w:t>
      </w:r>
      <w:r>
        <w:t>ottles</w:t>
      </w:r>
      <w:bookmarkEnd w:id="42"/>
      <w:bookmarkEnd w:id="43"/>
    </w:p>
    <w:tbl>
      <w:tblPr>
        <w:tblW w:w="9260" w:type="dxa"/>
        <w:tblCellMar>
          <w:left w:w="0" w:type="dxa"/>
          <w:right w:w="0" w:type="dxa"/>
        </w:tblCellMar>
        <w:tblLook w:val="04A0" w:firstRow="1" w:lastRow="0" w:firstColumn="1" w:lastColumn="0" w:noHBand="0" w:noVBand="1"/>
      </w:tblPr>
      <w:tblGrid>
        <w:gridCol w:w="2870"/>
        <w:gridCol w:w="2340"/>
        <w:gridCol w:w="2340"/>
        <w:gridCol w:w="1710"/>
      </w:tblGrid>
      <w:tr w:rsidR="002D53FA" w:rsidRPr="00690F82" w14:paraId="4C28783A" w14:textId="41602836" w:rsidTr="00690F82">
        <w:trPr>
          <w:trHeight w:val="303"/>
        </w:trPr>
        <w:tc>
          <w:tcPr>
            <w:tcW w:w="287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tcPr>
          <w:p w14:paraId="64CB01A7" w14:textId="5B515FEB" w:rsidR="002D53FA" w:rsidRPr="00690F82" w:rsidRDefault="002D53FA" w:rsidP="002D53FA">
            <w:pPr>
              <w:rPr>
                <w:rFonts w:asciiTheme="majorHAnsi" w:hAnsiTheme="majorHAnsi" w:cstheme="majorHAnsi"/>
                <w:b/>
                <w:color w:val="FFFFFF" w:themeColor="background1"/>
                <w:sz w:val="20"/>
              </w:rPr>
            </w:pPr>
            <w:r w:rsidRPr="00690F82">
              <w:rPr>
                <w:rFonts w:asciiTheme="majorHAnsi" w:hAnsiTheme="majorHAnsi" w:cstheme="majorHAnsi"/>
                <w:b/>
                <w:sz w:val="20"/>
              </w:rPr>
              <w:t xml:space="preserve">Brand </w:t>
            </w:r>
            <w:r w:rsidR="00690F82" w:rsidRPr="00690F82">
              <w:rPr>
                <w:rFonts w:asciiTheme="majorHAnsi" w:hAnsiTheme="majorHAnsi" w:cstheme="majorHAnsi"/>
                <w:b/>
                <w:sz w:val="20"/>
              </w:rPr>
              <w:t>N</w:t>
            </w:r>
            <w:r w:rsidRPr="00690F82">
              <w:rPr>
                <w:rFonts w:asciiTheme="majorHAnsi" w:hAnsiTheme="majorHAnsi" w:cstheme="majorHAnsi"/>
                <w:b/>
                <w:sz w:val="20"/>
              </w:rPr>
              <w:t>ame</w:t>
            </w:r>
          </w:p>
        </w:tc>
        <w:tc>
          <w:tcPr>
            <w:tcW w:w="234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tcPr>
          <w:p w14:paraId="5B0B60F2" w14:textId="7C85E2ED" w:rsidR="002D53FA" w:rsidRPr="00690F82" w:rsidRDefault="002D53FA" w:rsidP="002D53FA">
            <w:pPr>
              <w:rPr>
                <w:rFonts w:asciiTheme="majorHAnsi" w:hAnsiTheme="majorHAnsi" w:cstheme="majorHAnsi"/>
                <w:b/>
                <w:color w:val="FFFFFF" w:themeColor="background1"/>
                <w:sz w:val="20"/>
              </w:rPr>
            </w:pPr>
            <w:r w:rsidRPr="00690F82">
              <w:rPr>
                <w:rFonts w:asciiTheme="majorHAnsi" w:hAnsiTheme="majorHAnsi" w:cstheme="majorHAnsi"/>
                <w:b/>
                <w:sz w:val="20"/>
              </w:rPr>
              <w:t xml:space="preserve">Type of </w:t>
            </w:r>
            <w:r w:rsidR="00675FB5">
              <w:rPr>
                <w:rFonts w:asciiTheme="majorHAnsi" w:hAnsiTheme="majorHAnsi" w:cstheme="majorHAnsi"/>
                <w:b/>
                <w:sz w:val="20"/>
              </w:rPr>
              <w:t>P</w:t>
            </w:r>
            <w:r w:rsidRPr="00690F82">
              <w:rPr>
                <w:rFonts w:asciiTheme="majorHAnsi" w:hAnsiTheme="majorHAnsi" w:cstheme="majorHAnsi"/>
                <w:b/>
                <w:sz w:val="20"/>
              </w:rPr>
              <w:t>roduct</w:t>
            </w:r>
          </w:p>
        </w:tc>
        <w:tc>
          <w:tcPr>
            <w:tcW w:w="234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tcPr>
          <w:p w14:paraId="5E9318BA" w14:textId="21A7C228" w:rsidR="002D53FA" w:rsidRPr="00690F82" w:rsidRDefault="002D53FA" w:rsidP="002D53FA">
            <w:pPr>
              <w:rPr>
                <w:rFonts w:asciiTheme="majorHAnsi" w:hAnsiTheme="majorHAnsi" w:cstheme="majorHAnsi"/>
                <w:b/>
                <w:color w:val="FFFFFF" w:themeColor="background1"/>
                <w:sz w:val="20"/>
              </w:rPr>
            </w:pPr>
            <w:r w:rsidRPr="00690F82">
              <w:rPr>
                <w:rFonts w:asciiTheme="majorHAnsi" w:hAnsiTheme="majorHAnsi" w:cstheme="majorHAnsi"/>
                <w:b/>
                <w:sz w:val="20"/>
              </w:rPr>
              <w:t xml:space="preserve">Price per </w:t>
            </w:r>
            <w:r w:rsidR="00675FB5">
              <w:rPr>
                <w:rFonts w:asciiTheme="majorHAnsi" w:hAnsiTheme="majorHAnsi" w:cstheme="majorHAnsi"/>
                <w:b/>
                <w:sz w:val="20"/>
              </w:rPr>
              <w:t>P</w:t>
            </w:r>
            <w:r w:rsidR="008467FD" w:rsidRPr="00690F82">
              <w:rPr>
                <w:rFonts w:asciiTheme="majorHAnsi" w:hAnsiTheme="majorHAnsi" w:cstheme="majorHAnsi"/>
                <w:b/>
                <w:sz w:val="20"/>
              </w:rPr>
              <w:t>ack (16.9oz)/5</w:t>
            </w:r>
            <w:r w:rsidR="00675FB5">
              <w:rPr>
                <w:rFonts w:asciiTheme="majorHAnsi" w:hAnsiTheme="majorHAnsi" w:cstheme="majorHAnsi"/>
                <w:b/>
                <w:sz w:val="20"/>
              </w:rPr>
              <w:t>-</w:t>
            </w:r>
            <w:r w:rsidR="008467FD" w:rsidRPr="00690F82">
              <w:rPr>
                <w:rFonts w:asciiTheme="majorHAnsi" w:hAnsiTheme="majorHAnsi" w:cstheme="majorHAnsi"/>
                <w:b/>
                <w:sz w:val="20"/>
              </w:rPr>
              <w:t xml:space="preserve">gallon </w:t>
            </w:r>
            <w:r w:rsidRPr="00690F82">
              <w:rPr>
                <w:rFonts w:asciiTheme="majorHAnsi" w:hAnsiTheme="majorHAnsi" w:cstheme="majorHAnsi"/>
                <w:b/>
                <w:sz w:val="20"/>
              </w:rPr>
              <w:t>bottle ($)</w:t>
            </w:r>
          </w:p>
        </w:tc>
        <w:tc>
          <w:tcPr>
            <w:tcW w:w="1710" w:type="dxa"/>
            <w:tcBorders>
              <w:top w:val="single" w:sz="8" w:space="0" w:color="FFFFFF"/>
              <w:left w:val="single" w:sz="8" w:space="0" w:color="FFFFFF"/>
              <w:bottom w:val="single" w:sz="24" w:space="0" w:color="FFFFFF"/>
              <w:right w:val="single" w:sz="8" w:space="0" w:color="FFFFFF"/>
            </w:tcBorders>
            <w:shd w:val="clear" w:color="auto" w:fill="BBE0E3"/>
          </w:tcPr>
          <w:p w14:paraId="20F37CC1" w14:textId="1707D730" w:rsidR="002D53FA" w:rsidRPr="00690F82" w:rsidRDefault="002D53FA" w:rsidP="002D53FA">
            <w:pPr>
              <w:rPr>
                <w:rFonts w:asciiTheme="majorHAnsi" w:hAnsiTheme="majorHAnsi" w:cstheme="majorHAnsi"/>
                <w:b/>
                <w:color w:val="FFFFFF" w:themeColor="background1"/>
                <w:sz w:val="20"/>
              </w:rPr>
            </w:pPr>
            <w:r w:rsidRPr="00690F82">
              <w:rPr>
                <w:rFonts w:asciiTheme="majorHAnsi" w:hAnsiTheme="majorHAnsi" w:cstheme="majorHAnsi"/>
                <w:b/>
                <w:sz w:val="20"/>
              </w:rPr>
              <w:t xml:space="preserve">Delivery Cost per </w:t>
            </w:r>
            <w:r w:rsidR="00675FB5">
              <w:rPr>
                <w:rFonts w:asciiTheme="majorHAnsi" w:hAnsiTheme="majorHAnsi" w:cstheme="majorHAnsi"/>
                <w:b/>
                <w:sz w:val="20"/>
              </w:rPr>
              <w:t>M</w:t>
            </w:r>
            <w:r w:rsidRPr="00690F82">
              <w:rPr>
                <w:rFonts w:asciiTheme="majorHAnsi" w:hAnsiTheme="majorHAnsi" w:cstheme="majorHAnsi"/>
                <w:b/>
                <w:sz w:val="20"/>
              </w:rPr>
              <w:t>onth ($)</w:t>
            </w:r>
          </w:p>
        </w:tc>
      </w:tr>
      <w:tr w:rsidR="002D53FA" w:rsidRPr="00690F82" w14:paraId="27C6B300" w14:textId="3805C97C" w:rsidTr="00690F82">
        <w:trPr>
          <w:trHeight w:val="191"/>
        </w:trPr>
        <w:tc>
          <w:tcPr>
            <w:tcW w:w="2870"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47992F0C" w14:textId="7FD6CE2D" w:rsidR="002D53FA" w:rsidRPr="00690F82" w:rsidRDefault="002D53FA" w:rsidP="002D53FA">
            <w:pPr>
              <w:rPr>
                <w:rFonts w:asciiTheme="majorHAnsi" w:hAnsiTheme="majorHAnsi" w:cstheme="majorHAnsi"/>
                <w:b/>
                <w:sz w:val="20"/>
              </w:rPr>
            </w:pPr>
            <w:r w:rsidRPr="00690F82">
              <w:rPr>
                <w:rFonts w:asciiTheme="majorHAnsi" w:hAnsiTheme="majorHAnsi" w:cstheme="majorHAnsi"/>
                <w:sz w:val="20"/>
              </w:rPr>
              <w:t>Poland Spring</w:t>
            </w:r>
            <w:r w:rsidR="00510F9D">
              <w:rPr>
                <w:rFonts w:asciiTheme="majorHAnsi" w:hAnsiTheme="majorHAnsi" w:cstheme="majorHAnsi"/>
                <w:sz w:val="20"/>
              </w:rPr>
              <w:t>*</w:t>
            </w:r>
            <w:r w:rsidRPr="00690F82">
              <w:rPr>
                <w:rFonts w:asciiTheme="majorHAnsi" w:hAnsiTheme="majorHAnsi" w:cstheme="majorHAnsi"/>
                <w:sz w:val="20"/>
              </w:rPr>
              <w:t xml:space="preserve"> </w:t>
            </w:r>
          </w:p>
        </w:tc>
        <w:tc>
          <w:tcPr>
            <w:tcW w:w="234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5AAEC15D" w14:textId="1CD88368"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 xml:space="preserve">16.9 oz, 24 pack </w:t>
            </w:r>
          </w:p>
        </w:tc>
        <w:tc>
          <w:tcPr>
            <w:tcW w:w="234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7D3CFD19" w14:textId="78FE8F7C"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4.49</w:t>
            </w:r>
          </w:p>
        </w:tc>
        <w:tc>
          <w:tcPr>
            <w:tcW w:w="1710" w:type="dxa"/>
            <w:tcBorders>
              <w:top w:val="single" w:sz="24" w:space="0" w:color="FFFFFF"/>
              <w:left w:val="single" w:sz="8" w:space="0" w:color="FFFFFF"/>
              <w:bottom w:val="single" w:sz="8" w:space="0" w:color="FFFFFF"/>
              <w:right w:val="single" w:sz="8" w:space="0" w:color="FFFFFF"/>
            </w:tcBorders>
            <w:shd w:val="clear" w:color="auto" w:fill="E7F3F4"/>
          </w:tcPr>
          <w:p w14:paraId="510F7DED" w14:textId="64D49F88"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w:t>
            </w:r>
          </w:p>
        </w:tc>
      </w:tr>
      <w:tr w:rsidR="002D53FA" w:rsidRPr="00690F82" w14:paraId="4749FF78" w14:textId="5A5ECBCE" w:rsidTr="00690F82">
        <w:trPr>
          <w:trHeight w:val="229"/>
        </w:trPr>
        <w:tc>
          <w:tcPr>
            <w:tcW w:w="28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0CCDD7DA" w14:textId="1F0B9826" w:rsidR="002D53FA" w:rsidRPr="00690F82" w:rsidRDefault="002D53FA" w:rsidP="002D53FA">
            <w:pPr>
              <w:rPr>
                <w:rFonts w:asciiTheme="majorHAnsi" w:hAnsiTheme="majorHAnsi" w:cstheme="majorHAnsi"/>
                <w:b/>
                <w:sz w:val="20"/>
              </w:rPr>
            </w:pPr>
            <w:r w:rsidRPr="00690F82">
              <w:rPr>
                <w:rFonts w:asciiTheme="majorHAnsi" w:hAnsiTheme="majorHAnsi" w:cstheme="majorHAnsi"/>
                <w:sz w:val="20"/>
              </w:rPr>
              <w:t>Dasani</w:t>
            </w:r>
            <w:r w:rsidR="00510F9D">
              <w:rPr>
                <w:rFonts w:asciiTheme="majorHAnsi" w:hAnsiTheme="majorHAnsi" w:cstheme="majorHAnsi"/>
                <w:sz w:val="20"/>
              </w:rPr>
              <w:t>*</w:t>
            </w:r>
          </w:p>
        </w:tc>
        <w:tc>
          <w:tcPr>
            <w:tcW w:w="234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4FDE794C" w14:textId="2DCDBF90"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16.9 oz, 24 pack</w:t>
            </w:r>
          </w:p>
        </w:tc>
        <w:tc>
          <w:tcPr>
            <w:tcW w:w="234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24E02DCE" w14:textId="32B7FBD2"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3.99</w:t>
            </w:r>
          </w:p>
        </w:tc>
        <w:tc>
          <w:tcPr>
            <w:tcW w:w="1710" w:type="dxa"/>
            <w:tcBorders>
              <w:top w:val="single" w:sz="8" w:space="0" w:color="FFFFFF"/>
              <w:left w:val="single" w:sz="8" w:space="0" w:color="FFFFFF"/>
              <w:bottom w:val="single" w:sz="8" w:space="0" w:color="FFFFFF"/>
              <w:right w:val="single" w:sz="8" w:space="0" w:color="FFFFFF"/>
            </w:tcBorders>
            <w:shd w:val="clear" w:color="auto" w:fill="F3F9FA"/>
          </w:tcPr>
          <w:p w14:paraId="01BD8E75" w14:textId="7017BB1B"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w:t>
            </w:r>
          </w:p>
        </w:tc>
      </w:tr>
      <w:tr w:rsidR="002D53FA" w:rsidRPr="00690F82" w14:paraId="1A62A904" w14:textId="600ED234" w:rsidTr="00690F82">
        <w:trPr>
          <w:trHeight w:val="223"/>
        </w:trPr>
        <w:tc>
          <w:tcPr>
            <w:tcW w:w="28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7CDA6AF1" w14:textId="4A4910D3" w:rsidR="002D53FA" w:rsidRPr="00690F82" w:rsidRDefault="002D53FA" w:rsidP="002D53FA">
            <w:pPr>
              <w:rPr>
                <w:rFonts w:asciiTheme="majorHAnsi" w:hAnsiTheme="majorHAnsi" w:cstheme="majorHAnsi"/>
                <w:b/>
                <w:sz w:val="20"/>
              </w:rPr>
            </w:pPr>
            <w:r w:rsidRPr="00690F82">
              <w:rPr>
                <w:rFonts w:asciiTheme="majorHAnsi" w:hAnsiTheme="majorHAnsi" w:cstheme="majorHAnsi"/>
                <w:sz w:val="20"/>
              </w:rPr>
              <w:t>Belmont Springs/ Crystal Rock</w:t>
            </w:r>
            <w:r w:rsidR="00E411A3" w:rsidRPr="00E411A3">
              <w:rPr>
                <w:rFonts w:asciiTheme="majorHAnsi" w:hAnsiTheme="majorHAnsi" w:cstheme="majorHAnsi"/>
                <w:sz w:val="20"/>
                <w:vertAlign w:val="superscript"/>
              </w:rPr>
              <w:t>§</w:t>
            </w:r>
          </w:p>
        </w:tc>
        <w:tc>
          <w:tcPr>
            <w:tcW w:w="234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6245A346" w14:textId="020872AD"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5 gallon, purified water</w:t>
            </w:r>
          </w:p>
        </w:tc>
        <w:tc>
          <w:tcPr>
            <w:tcW w:w="234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24959ADC" w14:textId="1F25A786"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6.99</w:t>
            </w:r>
          </w:p>
        </w:tc>
        <w:tc>
          <w:tcPr>
            <w:tcW w:w="1710" w:type="dxa"/>
            <w:tcBorders>
              <w:top w:val="single" w:sz="8" w:space="0" w:color="FFFFFF"/>
              <w:left w:val="single" w:sz="8" w:space="0" w:color="FFFFFF"/>
              <w:bottom w:val="single" w:sz="8" w:space="0" w:color="FFFFFF"/>
              <w:right w:val="single" w:sz="8" w:space="0" w:color="FFFFFF"/>
            </w:tcBorders>
            <w:shd w:val="clear" w:color="auto" w:fill="E7F3F4"/>
          </w:tcPr>
          <w:p w14:paraId="33A2FB79" w14:textId="5F173139"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5</w:t>
            </w:r>
          </w:p>
        </w:tc>
      </w:tr>
      <w:tr w:rsidR="002D53FA" w:rsidRPr="00690F82" w14:paraId="4B4D3F2A" w14:textId="0E960EA0" w:rsidTr="00690F82">
        <w:trPr>
          <w:trHeight w:val="215"/>
        </w:trPr>
        <w:tc>
          <w:tcPr>
            <w:tcW w:w="28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55FAAFAE" w14:textId="282716B5" w:rsidR="002D53FA" w:rsidRPr="00690F82" w:rsidRDefault="002D53FA" w:rsidP="002D53FA">
            <w:pPr>
              <w:rPr>
                <w:rFonts w:asciiTheme="majorHAnsi" w:hAnsiTheme="majorHAnsi" w:cstheme="majorHAnsi"/>
                <w:b/>
                <w:sz w:val="20"/>
              </w:rPr>
            </w:pPr>
            <w:r w:rsidRPr="00690F82">
              <w:rPr>
                <w:rFonts w:asciiTheme="majorHAnsi" w:hAnsiTheme="majorHAnsi" w:cstheme="majorHAnsi"/>
                <w:sz w:val="20"/>
              </w:rPr>
              <w:t>Belmont Springs/ Crystal Rock</w:t>
            </w:r>
            <w:r w:rsidR="00E411A3" w:rsidRPr="00E411A3">
              <w:rPr>
                <w:rFonts w:asciiTheme="majorHAnsi" w:hAnsiTheme="majorHAnsi" w:cstheme="majorHAnsi"/>
                <w:sz w:val="20"/>
                <w:vertAlign w:val="superscript"/>
              </w:rPr>
              <w:t>§</w:t>
            </w:r>
          </w:p>
        </w:tc>
        <w:tc>
          <w:tcPr>
            <w:tcW w:w="234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0D328D04" w14:textId="2B3B8C71"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5 gallon, spring water</w:t>
            </w:r>
          </w:p>
        </w:tc>
        <w:tc>
          <w:tcPr>
            <w:tcW w:w="234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67588E05" w14:textId="458C0B49"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7.99</w:t>
            </w:r>
          </w:p>
        </w:tc>
        <w:tc>
          <w:tcPr>
            <w:tcW w:w="1710" w:type="dxa"/>
            <w:tcBorders>
              <w:top w:val="single" w:sz="8" w:space="0" w:color="FFFFFF"/>
              <w:left w:val="single" w:sz="8" w:space="0" w:color="FFFFFF"/>
              <w:bottom w:val="single" w:sz="8" w:space="0" w:color="FFFFFF"/>
              <w:right w:val="single" w:sz="8" w:space="0" w:color="FFFFFF"/>
            </w:tcBorders>
            <w:shd w:val="clear" w:color="auto" w:fill="F3F9FA"/>
          </w:tcPr>
          <w:p w14:paraId="2DBBD669" w14:textId="0D64C427"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5</w:t>
            </w:r>
          </w:p>
        </w:tc>
      </w:tr>
      <w:tr w:rsidR="002D53FA" w:rsidRPr="00690F82" w14:paraId="0D92F451" w14:textId="1A1D3C29" w:rsidTr="00690F82">
        <w:trPr>
          <w:trHeight w:val="200"/>
        </w:trPr>
        <w:tc>
          <w:tcPr>
            <w:tcW w:w="28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6D7D16EE" w14:textId="6A6334A8" w:rsidR="002D53FA" w:rsidRPr="00690F82" w:rsidRDefault="002D53FA" w:rsidP="002D53FA">
            <w:pPr>
              <w:rPr>
                <w:rFonts w:asciiTheme="majorHAnsi" w:hAnsiTheme="majorHAnsi" w:cstheme="majorHAnsi"/>
                <w:b/>
                <w:sz w:val="20"/>
              </w:rPr>
            </w:pPr>
            <w:r w:rsidRPr="00690F82">
              <w:rPr>
                <w:rFonts w:asciiTheme="majorHAnsi" w:hAnsiTheme="majorHAnsi" w:cstheme="majorHAnsi"/>
                <w:sz w:val="20"/>
              </w:rPr>
              <w:t>Poland Spring</w:t>
            </w:r>
            <w:r w:rsidR="00E411A3" w:rsidRPr="00E411A3">
              <w:rPr>
                <w:rFonts w:asciiTheme="majorHAnsi" w:hAnsiTheme="majorHAnsi" w:cstheme="majorHAnsi"/>
                <w:sz w:val="20"/>
                <w:vertAlign w:val="superscript"/>
              </w:rPr>
              <w:t>§</w:t>
            </w:r>
          </w:p>
        </w:tc>
        <w:tc>
          <w:tcPr>
            <w:tcW w:w="234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72E59F25" w14:textId="1D37A434"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5 gallon, spring water</w:t>
            </w:r>
          </w:p>
        </w:tc>
        <w:tc>
          <w:tcPr>
            <w:tcW w:w="234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6E1743DA" w14:textId="2032DF41"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7.49</w:t>
            </w:r>
          </w:p>
        </w:tc>
        <w:tc>
          <w:tcPr>
            <w:tcW w:w="1710" w:type="dxa"/>
            <w:tcBorders>
              <w:top w:val="single" w:sz="8" w:space="0" w:color="FFFFFF"/>
              <w:left w:val="single" w:sz="8" w:space="0" w:color="FFFFFF"/>
              <w:bottom w:val="single" w:sz="8" w:space="0" w:color="FFFFFF"/>
              <w:right w:val="single" w:sz="8" w:space="0" w:color="FFFFFF"/>
            </w:tcBorders>
            <w:shd w:val="clear" w:color="auto" w:fill="E7F3F4"/>
          </w:tcPr>
          <w:p w14:paraId="6E99A558" w14:textId="763318D0"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6.95</w:t>
            </w:r>
          </w:p>
        </w:tc>
      </w:tr>
      <w:tr w:rsidR="002D53FA" w:rsidRPr="00690F82" w14:paraId="38397B5D" w14:textId="17690081" w:rsidTr="00690F82">
        <w:trPr>
          <w:trHeight w:val="275"/>
        </w:trPr>
        <w:tc>
          <w:tcPr>
            <w:tcW w:w="28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59B36D1D" w14:textId="588BE153" w:rsidR="002D53FA" w:rsidRPr="00690F82" w:rsidRDefault="002D53FA" w:rsidP="002D53FA">
            <w:pPr>
              <w:rPr>
                <w:rFonts w:asciiTheme="majorHAnsi" w:hAnsiTheme="majorHAnsi" w:cstheme="majorHAnsi"/>
                <w:b/>
                <w:sz w:val="20"/>
              </w:rPr>
            </w:pPr>
            <w:r w:rsidRPr="00690F82">
              <w:rPr>
                <w:rFonts w:asciiTheme="majorHAnsi" w:hAnsiTheme="majorHAnsi" w:cstheme="majorHAnsi"/>
                <w:sz w:val="20"/>
              </w:rPr>
              <w:t>Nestle Pure Life</w:t>
            </w:r>
            <w:r w:rsidR="00E411A3" w:rsidRPr="00E411A3">
              <w:rPr>
                <w:rFonts w:asciiTheme="majorHAnsi" w:hAnsiTheme="majorHAnsi" w:cstheme="majorHAnsi"/>
                <w:sz w:val="20"/>
                <w:vertAlign w:val="superscript"/>
              </w:rPr>
              <w:t>§</w:t>
            </w:r>
          </w:p>
        </w:tc>
        <w:tc>
          <w:tcPr>
            <w:tcW w:w="234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01DB5138" w14:textId="22856600"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5 gallon, purified water</w:t>
            </w:r>
          </w:p>
        </w:tc>
        <w:tc>
          <w:tcPr>
            <w:tcW w:w="2340" w:type="dxa"/>
            <w:tcBorders>
              <w:top w:val="single" w:sz="8" w:space="0" w:color="FFFFFF"/>
              <w:left w:val="single" w:sz="8" w:space="0" w:color="FFFFFF"/>
              <w:bottom w:val="single" w:sz="8" w:space="0" w:color="FFFFFF"/>
              <w:right w:val="single" w:sz="8" w:space="0" w:color="FFFFFF"/>
            </w:tcBorders>
            <w:shd w:val="clear" w:color="auto" w:fill="F3F9FA"/>
          </w:tcPr>
          <w:p w14:paraId="536DD963" w14:textId="3EF62E36" w:rsidR="002D53FA" w:rsidRPr="00690F82" w:rsidRDefault="00991E8F" w:rsidP="002D53FA">
            <w:pPr>
              <w:ind w:left="88"/>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6.49</w:t>
            </w:r>
          </w:p>
        </w:tc>
        <w:tc>
          <w:tcPr>
            <w:tcW w:w="1710" w:type="dxa"/>
            <w:tcBorders>
              <w:top w:val="single" w:sz="8" w:space="0" w:color="FFFFFF"/>
              <w:left w:val="single" w:sz="8" w:space="0" w:color="FFFFFF"/>
              <w:bottom w:val="single" w:sz="8" w:space="0" w:color="FFFFFF"/>
              <w:right w:val="single" w:sz="8" w:space="0" w:color="FFFFFF"/>
            </w:tcBorders>
            <w:shd w:val="clear" w:color="auto" w:fill="F3F9FA"/>
          </w:tcPr>
          <w:p w14:paraId="32451F1E" w14:textId="0E28A7F0"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6.95</w:t>
            </w:r>
          </w:p>
        </w:tc>
      </w:tr>
      <w:tr w:rsidR="002D53FA" w:rsidRPr="00690F82" w14:paraId="394E9C63" w14:textId="20C79BF7" w:rsidTr="00690F82">
        <w:trPr>
          <w:trHeight w:val="123"/>
        </w:trPr>
        <w:tc>
          <w:tcPr>
            <w:tcW w:w="28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103E74CE" w14:textId="3CA75AB7" w:rsidR="002D53FA" w:rsidRPr="00690F82" w:rsidRDefault="002D53FA" w:rsidP="002D53FA">
            <w:pPr>
              <w:rPr>
                <w:rFonts w:asciiTheme="majorHAnsi" w:hAnsiTheme="majorHAnsi" w:cstheme="majorHAnsi"/>
                <w:b/>
                <w:sz w:val="20"/>
              </w:rPr>
            </w:pPr>
            <w:r w:rsidRPr="00690F82">
              <w:rPr>
                <w:rFonts w:asciiTheme="majorHAnsi" w:hAnsiTheme="majorHAnsi" w:cstheme="majorHAnsi"/>
                <w:sz w:val="20"/>
              </w:rPr>
              <w:t>Wegmans Spring</w:t>
            </w:r>
            <w:r w:rsidR="00E411A3">
              <w:rPr>
                <w:rFonts w:asciiTheme="majorHAnsi" w:hAnsiTheme="majorHAnsi" w:cstheme="majorHAnsi"/>
                <w:sz w:val="20"/>
              </w:rPr>
              <w:t>*</w:t>
            </w:r>
          </w:p>
        </w:tc>
        <w:tc>
          <w:tcPr>
            <w:tcW w:w="234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4713CA64" w14:textId="1B16E33E"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4 gallon, spring water</w:t>
            </w:r>
          </w:p>
        </w:tc>
        <w:tc>
          <w:tcPr>
            <w:tcW w:w="234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5D484A13" w14:textId="0260EE96" w:rsidR="002D53FA" w:rsidRPr="00690F82" w:rsidRDefault="00991E8F" w:rsidP="002D53FA">
            <w:pPr>
              <w:rPr>
                <w:rFonts w:asciiTheme="majorHAnsi" w:hAnsiTheme="majorHAnsi" w:cstheme="majorHAnsi"/>
                <w:sz w:val="20"/>
              </w:rPr>
            </w:pPr>
            <w:r w:rsidRPr="00690F82">
              <w:rPr>
                <w:rFonts w:asciiTheme="majorHAnsi" w:hAnsiTheme="majorHAnsi" w:cstheme="majorHAnsi"/>
                <w:sz w:val="20"/>
              </w:rPr>
              <w:t>$</w:t>
            </w:r>
            <w:r w:rsidR="002D53FA" w:rsidRPr="00690F82">
              <w:rPr>
                <w:rFonts w:asciiTheme="majorHAnsi" w:hAnsiTheme="majorHAnsi" w:cstheme="majorHAnsi"/>
                <w:sz w:val="20"/>
              </w:rPr>
              <w:t>3.99</w:t>
            </w:r>
          </w:p>
        </w:tc>
        <w:tc>
          <w:tcPr>
            <w:tcW w:w="1710" w:type="dxa"/>
            <w:tcBorders>
              <w:top w:val="single" w:sz="8" w:space="0" w:color="FFFFFF"/>
              <w:left w:val="single" w:sz="8" w:space="0" w:color="FFFFFF"/>
              <w:bottom w:val="single" w:sz="8" w:space="0" w:color="FFFFFF"/>
              <w:right w:val="single" w:sz="8" w:space="0" w:color="FFFFFF"/>
            </w:tcBorders>
            <w:shd w:val="clear" w:color="auto" w:fill="E7F3F4"/>
          </w:tcPr>
          <w:p w14:paraId="24B712F2" w14:textId="41D0DEAF" w:rsidR="002D53FA" w:rsidRPr="00690F82" w:rsidRDefault="002D53FA" w:rsidP="002D53FA">
            <w:pPr>
              <w:rPr>
                <w:rFonts w:asciiTheme="majorHAnsi" w:hAnsiTheme="majorHAnsi" w:cstheme="majorHAnsi"/>
                <w:sz w:val="20"/>
              </w:rPr>
            </w:pPr>
            <w:r w:rsidRPr="00690F82">
              <w:rPr>
                <w:rFonts w:asciiTheme="majorHAnsi" w:hAnsiTheme="majorHAnsi" w:cstheme="majorHAnsi"/>
                <w:sz w:val="20"/>
              </w:rPr>
              <w:t>-</w:t>
            </w:r>
          </w:p>
        </w:tc>
      </w:tr>
    </w:tbl>
    <w:p w14:paraId="34191311" w14:textId="1BB74807" w:rsidR="00EA132D" w:rsidRDefault="00510F9D" w:rsidP="00E87A66">
      <w:pPr>
        <w:pStyle w:val="Tablefootnotes"/>
      </w:pPr>
      <w:r>
        <w:t>*</w:t>
      </w:r>
      <w:r w:rsidR="00E411A3" w:rsidRPr="00E411A3">
        <w:t>These products were sampled at Wegmans in Burlington</w:t>
      </w:r>
      <w:r w:rsidR="00675FB5">
        <w:t>, MA</w:t>
      </w:r>
      <w:r w:rsidR="00E411A3" w:rsidRPr="00E411A3">
        <w:t xml:space="preserve"> on Tuesday, September 11, 2018</w:t>
      </w:r>
      <w:r w:rsidR="00E411A3">
        <w:t>.</w:t>
      </w:r>
    </w:p>
    <w:p w14:paraId="1AAD0EAB" w14:textId="5312528D" w:rsidR="00E411A3" w:rsidRPr="00EF4C2E" w:rsidRDefault="00E411A3" w:rsidP="00E87A66">
      <w:pPr>
        <w:pStyle w:val="Tablefootnotes"/>
      </w:pPr>
      <w:r w:rsidRPr="00EF4C2E">
        <w:rPr>
          <w:vertAlign w:val="superscript"/>
        </w:rPr>
        <w:t>§</w:t>
      </w:r>
      <w:r w:rsidRPr="00EF4C2E">
        <w:t>The data for these products w</w:t>
      </w:r>
      <w:r w:rsidR="00675FB5">
        <w:t>ere</w:t>
      </w:r>
      <w:r w:rsidRPr="00EF4C2E">
        <w:t xml:space="preserve"> acquired by</w:t>
      </w:r>
      <w:r w:rsidR="00EF4C2E" w:rsidRPr="00EF4C2E">
        <w:t xml:space="preserve"> </w:t>
      </w:r>
      <w:r w:rsidRPr="00EF4C2E">
        <w:t>calling vendors</w:t>
      </w:r>
      <w:r w:rsidR="00EF4C2E" w:rsidRPr="00EF4C2E">
        <w:t xml:space="preserve"> for pricing</w:t>
      </w:r>
      <w:r w:rsidR="00617264">
        <w:t xml:space="preserve"> on Wednesday, September 12, 2018</w:t>
      </w:r>
      <w:r w:rsidR="00EF4C2E" w:rsidRPr="00EF4C2E">
        <w:t>.</w:t>
      </w:r>
    </w:p>
    <w:p w14:paraId="43C8264E" w14:textId="742C9527" w:rsidR="000B531C" w:rsidRDefault="000B531C" w:rsidP="009C00CA"/>
    <w:p w14:paraId="30634221" w14:textId="050D6E19" w:rsidR="009C00CA" w:rsidRDefault="009C00CA" w:rsidP="00220C65">
      <w:pPr>
        <w:pStyle w:val="BodyText"/>
      </w:pPr>
      <w:r>
        <w:t xml:space="preserve">The system boundaries for the single-serve bottled water analysis are shown in </w:t>
      </w:r>
      <w:r w:rsidR="0084056E">
        <w:fldChar w:fldCharType="begin"/>
      </w:r>
      <w:r w:rsidR="0084056E">
        <w:instrText xml:space="preserve"> REF _Ref517782127 \h </w:instrText>
      </w:r>
      <w:r w:rsidR="0084056E">
        <w:fldChar w:fldCharType="separate"/>
      </w:r>
      <w:r w:rsidR="008072BC" w:rsidRPr="00E00EE9">
        <w:t xml:space="preserve">Figure </w:t>
      </w:r>
      <w:r w:rsidR="008072BC">
        <w:rPr>
          <w:noProof/>
        </w:rPr>
        <w:t>4</w:t>
      </w:r>
      <w:r w:rsidR="0084056E">
        <w:fldChar w:fldCharType="end"/>
      </w:r>
      <w:r>
        <w:t xml:space="preserve">. The system boundaries start at </w:t>
      </w:r>
      <w:r w:rsidR="0031492A">
        <w:t xml:space="preserve">spring water extraction or </w:t>
      </w:r>
      <w:r>
        <w:t xml:space="preserve">municipal drinking water treatment. The bottled water plant conducts additional purification steps prior to filling such </w:t>
      </w:r>
      <w:r w:rsidR="0031492A">
        <w:t>as ultrafiltration</w:t>
      </w:r>
      <w:r w:rsidR="00BE12FD">
        <w:t>,</w:t>
      </w:r>
      <w:r>
        <w:t xml:space="preserve"> ozone treatment, and UV treatment. The system boundaries include raw material production of virgin primary </w:t>
      </w:r>
      <w:r w:rsidR="004A3512">
        <w:t>packaging</w:t>
      </w:r>
      <w:r w:rsidR="00A74C1A" w:rsidRPr="00A74C1A">
        <w:t xml:space="preserve"> </w:t>
      </w:r>
      <w:r w:rsidR="00A74C1A">
        <w:t>and associated components such as PET for the bottle, PP for the cap, and oriented polypropylene (OPP) for the label.</w:t>
      </w:r>
      <w:r w:rsidR="004A3512">
        <w:t xml:space="preserve"> </w:t>
      </w:r>
      <w:r w:rsidR="00A74C1A">
        <w:t xml:space="preserve">The system boundaries also include raw material production and conversion for </w:t>
      </w:r>
      <w:r>
        <w:t xml:space="preserve">distribution packaging </w:t>
      </w:r>
      <w:r w:rsidR="00477A11">
        <w:t xml:space="preserve">materials </w:t>
      </w:r>
      <w:r>
        <w:t xml:space="preserve">such as </w:t>
      </w:r>
      <w:r w:rsidR="00A5644D">
        <w:t>low-density polyethylene (</w:t>
      </w:r>
      <w:r>
        <w:t>LDPE</w:t>
      </w:r>
      <w:r w:rsidR="00A5644D">
        <w:t>)</w:t>
      </w:r>
      <w:r>
        <w:t xml:space="preserve"> for the shrink wrap.</w:t>
      </w:r>
      <w:r w:rsidR="00BE12FD">
        <w:t xml:space="preserve"> </w:t>
      </w:r>
      <w:r>
        <w:t>The model assumes that PET is injection molded to a preform at a separate facility and then stretch blow molded to a bottle at the filling location. After filling and application of the shrink wrap multipack packaging, the bottles are transported to the point of use. The model does not include any refrigeration of the bottled water. Bottles and multipack packaging are either recycled or disposed at end-of-life. Note that all life cycle stages requiring electricity in the bottled water system</w:t>
      </w:r>
      <w:r w:rsidR="00DB62A1">
        <w:t>s</w:t>
      </w:r>
      <w:r>
        <w:t xml:space="preserve"> </w:t>
      </w:r>
      <w:r w:rsidR="0031492A">
        <w:t xml:space="preserve">are modeled </w:t>
      </w:r>
      <w:r w:rsidR="00420FFA">
        <w:t>with</w:t>
      </w:r>
      <w:r>
        <w:t xml:space="preserve"> the U.S. average electrical grid fuel mix.</w:t>
      </w:r>
    </w:p>
    <w:p w14:paraId="264AF72B" w14:textId="1365A99E" w:rsidR="009C00CA" w:rsidRDefault="009C00CA" w:rsidP="009C00CA"/>
    <w:p w14:paraId="60DAF319" w14:textId="3A3FB291" w:rsidR="009C00CA" w:rsidRPr="007C5741" w:rsidRDefault="00EA6FF1" w:rsidP="009C00CA">
      <w:pPr>
        <w:keepNext/>
        <w:jc w:val="center"/>
      </w:pPr>
      <w:r>
        <w:object w:dxaOrig="12706" w:dyaOrig="10290" w14:anchorId="04991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379.5pt" o:ole="">
            <v:imagedata r:id="rId23" o:title=""/>
          </v:shape>
          <o:OLEObject Type="Embed" ProgID="Visio.Drawing.11" ShapeID="_x0000_i1025" DrawAspect="Content" ObjectID="_1610282383" r:id="rId24"/>
        </w:object>
      </w:r>
    </w:p>
    <w:p w14:paraId="7487D696" w14:textId="31B2A16F" w:rsidR="0069714A" w:rsidRDefault="0069714A" w:rsidP="00411841">
      <w:pPr>
        <w:pStyle w:val="FigureTitle"/>
      </w:pPr>
      <w:bookmarkStart w:id="44" w:name="_Ref517782127"/>
      <w:bookmarkStart w:id="45" w:name="_Toc524635605"/>
      <w:bookmarkStart w:id="46" w:name="_Toc533009201"/>
      <w:r w:rsidRPr="00E00EE9">
        <w:t xml:space="preserve">Figure </w:t>
      </w:r>
      <w:r>
        <w:fldChar w:fldCharType="begin"/>
      </w:r>
      <w:r>
        <w:instrText xml:space="preserve"> SEQ Figure \* ARABIC </w:instrText>
      </w:r>
      <w:r>
        <w:fldChar w:fldCharType="separate"/>
      </w:r>
      <w:r w:rsidR="008072BC">
        <w:t>4</w:t>
      </w:r>
      <w:r>
        <w:fldChar w:fldCharType="end"/>
      </w:r>
      <w:bookmarkEnd w:id="44"/>
      <w:r w:rsidRPr="00E00EE9">
        <w:t xml:space="preserve">. </w:t>
      </w:r>
      <w:r w:rsidR="00D9638C" w:rsidRPr="00D9638C">
        <w:t xml:space="preserve">System </w:t>
      </w:r>
      <w:r w:rsidR="00411841">
        <w:t>b</w:t>
      </w:r>
      <w:r w:rsidR="00D9638C" w:rsidRPr="00D9638C">
        <w:t>oundar</w:t>
      </w:r>
      <w:r w:rsidR="00411841">
        <w:t>y</w:t>
      </w:r>
      <w:r w:rsidR="00D9638C" w:rsidRPr="00D9638C">
        <w:t xml:space="preserve"> for </w:t>
      </w:r>
      <w:r w:rsidR="00411841">
        <w:t>s</w:t>
      </w:r>
      <w:r w:rsidR="00D9638C" w:rsidRPr="00D9638C">
        <w:t>ingle-</w:t>
      </w:r>
      <w:r w:rsidR="00411841">
        <w:t>s</w:t>
      </w:r>
      <w:r w:rsidR="00D9638C" w:rsidRPr="00D9638C">
        <w:t xml:space="preserve">erve </w:t>
      </w:r>
      <w:r w:rsidR="00411841">
        <w:t>b</w:t>
      </w:r>
      <w:r w:rsidR="00D9638C" w:rsidRPr="00D9638C">
        <w:t xml:space="preserve">ottled </w:t>
      </w:r>
      <w:r w:rsidR="00411841">
        <w:t>w</w:t>
      </w:r>
      <w:r w:rsidR="00D9638C" w:rsidRPr="00D9638C">
        <w:t xml:space="preserve">ater </w:t>
      </w:r>
      <w:r w:rsidR="00411841">
        <w:t>a</w:t>
      </w:r>
      <w:r w:rsidR="00D9638C" w:rsidRPr="00D9638C">
        <w:t>nalysis</w:t>
      </w:r>
      <w:bookmarkEnd w:id="45"/>
      <w:r w:rsidR="00411841">
        <w:t>.</w:t>
      </w:r>
      <w:bookmarkEnd w:id="46"/>
    </w:p>
    <w:p w14:paraId="76920B7F" w14:textId="77777777" w:rsidR="0069714A" w:rsidRPr="0069714A" w:rsidRDefault="0069714A" w:rsidP="0069714A"/>
    <w:p w14:paraId="2399FCD5" w14:textId="5F1F9F59" w:rsidR="003918DF" w:rsidRDefault="003918DF" w:rsidP="00220C65">
      <w:pPr>
        <w:pStyle w:val="BodyText"/>
      </w:pPr>
      <w:r>
        <w:t xml:space="preserve">The system boundaries for the multi-serve HOD jug/bottle are shown in </w:t>
      </w:r>
      <w:r w:rsidR="00AE2AAF">
        <w:fldChar w:fldCharType="begin"/>
      </w:r>
      <w:r w:rsidR="00AE2AAF">
        <w:instrText xml:space="preserve"> REF _Ref517782169 \h </w:instrText>
      </w:r>
      <w:r w:rsidR="00AE2AAF">
        <w:fldChar w:fldCharType="separate"/>
      </w:r>
      <w:r w:rsidR="008072BC" w:rsidRPr="007D6A45">
        <w:t xml:space="preserve">Figure </w:t>
      </w:r>
      <w:r w:rsidR="008072BC">
        <w:rPr>
          <w:noProof/>
        </w:rPr>
        <w:t>5</w:t>
      </w:r>
      <w:r w:rsidR="00AE2AAF">
        <w:fldChar w:fldCharType="end"/>
      </w:r>
      <w:r>
        <w:t xml:space="preserve">. Water treatment is modeled using the same approach as the single-serve analysis. Filled HOD jugs are transported to point of use via a delivery service van. The analysis assumes consumers use a reusable glass to fill drinking water from the jugs. After use, the glass is </w:t>
      </w:r>
      <w:r w:rsidR="0002482F">
        <w:t xml:space="preserve">assumed to be </w:t>
      </w:r>
      <w:r>
        <w:t xml:space="preserve">cleaned </w:t>
      </w:r>
      <w:r w:rsidR="00053D00">
        <w:t>by handwashing</w:t>
      </w:r>
      <w:r w:rsidR="0002482F">
        <w:t xml:space="preserve"> in the baseline analysis</w:t>
      </w:r>
      <w:r w:rsidR="001B1E29">
        <w:t xml:space="preserve"> however, use of soap is outside the scope of this study</w:t>
      </w:r>
      <w:r>
        <w:t xml:space="preserve">. </w:t>
      </w:r>
      <w:r w:rsidR="00706726">
        <w:t xml:space="preserve">Section </w:t>
      </w:r>
      <w:r w:rsidR="00706726">
        <w:fldChar w:fldCharType="begin"/>
      </w:r>
      <w:r w:rsidR="00706726">
        <w:instrText xml:space="preserve"> REF _Ref524952102 \r \h </w:instrText>
      </w:r>
      <w:r w:rsidR="00706726">
        <w:fldChar w:fldCharType="separate"/>
      </w:r>
      <w:r w:rsidR="008072BC">
        <w:t>4.4.1.2</w:t>
      </w:r>
      <w:r w:rsidR="00706726">
        <w:fldChar w:fldCharType="end"/>
      </w:r>
      <w:r w:rsidR="00706726">
        <w:t xml:space="preserve"> </w:t>
      </w:r>
      <w:r w:rsidR="00710B90">
        <w:t>includes a sensitivity analysis addressing</w:t>
      </w:r>
      <w:r w:rsidR="00706726">
        <w:t xml:space="preserve"> the </w:t>
      </w:r>
      <w:r w:rsidR="001B1E29">
        <w:t xml:space="preserve">option of no washing in emergency conditions pertaining to water shortages.  Use of dishwashers is also considered </w:t>
      </w:r>
      <w:r w:rsidR="009150B8">
        <w:t>to be an un-</w:t>
      </w:r>
      <w:r w:rsidR="001B1E29">
        <w:t>viable option in emergency situations especially when replacing large-scale water supply.</w:t>
      </w:r>
      <w:r w:rsidR="00FA49B3">
        <w:t xml:space="preserve"> </w:t>
      </w:r>
      <w:r>
        <w:t xml:space="preserve">After the jug is empty, the same delivery service collects the jug from the point of use. It is assumed the jug cap is disposed and the jug itself is sent back to the filling facility. Prior to filling the jug, the jug goes through an industrial washing process. Industrial washing between uses includes the production of relevant cleaning chemicals. The jugs are used approximately 40 times until they are recycled by the delivery service. It is assumed the reusable glass for drinking is reused for 3 years, once a day, for 1,095 total lifetime uses. Material production requirements for the jug </w:t>
      </w:r>
      <w:r w:rsidR="00692D83">
        <w:t>are</w:t>
      </w:r>
      <w:r>
        <w:t xml:space="preserve"> amortized over the useful life of the components.</w:t>
      </w:r>
      <w:r w:rsidR="00692D83">
        <w:t xml:space="preserve"> Given the </w:t>
      </w:r>
      <w:r w:rsidR="008F4763">
        <w:t>notable</w:t>
      </w:r>
      <w:r w:rsidR="00692D83">
        <w:t xml:space="preserve"> number of lifetime uses for </w:t>
      </w:r>
      <w:r w:rsidR="00692D83">
        <w:lastRenderedPageBreak/>
        <w:t>the reusable glass, production and disposal of the glass are assumed negligible, and excluded from the model.</w:t>
      </w:r>
      <w:r w:rsidR="00B03348">
        <w:t xml:space="preserve"> The refrigeration of water after being poured out of the reusable jug is also excluded from the analysis.</w:t>
      </w:r>
    </w:p>
    <w:p w14:paraId="01C1B438" w14:textId="29A9727B" w:rsidR="003918DF" w:rsidRDefault="003918DF" w:rsidP="003918DF"/>
    <w:p w14:paraId="6F52DCBC" w14:textId="7783B370" w:rsidR="003918DF" w:rsidRPr="007C5741" w:rsidRDefault="002A357E" w:rsidP="003918DF">
      <w:pPr>
        <w:keepNext/>
        <w:jc w:val="center"/>
      </w:pPr>
      <w:r>
        <w:object w:dxaOrig="12691" w:dyaOrig="9961" w14:anchorId="2DB36243">
          <v:shape id="_x0000_i1026" type="#_x0000_t75" style="width:468pt;height:366pt" o:ole="">
            <v:imagedata r:id="rId25" o:title=""/>
          </v:shape>
          <o:OLEObject Type="Embed" ProgID="Visio.Drawing.11" ShapeID="_x0000_i1026" DrawAspect="Content" ObjectID="_1610282384" r:id="rId26"/>
        </w:object>
      </w:r>
    </w:p>
    <w:p w14:paraId="6DD81658" w14:textId="25F3CE5C" w:rsidR="000D3E0F" w:rsidRDefault="003918DF" w:rsidP="002A357E">
      <w:pPr>
        <w:pStyle w:val="FigureTitle"/>
        <w:rPr>
          <w:szCs w:val="18"/>
        </w:rPr>
      </w:pPr>
      <w:bookmarkStart w:id="47" w:name="_Ref517782169"/>
      <w:bookmarkStart w:id="48" w:name="_Toc524635606"/>
      <w:bookmarkStart w:id="49" w:name="_Toc533009202"/>
      <w:r w:rsidRPr="007D6A45">
        <w:t xml:space="preserve">Figure </w:t>
      </w:r>
      <w:r>
        <w:fldChar w:fldCharType="begin"/>
      </w:r>
      <w:r>
        <w:instrText xml:space="preserve"> SEQ Figure \* ARABIC </w:instrText>
      </w:r>
      <w:r>
        <w:fldChar w:fldCharType="separate"/>
      </w:r>
      <w:r w:rsidR="008072BC">
        <w:t>5</w:t>
      </w:r>
      <w:r>
        <w:fldChar w:fldCharType="end"/>
      </w:r>
      <w:bookmarkEnd w:id="47"/>
      <w:r w:rsidRPr="007D6A45">
        <w:t xml:space="preserve">. </w:t>
      </w:r>
      <w:r w:rsidRPr="003918DF">
        <w:rPr>
          <w:szCs w:val="18"/>
        </w:rPr>
        <w:t xml:space="preserve">System </w:t>
      </w:r>
      <w:r w:rsidR="002A357E">
        <w:rPr>
          <w:szCs w:val="18"/>
        </w:rPr>
        <w:t>b</w:t>
      </w:r>
      <w:r w:rsidRPr="003918DF">
        <w:rPr>
          <w:szCs w:val="18"/>
        </w:rPr>
        <w:t>oundar</w:t>
      </w:r>
      <w:r w:rsidR="002A357E">
        <w:rPr>
          <w:szCs w:val="18"/>
        </w:rPr>
        <w:t>y</w:t>
      </w:r>
      <w:r w:rsidRPr="003918DF">
        <w:rPr>
          <w:szCs w:val="18"/>
        </w:rPr>
        <w:t xml:space="preserve"> for </w:t>
      </w:r>
      <w:r w:rsidR="002A357E">
        <w:rPr>
          <w:szCs w:val="18"/>
        </w:rPr>
        <w:t>m</w:t>
      </w:r>
      <w:r w:rsidRPr="003918DF">
        <w:rPr>
          <w:szCs w:val="18"/>
        </w:rPr>
        <w:t>ulti-</w:t>
      </w:r>
      <w:r w:rsidR="002A357E">
        <w:rPr>
          <w:szCs w:val="18"/>
        </w:rPr>
        <w:t>s</w:t>
      </w:r>
      <w:r w:rsidRPr="003918DF">
        <w:rPr>
          <w:szCs w:val="18"/>
        </w:rPr>
        <w:t xml:space="preserve">erve </w:t>
      </w:r>
      <w:r w:rsidR="002A357E">
        <w:rPr>
          <w:szCs w:val="18"/>
        </w:rPr>
        <w:t>h</w:t>
      </w:r>
      <w:r w:rsidRPr="003918DF">
        <w:rPr>
          <w:szCs w:val="18"/>
        </w:rPr>
        <w:t xml:space="preserve">ome </w:t>
      </w:r>
      <w:r w:rsidR="002A357E">
        <w:rPr>
          <w:szCs w:val="18"/>
        </w:rPr>
        <w:t>d</w:t>
      </w:r>
      <w:r w:rsidRPr="003918DF">
        <w:rPr>
          <w:szCs w:val="18"/>
        </w:rPr>
        <w:t xml:space="preserve">elivery </w:t>
      </w:r>
      <w:r w:rsidR="002A357E">
        <w:rPr>
          <w:szCs w:val="18"/>
        </w:rPr>
        <w:t>j</w:t>
      </w:r>
      <w:r w:rsidRPr="003918DF">
        <w:rPr>
          <w:szCs w:val="18"/>
        </w:rPr>
        <w:t xml:space="preserve">ug </w:t>
      </w:r>
      <w:r w:rsidR="002A357E">
        <w:rPr>
          <w:szCs w:val="18"/>
        </w:rPr>
        <w:t>a</w:t>
      </w:r>
      <w:r w:rsidRPr="003918DF">
        <w:rPr>
          <w:szCs w:val="18"/>
        </w:rPr>
        <w:t>nalysis</w:t>
      </w:r>
      <w:bookmarkEnd w:id="48"/>
      <w:r w:rsidR="002A357E">
        <w:rPr>
          <w:szCs w:val="18"/>
        </w:rPr>
        <w:t>.</w:t>
      </w:r>
      <w:bookmarkEnd w:id="49"/>
    </w:p>
    <w:p w14:paraId="0FB071C0" w14:textId="77777777" w:rsidR="00EF079C" w:rsidRPr="000D3E0F" w:rsidRDefault="00EF079C" w:rsidP="002A357E">
      <w:pPr>
        <w:pStyle w:val="FigureTitle"/>
      </w:pPr>
    </w:p>
    <w:p w14:paraId="6272C79A" w14:textId="4B3A249B" w:rsidR="000D3E0F" w:rsidRDefault="00044930" w:rsidP="000D3E0F">
      <w:pPr>
        <w:pStyle w:val="Heading3"/>
      </w:pPr>
      <w:bookmarkStart w:id="50" w:name="_Ref433296874"/>
      <w:bookmarkStart w:id="51" w:name="_Toc525246198"/>
      <w:bookmarkStart w:id="52" w:name="_Toc533009156"/>
      <w:r>
        <w:t>Metrics and Life Cycle Impact Assessment</w:t>
      </w:r>
      <w:bookmarkEnd w:id="50"/>
      <w:bookmarkEnd w:id="51"/>
      <w:bookmarkEnd w:id="52"/>
    </w:p>
    <w:p w14:paraId="57AE63FF" w14:textId="77777777" w:rsidR="00DB62A1" w:rsidRDefault="0029761D" w:rsidP="00AC057A">
      <w:pPr>
        <w:pStyle w:val="BodyText"/>
      </w:pPr>
      <w:r w:rsidRPr="00B12F6E">
        <w:t>LCIA helps with interpretation of the emissions inventory. LCIA is defined in ISO 14044 Section 3.4 as the “phase of life cycle assessment aimed at understanding and evaluating the magnitude and significance of the potential environmental impacts for a product system throughout the life cycle of the product.” In the LCIA phase, the inventory of emissions is first classified into categories in which the emissions may contribute to impacts on human health or the environment. Within each impact category, the emissions are then normalized to a common reporting basis, using characterization factors that express the impact of each substance relative to a reference substance.</w:t>
      </w:r>
      <w:r w:rsidR="00D85479">
        <w:t xml:space="preserve"> </w:t>
      </w:r>
    </w:p>
    <w:p w14:paraId="06478194" w14:textId="04C1B90D" w:rsidR="0029761D" w:rsidRDefault="00D85479" w:rsidP="00AC057A">
      <w:pPr>
        <w:pStyle w:val="BodyText"/>
      </w:pPr>
      <w:r>
        <w:lastRenderedPageBreak/>
        <w:t>In addition to the LCIA, a cost analysis was also carried out to</w:t>
      </w:r>
      <w:r w:rsidR="00BC1417">
        <w:t xml:space="preserve"> </w:t>
      </w:r>
      <w:r>
        <w:t xml:space="preserve">compare the </w:t>
      </w:r>
      <w:r w:rsidR="00BC1417">
        <w:t xml:space="preserve">standardized </w:t>
      </w:r>
      <w:r>
        <w:t xml:space="preserve">cost of each system per liter of water. The details of this analysis are provided in </w:t>
      </w:r>
      <w:r w:rsidR="00311A92">
        <w:t>S</w:t>
      </w:r>
      <w:r>
        <w:t xml:space="preserve">ection </w:t>
      </w:r>
      <w:r>
        <w:fldChar w:fldCharType="begin"/>
      </w:r>
      <w:r>
        <w:instrText xml:space="preserve"> REF _Ref525068757 \r \h </w:instrText>
      </w:r>
      <w:r>
        <w:fldChar w:fldCharType="separate"/>
      </w:r>
      <w:r w:rsidR="008072BC">
        <w:t>4.5</w:t>
      </w:r>
      <w:r>
        <w:fldChar w:fldCharType="end"/>
      </w:r>
      <w:r>
        <w:t>.</w:t>
      </w:r>
      <w:r w:rsidR="00BC1417">
        <w:t xml:space="preserve"> This analysis used net present value of the cost of the AWGs over their lifetimes to calculate the per liter cost based on the average number of liters produced by the units over their lifetimes. The per liter cost of bottled water is based on unit price and quantity sold in the market.</w:t>
      </w:r>
    </w:p>
    <w:p w14:paraId="77F367B6" w14:textId="4F58299F" w:rsidR="000D2CA0" w:rsidRDefault="0029761D" w:rsidP="000D2CA0">
      <w:pPr>
        <w:pStyle w:val="BodyText"/>
      </w:pPr>
      <w:r>
        <w:t>The results of this study address global, regional, and local impact categories.</w:t>
      </w:r>
      <w:r w:rsidR="000D2CA0">
        <w:t xml:space="preserve"> </w:t>
      </w:r>
      <w:r w:rsidR="001961E2">
        <w:t xml:space="preserve">The impact categories and methods applied in this study along with their units and a brief description of each category are shown in </w:t>
      </w:r>
      <w:r w:rsidR="00492A5F">
        <w:fldChar w:fldCharType="begin"/>
      </w:r>
      <w:r w:rsidR="00492A5F">
        <w:instrText xml:space="preserve"> REF _Ref525246901 \h </w:instrText>
      </w:r>
      <w:r w:rsidR="00492A5F">
        <w:fldChar w:fldCharType="separate"/>
      </w:r>
      <w:r w:rsidR="008072BC">
        <w:t xml:space="preserve">Table </w:t>
      </w:r>
      <w:r w:rsidR="008072BC">
        <w:rPr>
          <w:noProof/>
        </w:rPr>
        <w:t>4</w:t>
      </w:r>
      <w:r w:rsidR="00492A5F">
        <w:fldChar w:fldCharType="end"/>
      </w:r>
      <w:r w:rsidR="001961E2">
        <w:t xml:space="preserve">. </w:t>
      </w:r>
      <w:r w:rsidR="00710B90">
        <w:t xml:space="preserve">The </w:t>
      </w:r>
      <w:r w:rsidR="005231C7" w:rsidRPr="00B11ECA">
        <w:t>TRACI version 2.1</w:t>
      </w:r>
      <w:r w:rsidR="005231C7">
        <w:t xml:space="preserve"> </w:t>
      </w:r>
      <w:r w:rsidR="001961E2" w:rsidRPr="00B11ECA">
        <w:t xml:space="preserve">LCIA method, developed by the U.S. EPA specifically to model environmental and human health impacts in the U.S., is the primary LCIA method </w:t>
      </w:r>
      <w:r w:rsidR="001961E2">
        <w:rPr>
          <w:szCs w:val="24"/>
        </w:rPr>
        <w:t xml:space="preserve">applied in this study </w:t>
      </w:r>
      <w:r w:rsidR="001961E2">
        <w:t>(</w:t>
      </w:r>
      <w:r w:rsidR="001961E2" w:rsidRPr="0093113E">
        <w:t>Bare, 20</w:t>
      </w:r>
      <w:r w:rsidR="00EE0756">
        <w:t>03</w:t>
      </w:r>
      <w:r w:rsidR="00FA49B3">
        <w:t>)</w:t>
      </w:r>
      <w:r w:rsidR="001961E2">
        <w:t xml:space="preserve">. </w:t>
      </w:r>
      <w:r w:rsidR="001961E2" w:rsidRPr="00B11ECA">
        <w:t>Additionally, the ReCiPe LCIA method is</w:t>
      </w:r>
      <w:r w:rsidR="001961E2">
        <w:t xml:space="preserve"> used</w:t>
      </w:r>
      <w:r w:rsidR="001961E2" w:rsidRPr="00B11ECA">
        <w:t xml:space="preserve"> to characterize fossil fuel </w:t>
      </w:r>
      <w:r w:rsidR="001961E2">
        <w:t>depletion and water use (Goedkoop et al., 2009).</w:t>
      </w:r>
      <w:r w:rsidR="001961E2" w:rsidRPr="00B11ECA">
        <w:t xml:space="preserve"> Energy is tracked based on point of extraction using the cumulative energy demand method developed by </w:t>
      </w:r>
      <w:r w:rsidR="000D2CA0">
        <w:t>E</w:t>
      </w:r>
      <w:r w:rsidR="001961E2" w:rsidRPr="00B11ECA">
        <w:t>coinvent</w:t>
      </w:r>
      <w:r w:rsidR="001961E2">
        <w:t xml:space="preserve"> (Frischknecht et al., 2007).</w:t>
      </w:r>
    </w:p>
    <w:tbl>
      <w:tblPr>
        <w:tblW w:w="9260" w:type="dxa"/>
        <w:tblCellMar>
          <w:left w:w="0" w:type="dxa"/>
          <w:right w:w="0" w:type="dxa"/>
        </w:tblCellMar>
        <w:tblLook w:val="04A0" w:firstRow="1" w:lastRow="0" w:firstColumn="1" w:lastColumn="0" w:noHBand="0" w:noVBand="1"/>
      </w:tblPr>
      <w:tblGrid>
        <w:gridCol w:w="1827"/>
        <w:gridCol w:w="920"/>
        <w:gridCol w:w="1970"/>
        <w:gridCol w:w="4543"/>
      </w:tblGrid>
      <w:tr w:rsidR="008F3560" w:rsidRPr="0029761D" w14:paraId="630BF933" w14:textId="77777777" w:rsidTr="00311A92">
        <w:trPr>
          <w:trHeight w:val="285"/>
          <w:tblHeader/>
        </w:trPr>
        <w:tc>
          <w:tcPr>
            <w:tcW w:w="9260" w:type="dxa"/>
            <w:gridSpan w:val="4"/>
            <w:tcBorders>
              <w:bottom w:val="single" w:sz="24" w:space="0" w:color="FFFFFF"/>
            </w:tcBorders>
            <w:shd w:val="clear" w:color="auto" w:fill="auto"/>
            <w:tcMar>
              <w:top w:w="15" w:type="dxa"/>
              <w:left w:w="108" w:type="dxa"/>
              <w:bottom w:w="0" w:type="dxa"/>
              <w:right w:w="108" w:type="dxa"/>
            </w:tcMar>
          </w:tcPr>
          <w:p w14:paraId="5D28031B" w14:textId="4BEDC682" w:rsidR="008F3560" w:rsidRPr="0029761D" w:rsidRDefault="008F3560" w:rsidP="008F3560">
            <w:pPr>
              <w:pStyle w:val="TableTitle"/>
              <w:rPr>
                <w:rFonts w:ascii="Calibri" w:hAnsi="Calibri" w:cs="Calibri"/>
                <w:color w:val="000000" w:themeColor="text1"/>
                <w:sz w:val="20"/>
              </w:rPr>
            </w:pPr>
            <w:bookmarkStart w:id="53" w:name="_Ref525246901"/>
            <w:bookmarkStart w:id="54" w:name="_Toc524636925"/>
            <w:bookmarkStart w:id="55" w:name="_Toc533009184"/>
            <w:r>
              <w:t xml:space="preserve">Table </w:t>
            </w:r>
            <w:r>
              <w:rPr>
                <w:noProof/>
              </w:rPr>
              <w:fldChar w:fldCharType="begin"/>
            </w:r>
            <w:r>
              <w:rPr>
                <w:noProof/>
              </w:rPr>
              <w:instrText xml:space="preserve"> SEQ Table \* ARABIC </w:instrText>
            </w:r>
            <w:r>
              <w:rPr>
                <w:noProof/>
              </w:rPr>
              <w:fldChar w:fldCharType="separate"/>
            </w:r>
            <w:r w:rsidR="008072BC">
              <w:rPr>
                <w:noProof/>
              </w:rPr>
              <w:t>4</w:t>
            </w:r>
            <w:r>
              <w:rPr>
                <w:noProof/>
              </w:rPr>
              <w:fldChar w:fldCharType="end"/>
            </w:r>
            <w:bookmarkEnd w:id="53"/>
            <w:r>
              <w:t>. Scope of Impact Assessment</w:t>
            </w:r>
            <w:bookmarkEnd w:id="54"/>
            <w:bookmarkEnd w:id="55"/>
          </w:p>
        </w:tc>
      </w:tr>
      <w:tr w:rsidR="00C14132" w:rsidRPr="0029761D" w14:paraId="3B1BF784" w14:textId="2B3D23D6" w:rsidTr="00311A92">
        <w:trPr>
          <w:trHeight w:val="285"/>
          <w:tblHeader/>
        </w:trPr>
        <w:tc>
          <w:tcPr>
            <w:tcW w:w="1827"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tcPr>
          <w:p w14:paraId="7C1C5A74" w14:textId="0BD6FB9B" w:rsidR="00C14132" w:rsidRPr="0029761D" w:rsidRDefault="00C14132" w:rsidP="00C14132">
            <w:pPr>
              <w:rPr>
                <w:b/>
                <w:color w:val="000000" w:themeColor="text1"/>
                <w:sz w:val="20"/>
              </w:rPr>
            </w:pPr>
            <w:r w:rsidRPr="0029761D">
              <w:rPr>
                <w:rFonts w:ascii="Calibri" w:hAnsi="Calibri" w:cs="Calibri"/>
                <w:b/>
                <w:color w:val="000000" w:themeColor="text1"/>
                <w:sz w:val="20"/>
              </w:rPr>
              <w:t>Category</w:t>
            </w:r>
          </w:p>
        </w:tc>
        <w:tc>
          <w:tcPr>
            <w:tcW w:w="92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tcPr>
          <w:p w14:paraId="66C6FD43" w14:textId="517F331D" w:rsidR="00C14132" w:rsidRPr="0029761D" w:rsidRDefault="00C14132" w:rsidP="00C14132">
            <w:pPr>
              <w:rPr>
                <w:b/>
                <w:color w:val="000000" w:themeColor="text1"/>
                <w:sz w:val="20"/>
              </w:rPr>
            </w:pPr>
            <w:r w:rsidRPr="0029761D">
              <w:rPr>
                <w:rFonts w:ascii="Calibri" w:hAnsi="Calibri" w:cs="Calibri"/>
                <w:b/>
                <w:color w:val="000000" w:themeColor="text1"/>
                <w:sz w:val="20"/>
              </w:rPr>
              <w:t>Unit</w:t>
            </w:r>
          </w:p>
        </w:tc>
        <w:tc>
          <w:tcPr>
            <w:tcW w:w="197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tcPr>
          <w:p w14:paraId="7AEEED8B" w14:textId="17D8B628" w:rsidR="00C14132" w:rsidRPr="0029761D" w:rsidRDefault="00C14132" w:rsidP="00C14132">
            <w:pPr>
              <w:rPr>
                <w:b/>
                <w:color w:val="000000" w:themeColor="text1"/>
                <w:sz w:val="20"/>
              </w:rPr>
            </w:pPr>
            <w:r w:rsidRPr="0029761D">
              <w:rPr>
                <w:rFonts w:ascii="Calibri" w:hAnsi="Calibri" w:cs="Calibri"/>
                <w:b/>
                <w:color w:val="000000" w:themeColor="text1"/>
                <w:sz w:val="20"/>
              </w:rPr>
              <w:t>Method</w:t>
            </w:r>
          </w:p>
        </w:tc>
        <w:tc>
          <w:tcPr>
            <w:tcW w:w="4543" w:type="dxa"/>
            <w:tcBorders>
              <w:top w:val="single" w:sz="8" w:space="0" w:color="FFFFFF"/>
              <w:left w:val="single" w:sz="8" w:space="0" w:color="FFFFFF"/>
              <w:bottom w:val="single" w:sz="24" w:space="0" w:color="FFFFFF"/>
              <w:right w:val="single" w:sz="8" w:space="0" w:color="FFFFFF"/>
            </w:tcBorders>
            <w:shd w:val="clear" w:color="auto" w:fill="BBE0E3"/>
          </w:tcPr>
          <w:p w14:paraId="63949D1C" w14:textId="6FD0CF1B" w:rsidR="00C14132" w:rsidRPr="0029761D" w:rsidRDefault="00C14132" w:rsidP="00C14132">
            <w:pPr>
              <w:rPr>
                <w:b/>
                <w:color w:val="000000" w:themeColor="text1"/>
                <w:sz w:val="20"/>
              </w:rPr>
            </w:pPr>
            <w:r w:rsidRPr="0029761D">
              <w:rPr>
                <w:rFonts w:ascii="Calibri" w:hAnsi="Calibri" w:cs="Calibri"/>
                <w:b/>
                <w:color w:val="000000" w:themeColor="text1"/>
                <w:sz w:val="20"/>
              </w:rPr>
              <w:t>Description</w:t>
            </w:r>
          </w:p>
        </w:tc>
      </w:tr>
      <w:tr w:rsidR="000D2CA0" w:rsidRPr="0029761D" w14:paraId="22FF7B08" w14:textId="77777777" w:rsidTr="00F17892">
        <w:trPr>
          <w:trHeight w:val="285"/>
        </w:trPr>
        <w:tc>
          <w:tcPr>
            <w:tcW w:w="1827"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tcPr>
          <w:p w14:paraId="2E99C55D" w14:textId="3D5D872B" w:rsidR="000D2CA0" w:rsidRPr="0029761D" w:rsidRDefault="000D2CA0" w:rsidP="000D2CA0">
            <w:pPr>
              <w:rPr>
                <w:rFonts w:ascii="Calibri" w:hAnsi="Calibri" w:cs="Calibri"/>
                <w:b/>
                <w:color w:val="000000" w:themeColor="text1"/>
                <w:sz w:val="20"/>
              </w:rPr>
            </w:pPr>
            <w:r w:rsidRPr="0029761D">
              <w:rPr>
                <w:rFonts w:ascii="Calibri" w:hAnsi="Calibri" w:cs="Calibri"/>
                <w:b/>
                <w:color w:val="000000"/>
                <w:sz w:val="20"/>
              </w:rPr>
              <w:t>Acidification Potential</w:t>
            </w:r>
          </w:p>
        </w:tc>
        <w:tc>
          <w:tcPr>
            <w:tcW w:w="920" w:type="dxa"/>
            <w:tcBorders>
              <w:top w:val="single" w:sz="8" w:space="0" w:color="FFFFFF"/>
              <w:left w:val="single" w:sz="8" w:space="0" w:color="FFFFFF"/>
              <w:bottom w:val="single" w:sz="24" w:space="0" w:color="FFFFFF"/>
              <w:right w:val="single" w:sz="8" w:space="0" w:color="FFFFFF"/>
            </w:tcBorders>
            <w:shd w:val="clear" w:color="auto" w:fill="E7F3F4"/>
            <w:tcMar>
              <w:top w:w="15" w:type="dxa"/>
              <w:left w:w="108" w:type="dxa"/>
              <w:bottom w:w="0" w:type="dxa"/>
              <w:right w:w="108" w:type="dxa"/>
            </w:tcMar>
          </w:tcPr>
          <w:p w14:paraId="5C35529B" w14:textId="481754E3" w:rsidR="000D2CA0" w:rsidRPr="0029761D" w:rsidRDefault="000D2CA0" w:rsidP="000D2CA0">
            <w:pPr>
              <w:rPr>
                <w:rFonts w:ascii="Calibri" w:hAnsi="Calibri" w:cs="Calibri"/>
                <w:b/>
                <w:color w:val="000000" w:themeColor="text1"/>
                <w:sz w:val="20"/>
              </w:rPr>
            </w:pPr>
            <w:r w:rsidRPr="0029761D">
              <w:rPr>
                <w:rFonts w:asciiTheme="majorHAnsi" w:hAnsiTheme="majorHAnsi" w:cstheme="majorHAnsi"/>
                <w:sz w:val="20"/>
              </w:rPr>
              <w:t>kg SO</w:t>
            </w:r>
            <w:r w:rsidRPr="0029761D">
              <w:rPr>
                <w:rFonts w:asciiTheme="majorHAnsi" w:hAnsiTheme="majorHAnsi" w:cstheme="majorHAnsi"/>
                <w:sz w:val="20"/>
                <w:vertAlign w:val="subscript"/>
              </w:rPr>
              <w:t>2</w:t>
            </w:r>
            <w:r w:rsidRPr="0029761D">
              <w:rPr>
                <w:rFonts w:asciiTheme="majorHAnsi" w:hAnsiTheme="majorHAnsi" w:cstheme="majorHAnsi"/>
                <w:sz w:val="20"/>
              </w:rPr>
              <w:t xml:space="preserve"> eq</w:t>
            </w:r>
          </w:p>
        </w:tc>
        <w:tc>
          <w:tcPr>
            <w:tcW w:w="1970" w:type="dxa"/>
            <w:tcBorders>
              <w:top w:val="single" w:sz="8" w:space="0" w:color="FFFFFF"/>
              <w:left w:val="single" w:sz="8" w:space="0" w:color="FFFFFF"/>
              <w:bottom w:val="single" w:sz="24" w:space="0" w:color="FFFFFF"/>
              <w:right w:val="single" w:sz="8" w:space="0" w:color="FFFFFF"/>
            </w:tcBorders>
            <w:shd w:val="clear" w:color="auto" w:fill="E7F3F4"/>
            <w:tcMar>
              <w:top w:w="15" w:type="dxa"/>
              <w:left w:w="108" w:type="dxa"/>
              <w:bottom w:w="0" w:type="dxa"/>
              <w:right w:w="108" w:type="dxa"/>
            </w:tcMar>
          </w:tcPr>
          <w:p w14:paraId="04AEEBA3" w14:textId="42206141" w:rsidR="000D2CA0" w:rsidRPr="0029761D" w:rsidRDefault="000D2CA0" w:rsidP="000D2CA0">
            <w:pPr>
              <w:rPr>
                <w:rFonts w:ascii="Calibri" w:hAnsi="Calibri" w:cs="Calibri"/>
                <w:b/>
                <w:color w:val="000000" w:themeColor="text1"/>
                <w:sz w:val="20"/>
              </w:rPr>
            </w:pPr>
            <w:r w:rsidRPr="0029761D">
              <w:rPr>
                <w:rFonts w:asciiTheme="majorHAnsi" w:hAnsiTheme="majorHAnsi" w:cstheme="majorHAnsi"/>
                <w:sz w:val="20"/>
                <w:lang w:eastAsia="ja-JP"/>
              </w:rPr>
              <w:t>TRACI v2.1</w:t>
            </w:r>
          </w:p>
        </w:tc>
        <w:tc>
          <w:tcPr>
            <w:tcW w:w="4543" w:type="dxa"/>
            <w:tcBorders>
              <w:top w:val="single" w:sz="8" w:space="0" w:color="FFFFFF"/>
              <w:left w:val="single" w:sz="8" w:space="0" w:color="FFFFFF"/>
              <w:bottom w:val="single" w:sz="24" w:space="0" w:color="FFFFFF"/>
              <w:right w:val="single" w:sz="8" w:space="0" w:color="FFFFFF"/>
            </w:tcBorders>
            <w:shd w:val="clear" w:color="auto" w:fill="E7F3F4"/>
          </w:tcPr>
          <w:p w14:paraId="45929233" w14:textId="6F3FDDD1" w:rsidR="000D2CA0" w:rsidRPr="0029761D" w:rsidRDefault="000D2CA0" w:rsidP="000D2CA0">
            <w:pPr>
              <w:rPr>
                <w:rFonts w:ascii="Calibri" w:hAnsi="Calibri" w:cs="Calibri"/>
                <w:b/>
                <w:color w:val="000000" w:themeColor="text1"/>
                <w:sz w:val="20"/>
              </w:rPr>
            </w:pPr>
            <w:r w:rsidRPr="0029761D">
              <w:rPr>
                <w:rFonts w:asciiTheme="majorHAnsi" w:hAnsiTheme="majorHAnsi" w:cstheme="majorHAnsi"/>
                <w:sz w:val="20"/>
                <w:lang w:val="pt-PT"/>
              </w:rPr>
              <w:t>Quantifies the acidifying effect of substances on their environment. Important emissions: SO</w:t>
            </w:r>
            <w:r w:rsidRPr="0029761D">
              <w:rPr>
                <w:rFonts w:asciiTheme="majorHAnsi" w:hAnsiTheme="majorHAnsi" w:cstheme="majorHAnsi"/>
                <w:sz w:val="20"/>
                <w:vertAlign w:val="subscript"/>
                <w:lang w:val="pt-PT"/>
              </w:rPr>
              <w:t>2</w:t>
            </w:r>
            <w:r w:rsidRPr="0029761D">
              <w:rPr>
                <w:rFonts w:asciiTheme="majorHAnsi" w:hAnsiTheme="majorHAnsi" w:cstheme="majorHAnsi"/>
                <w:sz w:val="20"/>
                <w:lang w:val="pt-PT"/>
              </w:rPr>
              <w:t>, NO</w:t>
            </w:r>
            <w:r w:rsidRPr="0029761D">
              <w:rPr>
                <w:rFonts w:asciiTheme="majorHAnsi" w:hAnsiTheme="majorHAnsi" w:cstheme="majorHAnsi"/>
                <w:sz w:val="20"/>
                <w:vertAlign w:val="subscript"/>
                <w:lang w:val="pt-PT"/>
              </w:rPr>
              <w:t>x</w:t>
            </w:r>
            <w:r w:rsidRPr="0029761D">
              <w:rPr>
                <w:rFonts w:asciiTheme="majorHAnsi" w:hAnsiTheme="majorHAnsi" w:cstheme="majorHAnsi"/>
                <w:sz w:val="20"/>
                <w:lang w:val="pt-PT"/>
              </w:rPr>
              <w:t>, NH</w:t>
            </w:r>
            <w:r w:rsidRPr="0029761D">
              <w:rPr>
                <w:rFonts w:asciiTheme="majorHAnsi" w:hAnsiTheme="majorHAnsi" w:cstheme="majorHAnsi"/>
                <w:sz w:val="20"/>
                <w:vertAlign w:val="subscript"/>
                <w:lang w:val="pt-PT"/>
              </w:rPr>
              <w:t>3</w:t>
            </w:r>
            <w:r w:rsidRPr="0029761D">
              <w:rPr>
                <w:rFonts w:asciiTheme="majorHAnsi" w:hAnsiTheme="majorHAnsi" w:cstheme="majorHAnsi"/>
                <w:sz w:val="20"/>
                <w:lang w:val="pt-PT"/>
              </w:rPr>
              <w:t>, HCl, HF, H</w:t>
            </w:r>
            <w:r w:rsidRPr="0029761D">
              <w:rPr>
                <w:rFonts w:asciiTheme="majorHAnsi" w:hAnsiTheme="majorHAnsi" w:cstheme="majorHAnsi"/>
                <w:sz w:val="20"/>
                <w:vertAlign w:val="subscript"/>
                <w:lang w:val="pt-PT"/>
              </w:rPr>
              <w:t>2</w:t>
            </w:r>
            <w:r w:rsidRPr="0029761D">
              <w:rPr>
                <w:rFonts w:asciiTheme="majorHAnsi" w:hAnsiTheme="majorHAnsi" w:cstheme="majorHAnsi"/>
                <w:sz w:val="20"/>
                <w:lang w:val="pt-PT"/>
              </w:rPr>
              <w:t>S.</w:t>
            </w:r>
          </w:p>
        </w:tc>
      </w:tr>
      <w:tr w:rsidR="000D2CA0" w:rsidRPr="0029761D" w14:paraId="618B3894" w14:textId="575C293E" w:rsidTr="00311A92">
        <w:trPr>
          <w:trHeight w:val="180"/>
        </w:trPr>
        <w:tc>
          <w:tcPr>
            <w:tcW w:w="1827"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3AF34CE8" w14:textId="38A62FF3" w:rsidR="000D2CA0" w:rsidRPr="0029761D" w:rsidRDefault="000D2CA0" w:rsidP="000D2CA0">
            <w:pPr>
              <w:rPr>
                <w:b/>
                <w:sz w:val="20"/>
              </w:rPr>
            </w:pPr>
            <w:r w:rsidRPr="0029761D">
              <w:rPr>
                <w:rFonts w:ascii="Calibri" w:hAnsi="Calibri" w:cs="Calibri"/>
                <w:b/>
                <w:color w:val="000000"/>
                <w:sz w:val="20"/>
              </w:rPr>
              <w:t>Cumulative Energy Demand</w:t>
            </w:r>
          </w:p>
        </w:tc>
        <w:tc>
          <w:tcPr>
            <w:tcW w:w="9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22DA44D6" w14:textId="5A8A61E8"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MJ-eq</w:t>
            </w:r>
          </w:p>
        </w:tc>
        <w:tc>
          <w:tcPr>
            <w:tcW w:w="197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2A8F9671" w14:textId="09DAD8F3"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lang w:eastAsia="ja-JP"/>
              </w:rPr>
              <w:t>Ecoinvent</w:t>
            </w:r>
          </w:p>
        </w:tc>
        <w:tc>
          <w:tcPr>
            <w:tcW w:w="4543" w:type="dxa"/>
            <w:tcBorders>
              <w:top w:val="single" w:sz="24" w:space="0" w:color="FFFFFF"/>
              <w:left w:val="single" w:sz="8" w:space="0" w:color="FFFFFF"/>
              <w:bottom w:val="single" w:sz="8" w:space="0" w:color="FFFFFF"/>
              <w:right w:val="single" w:sz="8" w:space="0" w:color="FFFFFF"/>
            </w:tcBorders>
            <w:shd w:val="clear" w:color="auto" w:fill="E7F3F4"/>
          </w:tcPr>
          <w:p w14:paraId="05A702D9" w14:textId="23062A5D" w:rsidR="000D2CA0" w:rsidRPr="0029761D" w:rsidRDefault="00E43908" w:rsidP="000D2CA0">
            <w:pPr>
              <w:rPr>
                <w:rFonts w:asciiTheme="majorHAnsi" w:hAnsiTheme="majorHAnsi" w:cstheme="majorHAnsi"/>
                <w:sz w:val="20"/>
              </w:rPr>
            </w:pPr>
            <w:r>
              <w:rPr>
                <w:rFonts w:asciiTheme="majorHAnsi" w:hAnsiTheme="majorHAnsi" w:cstheme="majorHAnsi"/>
                <w:sz w:val="20"/>
              </w:rPr>
              <w:t>A</w:t>
            </w:r>
            <w:r w:rsidR="000D2CA0" w:rsidRPr="0029761D">
              <w:rPr>
                <w:rFonts w:asciiTheme="majorHAnsi" w:hAnsiTheme="majorHAnsi" w:cstheme="majorHAnsi"/>
                <w:sz w:val="20"/>
              </w:rPr>
              <w:t>ccounts for the total usage of non-renewable fuels (natural gas, petroleum, coal, and nuclear) and renewable fuels (such as biomass and hydro</w:t>
            </w:r>
            <w:r w:rsidR="00E0741F">
              <w:rPr>
                <w:rFonts w:asciiTheme="majorHAnsi" w:hAnsiTheme="majorHAnsi" w:cstheme="majorHAnsi"/>
                <w:sz w:val="20"/>
              </w:rPr>
              <w:t>power</w:t>
            </w:r>
            <w:r w:rsidR="000D2CA0" w:rsidRPr="0029761D">
              <w:rPr>
                <w:rFonts w:asciiTheme="majorHAnsi" w:hAnsiTheme="majorHAnsi" w:cstheme="majorHAnsi"/>
                <w:sz w:val="20"/>
              </w:rPr>
              <w:t>). Energy is tracked based on the heating value of the fuel utilized from point of extraction, with all energy values summed together and reported on a MJ basis.</w:t>
            </w:r>
          </w:p>
        </w:tc>
      </w:tr>
      <w:tr w:rsidR="000D2CA0" w:rsidRPr="0029761D" w14:paraId="7903CA49" w14:textId="77777777" w:rsidTr="00311A92">
        <w:trPr>
          <w:trHeight w:val="180"/>
        </w:trPr>
        <w:tc>
          <w:tcPr>
            <w:tcW w:w="1827"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0D9AE653" w14:textId="2BEDFF35" w:rsidR="000D2CA0" w:rsidRPr="0029761D" w:rsidRDefault="000D2CA0" w:rsidP="000D2CA0">
            <w:pPr>
              <w:rPr>
                <w:rFonts w:ascii="Calibri" w:hAnsi="Calibri" w:cs="Calibri"/>
                <w:b/>
                <w:color w:val="000000"/>
                <w:sz w:val="20"/>
              </w:rPr>
            </w:pPr>
            <w:r w:rsidRPr="0029761D">
              <w:rPr>
                <w:rFonts w:ascii="Calibri" w:hAnsi="Calibri" w:cs="Calibri"/>
                <w:b/>
                <w:color w:val="000000"/>
                <w:sz w:val="20"/>
              </w:rPr>
              <w:t>Eutrophication Potential</w:t>
            </w:r>
          </w:p>
        </w:tc>
        <w:tc>
          <w:tcPr>
            <w:tcW w:w="9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0A82A545" w14:textId="646466A3"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kg N eq.</w:t>
            </w:r>
          </w:p>
        </w:tc>
        <w:tc>
          <w:tcPr>
            <w:tcW w:w="197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510AF480" w14:textId="7AC25D41" w:rsidR="000D2CA0" w:rsidRPr="0029761D" w:rsidRDefault="000D2CA0" w:rsidP="000D2CA0">
            <w:pPr>
              <w:rPr>
                <w:rFonts w:asciiTheme="majorHAnsi" w:hAnsiTheme="majorHAnsi" w:cstheme="majorHAnsi"/>
                <w:sz w:val="20"/>
                <w:lang w:eastAsia="ja-JP"/>
              </w:rPr>
            </w:pPr>
            <w:r w:rsidRPr="0029761D">
              <w:rPr>
                <w:rFonts w:asciiTheme="majorHAnsi" w:hAnsiTheme="majorHAnsi" w:cstheme="majorHAnsi"/>
                <w:sz w:val="20"/>
                <w:lang w:eastAsia="ja-JP"/>
              </w:rPr>
              <w:t>TRACI v2.1</w:t>
            </w:r>
          </w:p>
        </w:tc>
        <w:tc>
          <w:tcPr>
            <w:tcW w:w="4543" w:type="dxa"/>
            <w:tcBorders>
              <w:top w:val="single" w:sz="24" w:space="0" w:color="FFFFFF"/>
              <w:left w:val="single" w:sz="8" w:space="0" w:color="FFFFFF"/>
              <w:bottom w:val="single" w:sz="8" w:space="0" w:color="FFFFFF"/>
              <w:right w:val="single" w:sz="8" w:space="0" w:color="FFFFFF"/>
            </w:tcBorders>
            <w:shd w:val="clear" w:color="auto" w:fill="E7F3F4"/>
          </w:tcPr>
          <w:p w14:paraId="2C52A153" w14:textId="0D808DA3"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Assesses impacts from excessive load of macro-nutrients to the environment. Important emissions: NH</w:t>
            </w:r>
            <w:r w:rsidRPr="0029761D">
              <w:rPr>
                <w:rFonts w:asciiTheme="majorHAnsi" w:hAnsiTheme="majorHAnsi" w:cstheme="majorHAnsi"/>
                <w:sz w:val="20"/>
                <w:vertAlign w:val="subscript"/>
              </w:rPr>
              <w:t>3</w:t>
            </w:r>
            <w:r w:rsidRPr="0029761D">
              <w:rPr>
                <w:rFonts w:asciiTheme="majorHAnsi" w:hAnsiTheme="majorHAnsi" w:cstheme="majorHAnsi"/>
                <w:sz w:val="20"/>
              </w:rPr>
              <w:t>, NO</w:t>
            </w:r>
            <w:r w:rsidRPr="0029761D">
              <w:rPr>
                <w:rFonts w:asciiTheme="majorHAnsi" w:hAnsiTheme="majorHAnsi" w:cstheme="majorHAnsi"/>
                <w:sz w:val="20"/>
                <w:vertAlign w:val="subscript"/>
              </w:rPr>
              <w:t>x</w:t>
            </w:r>
            <w:r w:rsidRPr="0029761D">
              <w:rPr>
                <w:rFonts w:asciiTheme="majorHAnsi" w:hAnsiTheme="majorHAnsi" w:cstheme="majorHAnsi"/>
                <w:sz w:val="20"/>
              </w:rPr>
              <w:t>, COD and BOD, N and P compounds.</w:t>
            </w:r>
          </w:p>
        </w:tc>
      </w:tr>
      <w:tr w:rsidR="000D2CA0" w:rsidRPr="0029761D" w14:paraId="07692D44" w14:textId="77777777" w:rsidTr="00311A92">
        <w:trPr>
          <w:trHeight w:val="180"/>
        </w:trPr>
        <w:tc>
          <w:tcPr>
            <w:tcW w:w="1827"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74288975" w14:textId="6277A422" w:rsidR="000D2CA0" w:rsidRPr="0029761D" w:rsidRDefault="000D2CA0" w:rsidP="000D2CA0">
            <w:pPr>
              <w:rPr>
                <w:rFonts w:ascii="Calibri" w:hAnsi="Calibri" w:cs="Calibri"/>
                <w:b/>
                <w:color w:val="000000"/>
                <w:sz w:val="20"/>
              </w:rPr>
            </w:pPr>
            <w:r w:rsidRPr="0029761D">
              <w:rPr>
                <w:rFonts w:ascii="Calibri" w:hAnsi="Calibri" w:cs="Calibri"/>
                <w:b/>
                <w:color w:val="000000"/>
                <w:sz w:val="20"/>
              </w:rPr>
              <w:t>Fossil Fuel Depletion</w:t>
            </w:r>
          </w:p>
        </w:tc>
        <w:tc>
          <w:tcPr>
            <w:tcW w:w="9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522E368D" w14:textId="22E08718"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kg oil-eq.</w:t>
            </w:r>
          </w:p>
        </w:tc>
        <w:tc>
          <w:tcPr>
            <w:tcW w:w="197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51EFB289" w14:textId="1AAB55EC" w:rsidR="000D2CA0" w:rsidRPr="0029761D" w:rsidRDefault="000D2CA0" w:rsidP="000D2CA0">
            <w:pPr>
              <w:rPr>
                <w:rFonts w:asciiTheme="majorHAnsi" w:hAnsiTheme="majorHAnsi" w:cstheme="majorHAnsi"/>
                <w:sz w:val="20"/>
                <w:lang w:eastAsia="ja-JP"/>
              </w:rPr>
            </w:pPr>
            <w:r w:rsidRPr="0029761D">
              <w:rPr>
                <w:rFonts w:asciiTheme="majorHAnsi" w:hAnsiTheme="majorHAnsi" w:cstheme="majorHAnsi"/>
                <w:sz w:val="20"/>
              </w:rPr>
              <w:t>ReCiPe</w:t>
            </w:r>
          </w:p>
        </w:tc>
        <w:tc>
          <w:tcPr>
            <w:tcW w:w="4543" w:type="dxa"/>
            <w:tcBorders>
              <w:top w:val="single" w:sz="24" w:space="0" w:color="FFFFFF"/>
              <w:left w:val="single" w:sz="8" w:space="0" w:color="FFFFFF"/>
              <w:bottom w:val="single" w:sz="8" w:space="0" w:color="FFFFFF"/>
              <w:right w:val="single" w:sz="8" w:space="0" w:color="FFFFFF"/>
            </w:tcBorders>
            <w:shd w:val="clear" w:color="auto" w:fill="E7F3F4"/>
          </w:tcPr>
          <w:p w14:paraId="73A12083" w14:textId="12A41F26" w:rsidR="000D2CA0" w:rsidRPr="0029761D" w:rsidRDefault="00E43908" w:rsidP="000D2CA0">
            <w:pPr>
              <w:rPr>
                <w:rFonts w:asciiTheme="majorHAnsi" w:hAnsiTheme="majorHAnsi" w:cstheme="majorHAnsi"/>
                <w:sz w:val="20"/>
              </w:rPr>
            </w:pPr>
            <w:r>
              <w:rPr>
                <w:rFonts w:asciiTheme="majorHAnsi" w:hAnsiTheme="majorHAnsi" w:cstheme="majorHAnsi"/>
                <w:sz w:val="20"/>
              </w:rPr>
              <w:t>C</w:t>
            </w:r>
            <w:r w:rsidR="000D2CA0" w:rsidRPr="0029761D">
              <w:rPr>
                <w:rFonts w:asciiTheme="majorHAnsi" w:hAnsiTheme="majorHAnsi" w:cstheme="majorHAnsi"/>
                <w:sz w:val="20"/>
              </w:rPr>
              <w:t>aptures the consumption of fossil fuels, primarily coal, natural gas, and crude oil. All fuels are normalized to kg oil equivalent (eq) based on the heating value of the fossil fuel and according to the ReCiPe impact assessment method.</w:t>
            </w:r>
          </w:p>
        </w:tc>
      </w:tr>
      <w:tr w:rsidR="000D2CA0" w:rsidRPr="0029761D" w14:paraId="120AFEAF" w14:textId="77777777" w:rsidTr="00311A92">
        <w:trPr>
          <w:trHeight w:val="180"/>
        </w:trPr>
        <w:tc>
          <w:tcPr>
            <w:tcW w:w="1827"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0E72E9DE" w14:textId="09AF796F" w:rsidR="000D2CA0" w:rsidRPr="0029761D" w:rsidRDefault="000D2CA0" w:rsidP="000D2CA0">
            <w:pPr>
              <w:rPr>
                <w:rFonts w:ascii="Calibri" w:hAnsi="Calibri" w:cs="Calibri"/>
                <w:b/>
                <w:color w:val="000000"/>
                <w:sz w:val="20"/>
              </w:rPr>
            </w:pPr>
            <w:r w:rsidRPr="0029761D">
              <w:rPr>
                <w:rFonts w:ascii="Calibri" w:hAnsi="Calibri" w:cs="Calibri"/>
                <w:b/>
                <w:color w:val="000000"/>
                <w:sz w:val="20"/>
              </w:rPr>
              <w:t>Global Warming Potential</w:t>
            </w:r>
          </w:p>
        </w:tc>
        <w:tc>
          <w:tcPr>
            <w:tcW w:w="9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6982A97C" w14:textId="2BD2512C"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kg CO2-eq.</w:t>
            </w:r>
          </w:p>
        </w:tc>
        <w:tc>
          <w:tcPr>
            <w:tcW w:w="197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54ACF0F5" w14:textId="3E80C127"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lang w:eastAsia="ja-JP"/>
              </w:rPr>
              <w:t>TRACI v2.1</w:t>
            </w:r>
          </w:p>
        </w:tc>
        <w:tc>
          <w:tcPr>
            <w:tcW w:w="4543" w:type="dxa"/>
            <w:tcBorders>
              <w:top w:val="single" w:sz="24" w:space="0" w:color="FFFFFF"/>
              <w:left w:val="single" w:sz="8" w:space="0" w:color="FFFFFF"/>
              <w:bottom w:val="single" w:sz="8" w:space="0" w:color="FFFFFF"/>
              <w:right w:val="single" w:sz="8" w:space="0" w:color="FFFFFF"/>
            </w:tcBorders>
            <w:shd w:val="clear" w:color="auto" w:fill="E7F3F4"/>
          </w:tcPr>
          <w:p w14:paraId="09A4CAF6" w14:textId="00E2F5D7" w:rsidR="000D2CA0" w:rsidRPr="0029761D" w:rsidRDefault="00E43908" w:rsidP="000D2CA0">
            <w:pPr>
              <w:rPr>
                <w:rFonts w:asciiTheme="majorHAnsi" w:hAnsiTheme="majorHAnsi" w:cstheme="majorHAnsi"/>
                <w:sz w:val="20"/>
              </w:rPr>
            </w:pPr>
            <w:r>
              <w:rPr>
                <w:rFonts w:asciiTheme="majorHAnsi" w:hAnsiTheme="majorHAnsi" w:cstheme="majorHAnsi"/>
                <w:sz w:val="20"/>
              </w:rPr>
              <w:t>R</w:t>
            </w:r>
            <w:r w:rsidR="000D2CA0" w:rsidRPr="0029761D">
              <w:rPr>
                <w:rFonts w:asciiTheme="majorHAnsi" w:hAnsiTheme="majorHAnsi" w:cstheme="majorHAnsi"/>
                <w:sz w:val="20"/>
              </w:rPr>
              <w:t>epresents the heat trapping capacity of GHGs over a 100-year time horizon. All GHGs are characterized as kg CO2 equivalents using the TRACI 2.1 method. TRACI GHG characterization factors align with the IPCC 4th Assessment Report for a 100-year time horizon.</w:t>
            </w:r>
          </w:p>
        </w:tc>
      </w:tr>
      <w:tr w:rsidR="000D2CA0" w:rsidRPr="0029761D" w14:paraId="563FFB7F" w14:textId="77777777" w:rsidTr="00311A92">
        <w:trPr>
          <w:trHeight w:val="180"/>
        </w:trPr>
        <w:tc>
          <w:tcPr>
            <w:tcW w:w="1827"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2DCAC825" w14:textId="64FE2DF5" w:rsidR="000D2CA0" w:rsidRPr="0029761D" w:rsidRDefault="000D2CA0" w:rsidP="000D2CA0">
            <w:pPr>
              <w:rPr>
                <w:rFonts w:ascii="Calibri" w:hAnsi="Calibri" w:cs="Calibri"/>
                <w:b/>
                <w:color w:val="000000"/>
                <w:sz w:val="20"/>
              </w:rPr>
            </w:pPr>
            <w:r w:rsidRPr="0029761D">
              <w:rPr>
                <w:rFonts w:ascii="Calibri" w:hAnsi="Calibri" w:cs="Calibri"/>
                <w:b/>
                <w:color w:val="000000"/>
                <w:sz w:val="20"/>
              </w:rPr>
              <w:t>Particulate Matter Formation Potential</w:t>
            </w:r>
          </w:p>
        </w:tc>
        <w:tc>
          <w:tcPr>
            <w:tcW w:w="9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576CF4B4" w14:textId="0635FDED"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kg PM2.5 eq</w:t>
            </w:r>
          </w:p>
        </w:tc>
        <w:tc>
          <w:tcPr>
            <w:tcW w:w="197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09F47F40" w14:textId="605B327B" w:rsidR="000D2CA0" w:rsidRPr="0029761D" w:rsidRDefault="000D2CA0" w:rsidP="000D2CA0">
            <w:pPr>
              <w:rPr>
                <w:rFonts w:asciiTheme="majorHAnsi" w:hAnsiTheme="majorHAnsi" w:cstheme="majorHAnsi"/>
                <w:sz w:val="20"/>
                <w:lang w:eastAsia="ja-JP"/>
              </w:rPr>
            </w:pPr>
            <w:r w:rsidRPr="0029761D">
              <w:rPr>
                <w:rFonts w:asciiTheme="majorHAnsi" w:hAnsiTheme="majorHAnsi" w:cstheme="majorHAnsi"/>
                <w:sz w:val="20"/>
                <w:lang w:eastAsia="ja-JP"/>
              </w:rPr>
              <w:t>TRACI v2.1</w:t>
            </w:r>
          </w:p>
        </w:tc>
        <w:tc>
          <w:tcPr>
            <w:tcW w:w="4543" w:type="dxa"/>
            <w:tcBorders>
              <w:top w:val="single" w:sz="24" w:space="0" w:color="FFFFFF"/>
              <w:left w:val="single" w:sz="8" w:space="0" w:color="FFFFFF"/>
              <w:bottom w:val="single" w:sz="8" w:space="0" w:color="FFFFFF"/>
              <w:right w:val="single" w:sz="8" w:space="0" w:color="FFFFFF"/>
            </w:tcBorders>
            <w:shd w:val="clear" w:color="auto" w:fill="E7F3F4"/>
          </w:tcPr>
          <w:p w14:paraId="03C27646" w14:textId="25AC7A2B"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Determines the effect of particulate matter (e.g., PM 2.5 and PM10) and pollutants which lead to respiratory impacts related to particulates (e.g., sulfur oxides and nitrogen oxides).</w:t>
            </w:r>
          </w:p>
        </w:tc>
      </w:tr>
      <w:tr w:rsidR="000D2CA0" w:rsidRPr="0029761D" w14:paraId="0D6B7680" w14:textId="77777777" w:rsidTr="00311A92">
        <w:trPr>
          <w:trHeight w:val="180"/>
        </w:trPr>
        <w:tc>
          <w:tcPr>
            <w:tcW w:w="1827"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6CD9C551" w14:textId="68D8413F" w:rsidR="000D2CA0" w:rsidRPr="0029761D" w:rsidRDefault="000D2CA0" w:rsidP="000D2CA0">
            <w:pPr>
              <w:rPr>
                <w:rFonts w:ascii="Calibri" w:hAnsi="Calibri" w:cs="Calibri"/>
                <w:b/>
                <w:color w:val="000000"/>
                <w:sz w:val="20"/>
              </w:rPr>
            </w:pPr>
            <w:r w:rsidRPr="0029761D">
              <w:rPr>
                <w:rFonts w:ascii="Calibri" w:hAnsi="Calibri" w:cs="Calibri"/>
                <w:b/>
                <w:color w:val="000000"/>
                <w:sz w:val="20"/>
              </w:rPr>
              <w:t>Smog Formation Potential</w:t>
            </w:r>
          </w:p>
        </w:tc>
        <w:tc>
          <w:tcPr>
            <w:tcW w:w="9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7973A989" w14:textId="4B4BF22E"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kg O</w:t>
            </w:r>
            <w:r w:rsidRPr="0029761D">
              <w:rPr>
                <w:rFonts w:asciiTheme="majorHAnsi" w:hAnsiTheme="majorHAnsi" w:cstheme="majorHAnsi"/>
                <w:sz w:val="20"/>
                <w:vertAlign w:val="subscript"/>
              </w:rPr>
              <w:t>3</w:t>
            </w:r>
            <w:r w:rsidRPr="0029761D">
              <w:rPr>
                <w:rFonts w:asciiTheme="majorHAnsi" w:hAnsiTheme="majorHAnsi" w:cstheme="majorHAnsi"/>
                <w:sz w:val="20"/>
              </w:rPr>
              <w:t xml:space="preserve"> eq.</w:t>
            </w:r>
          </w:p>
        </w:tc>
        <w:tc>
          <w:tcPr>
            <w:tcW w:w="197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653BE960" w14:textId="3B969A3D" w:rsidR="000D2CA0" w:rsidRPr="0029761D" w:rsidRDefault="000D2CA0" w:rsidP="000D2CA0">
            <w:pPr>
              <w:rPr>
                <w:rFonts w:asciiTheme="majorHAnsi" w:hAnsiTheme="majorHAnsi" w:cstheme="majorHAnsi"/>
                <w:sz w:val="20"/>
                <w:lang w:eastAsia="ja-JP"/>
              </w:rPr>
            </w:pPr>
            <w:r w:rsidRPr="0029761D">
              <w:rPr>
                <w:rFonts w:asciiTheme="majorHAnsi" w:hAnsiTheme="majorHAnsi" w:cstheme="majorHAnsi"/>
                <w:sz w:val="20"/>
                <w:lang w:eastAsia="ja-JP"/>
              </w:rPr>
              <w:t>TRACI v2.1</w:t>
            </w:r>
          </w:p>
        </w:tc>
        <w:tc>
          <w:tcPr>
            <w:tcW w:w="4543" w:type="dxa"/>
            <w:tcBorders>
              <w:top w:val="single" w:sz="24" w:space="0" w:color="FFFFFF"/>
              <w:left w:val="single" w:sz="8" w:space="0" w:color="FFFFFF"/>
              <w:bottom w:val="single" w:sz="8" w:space="0" w:color="FFFFFF"/>
              <w:right w:val="single" w:sz="8" w:space="0" w:color="FFFFFF"/>
            </w:tcBorders>
            <w:shd w:val="clear" w:color="auto" w:fill="E7F3F4"/>
          </w:tcPr>
          <w:p w14:paraId="4674E469" w14:textId="1BA7F399"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Determines the formation of reactive substances (e.g. tropospheric ozone) that cause harm to human health and vegetation. Important emissions: NO</w:t>
            </w:r>
            <w:r w:rsidRPr="0029761D">
              <w:rPr>
                <w:rFonts w:asciiTheme="majorHAnsi" w:hAnsiTheme="majorHAnsi" w:cstheme="majorHAnsi"/>
                <w:sz w:val="20"/>
                <w:vertAlign w:val="subscript"/>
              </w:rPr>
              <w:t>x</w:t>
            </w:r>
            <w:r w:rsidRPr="0029761D">
              <w:rPr>
                <w:rFonts w:asciiTheme="majorHAnsi" w:hAnsiTheme="majorHAnsi" w:cstheme="majorHAnsi"/>
                <w:sz w:val="20"/>
              </w:rPr>
              <w:t>,</w:t>
            </w:r>
            <w:r w:rsidRPr="0029761D">
              <w:rPr>
                <w:rFonts w:asciiTheme="majorHAnsi" w:hAnsiTheme="majorHAnsi" w:cstheme="majorHAnsi"/>
                <w:sz w:val="20"/>
                <w:lang w:val="da-DK"/>
              </w:rPr>
              <w:t xml:space="preserve"> BTX, </w:t>
            </w:r>
            <w:r w:rsidRPr="0029761D">
              <w:rPr>
                <w:rFonts w:asciiTheme="majorHAnsi" w:hAnsiTheme="majorHAnsi" w:cstheme="majorHAnsi"/>
                <w:sz w:val="20"/>
                <w:lang w:val="da-DK"/>
              </w:rPr>
              <w:lastRenderedPageBreak/>
              <w:t>NMVOC, CH</w:t>
            </w:r>
            <w:r w:rsidRPr="0029761D">
              <w:rPr>
                <w:rFonts w:asciiTheme="majorHAnsi" w:hAnsiTheme="majorHAnsi" w:cstheme="majorHAnsi"/>
                <w:sz w:val="20"/>
                <w:vertAlign w:val="subscript"/>
                <w:lang w:val="da-DK"/>
              </w:rPr>
              <w:t>4</w:t>
            </w:r>
            <w:r w:rsidRPr="0029761D">
              <w:rPr>
                <w:rFonts w:asciiTheme="majorHAnsi" w:hAnsiTheme="majorHAnsi" w:cstheme="majorHAnsi"/>
                <w:sz w:val="20"/>
                <w:lang w:val="da-DK"/>
              </w:rPr>
              <w:t>, C</w:t>
            </w:r>
            <w:r w:rsidRPr="0029761D">
              <w:rPr>
                <w:rFonts w:asciiTheme="majorHAnsi" w:hAnsiTheme="majorHAnsi" w:cstheme="majorHAnsi"/>
                <w:sz w:val="20"/>
                <w:vertAlign w:val="subscript"/>
                <w:lang w:val="da-DK"/>
              </w:rPr>
              <w:t>2</w:t>
            </w:r>
            <w:r w:rsidRPr="0029761D">
              <w:rPr>
                <w:rFonts w:asciiTheme="majorHAnsi" w:hAnsiTheme="majorHAnsi" w:cstheme="majorHAnsi"/>
                <w:sz w:val="20"/>
                <w:lang w:val="da-DK"/>
              </w:rPr>
              <w:t>H</w:t>
            </w:r>
            <w:r w:rsidRPr="0029761D">
              <w:rPr>
                <w:rFonts w:asciiTheme="majorHAnsi" w:hAnsiTheme="majorHAnsi" w:cstheme="majorHAnsi"/>
                <w:sz w:val="20"/>
                <w:vertAlign w:val="subscript"/>
                <w:lang w:val="da-DK"/>
              </w:rPr>
              <w:t>6</w:t>
            </w:r>
            <w:r w:rsidRPr="0029761D">
              <w:rPr>
                <w:rFonts w:asciiTheme="majorHAnsi" w:hAnsiTheme="majorHAnsi" w:cstheme="majorHAnsi"/>
                <w:sz w:val="20"/>
                <w:lang w:val="da-DK"/>
              </w:rPr>
              <w:t>, C</w:t>
            </w:r>
            <w:r w:rsidRPr="0029761D">
              <w:rPr>
                <w:rFonts w:asciiTheme="majorHAnsi" w:hAnsiTheme="majorHAnsi" w:cstheme="majorHAnsi"/>
                <w:sz w:val="20"/>
                <w:vertAlign w:val="subscript"/>
                <w:lang w:val="da-DK"/>
              </w:rPr>
              <w:t>4</w:t>
            </w:r>
            <w:r w:rsidRPr="0029761D">
              <w:rPr>
                <w:rFonts w:asciiTheme="majorHAnsi" w:hAnsiTheme="majorHAnsi" w:cstheme="majorHAnsi"/>
                <w:sz w:val="20"/>
                <w:lang w:val="da-DK"/>
              </w:rPr>
              <w:t>H</w:t>
            </w:r>
            <w:r w:rsidRPr="0029761D">
              <w:rPr>
                <w:rFonts w:asciiTheme="majorHAnsi" w:hAnsiTheme="majorHAnsi" w:cstheme="majorHAnsi"/>
                <w:sz w:val="20"/>
                <w:vertAlign w:val="subscript"/>
                <w:lang w:val="da-DK"/>
              </w:rPr>
              <w:t>10</w:t>
            </w:r>
            <w:r w:rsidRPr="0029761D">
              <w:rPr>
                <w:rFonts w:asciiTheme="majorHAnsi" w:hAnsiTheme="majorHAnsi" w:cstheme="majorHAnsi"/>
                <w:sz w:val="20"/>
                <w:lang w:val="da-DK"/>
              </w:rPr>
              <w:t>, C</w:t>
            </w:r>
            <w:r w:rsidRPr="0029761D">
              <w:rPr>
                <w:rFonts w:asciiTheme="majorHAnsi" w:hAnsiTheme="majorHAnsi" w:cstheme="majorHAnsi"/>
                <w:sz w:val="20"/>
                <w:vertAlign w:val="subscript"/>
                <w:lang w:val="da-DK"/>
              </w:rPr>
              <w:t>3</w:t>
            </w:r>
            <w:r w:rsidRPr="0029761D">
              <w:rPr>
                <w:rFonts w:asciiTheme="majorHAnsi" w:hAnsiTheme="majorHAnsi" w:cstheme="majorHAnsi"/>
                <w:sz w:val="20"/>
                <w:lang w:val="da-DK"/>
              </w:rPr>
              <w:t>H</w:t>
            </w:r>
            <w:r w:rsidRPr="0029761D">
              <w:rPr>
                <w:rFonts w:asciiTheme="majorHAnsi" w:hAnsiTheme="majorHAnsi" w:cstheme="majorHAnsi"/>
                <w:sz w:val="20"/>
                <w:vertAlign w:val="subscript"/>
                <w:lang w:val="da-DK"/>
              </w:rPr>
              <w:t>8</w:t>
            </w:r>
            <w:r w:rsidRPr="0029761D">
              <w:rPr>
                <w:rFonts w:asciiTheme="majorHAnsi" w:hAnsiTheme="majorHAnsi" w:cstheme="majorHAnsi"/>
                <w:sz w:val="20"/>
                <w:lang w:val="da-DK"/>
              </w:rPr>
              <w:t>, C</w:t>
            </w:r>
            <w:r w:rsidRPr="0029761D">
              <w:rPr>
                <w:rFonts w:asciiTheme="majorHAnsi" w:hAnsiTheme="majorHAnsi" w:cstheme="majorHAnsi"/>
                <w:sz w:val="20"/>
                <w:vertAlign w:val="subscript"/>
                <w:lang w:val="da-DK"/>
              </w:rPr>
              <w:t>6</w:t>
            </w:r>
            <w:r w:rsidRPr="0029761D">
              <w:rPr>
                <w:rFonts w:asciiTheme="majorHAnsi" w:hAnsiTheme="majorHAnsi" w:cstheme="majorHAnsi"/>
                <w:sz w:val="20"/>
                <w:lang w:val="da-DK"/>
              </w:rPr>
              <w:t>H</w:t>
            </w:r>
            <w:r w:rsidRPr="0029761D">
              <w:rPr>
                <w:rFonts w:asciiTheme="majorHAnsi" w:hAnsiTheme="majorHAnsi" w:cstheme="majorHAnsi"/>
                <w:sz w:val="20"/>
                <w:vertAlign w:val="subscript"/>
                <w:lang w:val="da-DK"/>
              </w:rPr>
              <w:t>14</w:t>
            </w:r>
            <w:r w:rsidRPr="0029761D">
              <w:rPr>
                <w:rFonts w:asciiTheme="majorHAnsi" w:hAnsiTheme="majorHAnsi" w:cstheme="majorHAnsi"/>
                <w:sz w:val="20"/>
                <w:lang w:val="da-DK"/>
              </w:rPr>
              <w:t>, acetylene, Et-OH, formaldehyde.</w:t>
            </w:r>
          </w:p>
        </w:tc>
      </w:tr>
      <w:tr w:rsidR="000D2CA0" w:rsidRPr="0029761D" w14:paraId="61B42F0D" w14:textId="77777777" w:rsidTr="00311A92">
        <w:trPr>
          <w:trHeight w:val="180"/>
        </w:trPr>
        <w:tc>
          <w:tcPr>
            <w:tcW w:w="1827"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573923D4" w14:textId="5BE4A254" w:rsidR="000D2CA0" w:rsidRPr="0029761D" w:rsidRDefault="000D2CA0" w:rsidP="000D2CA0">
            <w:pPr>
              <w:rPr>
                <w:rFonts w:ascii="Calibri" w:hAnsi="Calibri" w:cs="Calibri"/>
                <w:b/>
                <w:color w:val="000000"/>
                <w:sz w:val="20"/>
              </w:rPr>
            </w:pPr>
            <w:r w:rsidRPr="0029761D">
              <w:rPr>
                <w:rFonts w:ascii="Calibri" w:hAnsi="Calibri" w:cs="Calibri"/>
                <w:b/>
                <w:color w:val="000000"/>
                <w:sz w:val="20"/>
              </w:rPr>
              <w:lastRenderedPageBreak/>
              <w:t>Solid Waste by Weight</w:t>
            </w:r>
          </w:p>
        </w:tc>
        <w:tc>
          <w:tcPr>
            <w:tcW w:w="9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4620552E" w14:textId="6D344A34"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kg</w:t>
            </w:r>
          </w:p>
        </w:tc>
        <w:tc>
          <w:tcPr>
            <w:tcW w:w="197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6170A565" w14:textId="0A0F96FE" w:rsidR="000D2CA0" w:rsidRPr="0029761D" w:rsidRDefault="000D2CA0" w:rsidP="000D2CA0">
            <w:pPr>
              <w:rPr>
                <w:rFonts w:asciiTheme="majorHAnsi" w:hAnsiTheme="majorHAnsi" w:cstheme="majorHAnsi"/>
                <w:sz w:val="20"/>
                <w:lang w:eastAsia="ja-JP"/>
              </w:rPr>
            </w:pPr>
            <w:r w:rsidRPr="0029761D">
              <w:rPr>
                <w:rFonts w:asciiTheme="majorHAnsi" w:hAnsiTheme="majorHAnsi" w:cstheme="majorHAnsi"/>
                <w:sz w:val="20"/>
                <w:lang w:eastAsia="ja-JP"/>
              </w:rPr>
              <w:t>Cumulative solid waste inventory</w:t>
            </w:r>
          </w:p>
        </w:tc>
        <w:tc>
          <w:tcPr>
            <w:tcW w:w="4543" w:type="dxa"/>
            <w:tcBorders>
              <w:top w:val="single" w:sz="24" w:space="0" w:color="FFFFFF"/>
              <w:left w:val="single" w:sz="8" w:space="0" w:color="FFFFFF"/>
              <w:bottom w:val="single" w:sz="8" w:space="0" w:color="FFFFFF"/>
              <w:right w:val="single" w:sz="8" w:space="0" w:color="FFFFFF"/>
            </w:tcBorders>
            <w:shd w:val="clear" w:color="auto" w:fill="E7F3F4"/>
          </w:tcPr>
          <w:p w14:paraId="3985EBCF" w14:textId="3F41713B"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lang w:eastAsia="ja-JP"/>
              </w:rPr>
              <w:t xml:space="preserve">Measures quantity of fuel, process and postconsumer waste to a specific fate (e.g., landfill, </w:t>
            </w:r>
            <w:r w:rsidR="00311A92">
              <w:rPr>
                <w:rFonts w:asciiTheme="majorHAnsi" w:hAnsiTheme="majorHAnsi" w:cstheme="majorHAnsi"/>
                <w:sz w:val="20"/>
                <w:lang w:eastAsia="ja-JP"/>
              </w:rPr>
              <w:t>waste-to-energy incineration</w:t>
            </w:r>
            <w:r w:rsidRPr="0029761D">
              <w:rPr>
                <w:rFonts w:asciiTheme="majorHAnsi" w:hAnsiTheme="majorHAnsi" w:cstheme="majorHAnsi"/>
                <w:sz w:val="20"/>
                <w:lang w:eastAsia="ja-JP"/>
              </w:rPr>
              <w:t>) for final disposal on a mass basis.</w:t>
            </w:r>
          </w:p>
        </w:tc>
      </w:tr>
      <w:tr w:rsidR="000D2CA0" w:rsidRPr="0029761D" w14:paraId="090E3B5D" w14:textId="7324F1B5" w:rsidTr="00311A92">
        <w:trPr>
          <w:trHeight w:val="215"/>
        </w:trPr>
        <w:tc>
          <w:tcPr>
            <w:tcW w:w="1827"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35066334" w14:textId="3F977C63" w:rsidR="000D2CA0" w:rsidRPr="0029761D" w:rsidRDefault="000D2CA0" w:rsidP="000D2CA0">
            <w:pPr>
              <w:rPr>
                <w:b/>
                <w:sz w:val="20"/>
              </w:rPr>
            </w:pPr>
            <w:r w:rsidRPr="0029761D">
              <w:rPr>
                <w:rFonts w:ascii="Calibri" w:hAnsi="Calibri" w:cs="Calibri"/>
                <w:b/>
                <w:color w:val="000000"/>
                <w:sz w:val="20"/>
              </w:rPr>
              <w:t>Water Consumption</w:t>
            </w:r>
          </w:p>
        </w:tc>
        <w:tc>
          <w:tcPr>
            <w:tcW w:w="9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511888C6" w14:textId="318BA554"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m</w:t>
            </w:r>
            <w:r w:rsidRPr="0029761D">
              <w:rPr>
                <w:rFonts w:asciiTheme="majorHAnsi" w:hAnsiTheme="majorHAnsi" w:cstheme="majorHAnsi"/>
                <w:sz w:val="20"/>
                <w:vertAlign w:val="superscript"/>
              </w:rPr>
              <w:t xml:space="preserve">3 </w:t>
            </w:r>
            <w:r w:rsidRPr="0029761D">
              <w:rPr>
                <w:rFonts w:asciiTheme="majorHAnsi" w:hAnsiTheme="majorHAnsi" w:cstheme="majorHAnsi"/>
                <w:sz w:val="20"/>
              </w:rPr>
              <w:t>H</w:t>
            </w:r>
            <w:r w:rsidRPr="0029761D">
              <w:rPr>
                <w:rFonts w:asciiTheme="majorHAnsi" w:hAnsiTheme="majorHAnsi" w:cstheme="majorHAnsi"/>
                <w:sz w:val="20"/>
                <w:vertAlign w:val="subscript"/>
              </w:rPr>
              <w:t>2</w:t>
            </w:r>
            <w:r w:rsidRPr="0029761D">
              <w:rPr>
                <w:rFonts w:asciiTheme="majorHAnsi" w:hAnsiTheme="majorHAnsi" w:cstheme="majorHAnsi"/>
                <w:sz w:val="20"/>
              </w:rPr>
              <w:t>O</w:t>
            </w:r>
          </w:p>
        </w:tc>
        <w:tc>
          <w:tcPr>
            <w:tcW w:w="197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3543E753" w14:textId="5060006B" w:rsidR="000D2CA0" w:rsidRPr="0029761D" w:rsidRDefault="000D2CA0" w:rsidP="000D2CA0">
            <w:pPr>
              <w:rPr>
                <w:rFonts w:asciiTheme="majorHAnsi" w:hAnsiTheme="majorHAnsi" w:cstheme="majorHAnsi"/>
                <w:sz w:val="20"/>
              </w:rPr>
            </w:pPr>
            <w:r w:rsidRPr="0029761D">
              <w:rPr>
                <w:rFonts w:asciiTheme="majorHAnsi" w:hAnsiTheme="majorHAnsi" w:cstheme="majorHAnsi"/>
                <w:sz w:val="20"/>
              </w:rPr>
              <w:t>ReCiPe</w:t>
            </w:r>
          </w:p>
        </w:tc>
        <w:tc>
          <w:tcPr>
            <w:tcW w:w="4543" w:type="dxa"/>
            <w:tcBorders>
              <w:top w:val="single" w:sz="8" w:space="0" w:color="FFFFFF"/>
              <w:left w:val="single" w:sz="8" w:space="0" w:color="FFFFFF"/>
              <w:bottom w:val="single" w:sz="8" w:space="0" w:color="FFFFFF"/>
              <w:right w:val="single" w:sz="8" w:space="0" w:color="FFFFFF"/>
            </w:tcBorders>
            <w:shd w:val="clear" w:color="auto" w:fill="F3F9FA"/>
          </w:tcPr>
          <w:p w14:paraId="6B599367" w14:textId="5380AAAB" w:rsidR="000D2CA0" w:rsidRPr="0029761D" w:rsidRDefault="00E43908" w:rsidP="000D2CA0">
            <w:pPr>
              <w:rPr>
                <w:rFonts w:asciiTheme="majorHAnsi" w:hAnsiTheme="majorHAnsi" w:cstheme="majorHAnsi"/>
                <w:sz w:val="20"/>
              </w:rPr>
            </w:pPr>
            <w:r>
              <w:rPr>
                <w:rFonts w:asciiTheme="majorHAnsi" w:hAnsiTheme="majorHAnsi" w:cstheme="majorHAnsi"/>
                <w:sz w:val="20"/>
              </w:rPr>
              <w:t xml:space="preserve">Quantifies </w:t>
            </w:r>
            <w:r w:rsidR="000D2CA0" w:rsidRPr="0029761D">
              <w:rPr>
                <w:rFonts w:asciiTheme="majorHAnsi" w:hAnsiTheme="majorHAnsi" w:cstheme="majorHAnsi"/>
                <w:sz w:val="20"/>
              </w:rPr>
              <w:t>the volume of fresh water inputs to the life cycle of products within the supply-chain.</w:t>
            </w:r>
            <w:r w:rsidR="007B61AD">
              <w:rPr>
                <w:rFonts w:asciiTheme="majorHAnsi" w:hAnsiTheme="majorHAnsi" w:cstheme="majorHAnsi"/>
                <w:sz w:val="20"/>
              </w:rPr>
              <w:t xml:space="preserve"> </w:t>
            </w:r>
            <w:r>
              <w:rPr>
                <w:rFonts w:asciiTheme="majorHAnsi" w:hAnsiTheme="majorHAnsi" w:cstheme="majorHAnsi"/>
                <w:sz w:val="20"/>
              </w:rPr>
              <w:t>A</w:t>
            </w:r>
            <w:r w:rsidR="000D2CA0" w:rsidRPr="0029761D">
              <w:rPr>
                <w:rFonts w:asciiTheme="majorHAnsi" w:hAnsiTheme="majorHAnsi" w:cstheme="majorHAnsi"/>
                <w:sz w:val="20"/>
              </w:rPr>
              <w:t xml:space="preserve">n inventory category, </w:t>
            </w:r>
            <w:r>
              <w:rPr>
                <w:rFonts w:asciiTheme="majorHAnsi" w:hAnsiTheme="majorHAnsi" w:cstheme="majorHAnsi"/>
                <w:sz w:val="20"/>
              </w:rPr>
              <w:t>that</w:t>
            </w:r>
            <w:r w:rsidR="000D2CA0" w:rsidRPr="0029761D">
              <w:rPr>
                <w:rFonts w:asciiTheme="majorHAnsi" w:hAnsiTheme="majorHAnsi" w:cstheme="majorHAnsi"/>
                <w:sz w:val="20"/>
              </w:rPr>
              <w:t xml:space="preserve"> does not characterize the relative water stress related to water withdrawals. </w:t>
            </w:r>
            <w:r>
              <w:rPr>
                <w:rFonts w:asciiTheme="majorHAnsi" w:hAnsiTheme="majorHAnsi" w:cstheme="majorHAnsi"/>
                <w:sz w:val="20"/>
              </w:rPr>
              <w:t>A</w:t>
            </w:r>
            <w:r w:rsidR="000D2CA0" w:rsidRPr="0029761D">
              <w:rPr>
                <w:rFonts w:asciiTheme="majorHAnsi" w:hAnsiTheme="majorHAnsi" w:cstheme="majorHAnsi"/>
                <w:sz w:val="20"/>
              </w:rPr>
              <w:t>dapted from the water depletion category in the ReCiPe impact assessment method.</w:t>
            </w:r>
          </w:p>
        </w:tc>
      </w:tr>
    </w:tbl>
    <w:p w14:paraId="7FBCCFA8" w14:textId="77777777" w:rsidR="008F3560" w:rsidRPr="008F3560" w:rsidRDefault="008F3560" w:rsidP="008F3560">
      <w:pPr>
        <w:sectPr w:rsidR="008F3560" w:rsidRPr="008F3560" w:rsidSect="00893683">
          <w:headerReference w:type="default" r:id="rId27"/>
          <w:footerReference w:type="default" r:id="rId28"/>
          <w:pgSz w:w="12240" w:h="15840" w:code="1"/>
          <w:pgMar w:top="1440" w:right="1440" w:bottom="1440" w:left="1440" w:header="720" w:footer="720" w:gutter="0"/>
          <w:pgNumType w:start="1" w:chapStyle="1"/>
          <w:cols w:space="720"/>
          <w:docGrid w:linePitch="326"/>
        </w:sectPr>
      </w:pPr>
    </w:p>
    <w:p w14:paraId="71A6C948" w14:textId="2DC4D087" w:rsidR="0029585B" w:rsidRDefault="0029585B" w:rsidP="0029585B">
      <w:pPr>
        <w:pStyle w:val="Heading1"/>
      </w:pPr>
      <w:bookmarkStart w:id="56" w:name="_Ref446683632"/>
      <w:bookmarkStart w:id="57" w:name="_Toc525246199"/>
      <w:bookmarkStart w:id="58" w:name="_Toc533009157"/>
      <w:r>
        <w:lastRenderedPageBreak/>
        <w:t>Method</w:t>
      </w:r>
      <w:r w:rsidR="00427EA4">
        <w:t>s</w:t>
      </w:r>
      <w:bookmarkEnd w:id="56"/>
      <w:bookmarkEnd w:id="57"/>
      <w:bookmarkEnd w:id="58"/>
    </w:p>
    <w:p w14:paraId="2684B5F6" w14:textId="29D1E893" w:rsidR="0029585B" w:rsidRDefault="0029585B" w:rsidP="0029585B">
      <w:pPr>
        <w:pStyle w:val="BodyText"/>
      </w:pPr>
      <w:r>
        <w:t xml:space="preserve">This </w:t>
      </w:r>
      <w:r w:rsidR="00674D2F">
        <w:t>section</w:t>
      </w:r>
      <w:r>
        <w:t xml:space="preserve"> covers the data collection process, data sources, assumptions, methodology and parameters used to construct the LCI model for this study</w:t>
      </w:r>
      <w:r w:rsidRPr="005C01FB">
        <w:t>.</w:t>
      </w:r>
      <w:r w:rsidR="00FD4DC8">
        <w:t xml:space="preserve"> Data used to construct the AWG and bottled water inventories are described in Section </w:t>
      </w:r>
      <w:r w:rsidR="00E267CD">
        <w:fldChar w:fldCharType="begin"/>
      </w:r>
      <w:r w:rsidR="00E267CD">
        <w:instrText xml:space="preserve"> REF _Ref525059684 \r \h </w:instrText>
      </w:r>
      <w:r w:rsidR="00E267CD">
        <w:fldChar w:fldCharType="separate"/>
      </w:r>
      <w:r w:rsidR="008072BC">
        <w:t>2.1</w:t>
      </w:r>
      <w:r w:rsidR="00E267CD">
        <w:fldChar w:fldCharType="end"/>
      </w:r>
      <w:r w:rsidR="00FD4DC8">
        <w:t xml:space="preserve"> and</w:t>
      </w:r>
      <w:r w:rsidR="00B3719C">
        <w:t xml:space="preserve"> </w:t>
      </w:r>
      <w:r w:rsidR="00B3719C">
        <w:fldChar w:fldCharType="begin"/>
      </w:r>
      <w:r w:rsidR="00B3719C">
        <w:instrText xml:space="preserve"> REF _Ref525297452 \r \h </w:instrText>
      </w:r>
      <w:r w:rsidR="00B3719C">
        <w:fldChar w:fldCharType="separate"/>
      </w:r>
      <w:r w:rsidR="008072BC">
        <w:t>2.2</w:t>
      </w:r>
      <w:r w:rsidR="00B3719C">
        <w:fldChar w:fldCharType="end"/>
      </w:r>
      <w:r w:rsidR="00FD4DC8">
        <w:t xml:space="preserve">, respectively. Modeling procedures as well </w:t>
      </w:r>
      <w:r w:rsidR="002B15D5">
        <w:t>as data quality assessment and limitations are described at the end of the chapter.</w:t>
      </w:r>
    </w:p>
    <w:p w14:paraId="0A231FDF" w14:textId="538047F1" w:rsidR="00FD4DC8" w:rsidRPr="00742A23" w:rsidRDefault="00FD4DC8" w:rsidP="0029585B">
      <w:pPr>
        <w:pStyle w:val="BodyText"/>
      </w:pPr>
      <w:r w:rsidRPr="00752C88">
        <w:rPr>
          <w:color w:val="000000" w:themeColor="text1"/>
        </w:rPr>
        <w:t>For background processes such as material production, energy, and transport, ERG has used credible published LCI databases such as</w:t>
      </w:r>
      <w:r w:rsidRPr="009912D6">
        <w:t xml:space="preserve">: </w:t>
      </w:r>
      <w:r>
        <w:t>the National Renewable Energy Laboratory’s (</w:t>
      </w:r>
      <w:r w:rsidRPr="009912D6">
        <w:t>NRE</w:t>
      </w:r>
      <w:r>
        <w:t>L)</w:t>
      </w:r>
      <w:r w:rsidRPr="009912D6">
        <w:t xml:space="preserve"> U.S. LCI </w:t>
      </w:r>
      <w:r>
        <w:t xml:space="preserve">and the </w:t>
      </w:r>
      <w:r w:rsidRPr="009912D6">
        <w:t>EPA ORD</w:t>
      </w:r>
      <w:r>
        <w:t xml:space="preserve"> LCA database. </w:t>
      </w:r>
      <w:r w:rsidRPr="00030AFC">
        <w:t xml:space="preserve">For unit processes for which public data are not available, </w:t>
      </w:r>
      <w:r>
        <w:t>we have</w:t>
      </w:r>
      <w:r w:rsidRPr="00030AFC">
        <w:t xml:space="preserve"> cite</w:t>
      </w:r>
      <w:r>
        <w:t>d</w:t>
      </w:r>
      <w:r w:rsidRPr="00E62A13">
        <w:t xml:space="preserve"> the private data sources and disclose</w:t>
      </w:r>
      <w:r>
        <w:t>d</w:t>
      </w:r>
      <w:r w:rsidRPr="00E62A13">
        <w:t xml:space="preserve"> as much information as possible without compromising the confidentiality of the data source. </w:t>
      </w:r>
      <w:r>
        <w:t>An e</w:t>
      </w:r>
      <w:r w:rsidRPr="00E62A13">
        <w:t xml:space="preserve">xample of </w:t>
      </w:r>
      <w:r>
        <w:t xml:space="preserve">a </w:t>
      </w:r>
      <w:r w:rsidRPr="00030AFC">
        <w:t xml:space="preserve">private LCI database </w:t>
      </w:r>
      <w:r>
        <w:t>is</w:t>
      </w:r>
      <w:r w:rsidRPr="00030AFC">
        <w:t xml:space="preserve"> the </w:t>
      </w:r>
      <w:r>
        <w:t>Ecoinvent</w:t>
      </w:r>
      <w:r w:rsidRPr="00030AFC">
        <w:t xml:space="preserve"> </w:t>
      </w:r>
      <w:r>
        <w:t>d</w:t>
      </w:r>
      <w:r w:rsidRPr="00030AFC">
        <w:t>atabase</w:t>
      </w:r>
      <w:r>
        <w:t xml:space="preserve"> (Weidema et al., 2013)</w:t>
      </w:r>
      <w:r w:rsidRPr="00030AFC">
        <w:t xml:space="preserve">. Where data from the </w:t>
      </w:r>
      <w:r>
        <w:t>E</w:t>
      </w:r>
      <w:r w:rsidRPr="00030AFC">
        <w:t>coinvent</w:t>
      </w:r>
      <w:r>
        <w:t xml:space="preserve"> d</w:t>
      </w:r>
      <w:r w:rsidRPr="00030AFC">
        <w:t xml:space="preserve">atabase are used, </w:t>
      </w:r>
      <w:r>
        <w:t>we</w:t>
      </w:r>
      <w:r w:rsidRPr="00030AFC">
        <w:t xml:space="preserve"> </w:t>
      </w:r>
      <w:r>
        <w:t>have</w:t>
      </w:r>
      <w:r w:rsidRPr="00030AFC">
        <w:t xml:space="preserve"> adapt</w:t>
      </w:r>
      <w:r>
        <w:t>ed</w:t>
      </w:r>
      <w:r w:rsidRPr="00030AFC">
        <w:t xml:space="preserve"> the data, so </w:t>
      </w:r>
      <w:r>
        <w:t>they are</w:t>
      </w:r>
      <w:r w:rsidRPr="00030AFC">
        <w:t xml:space="preserve"> consistent with other data modules used in the study and representative of the energy production and transportation and, if applicable, industry practices in </w:t>
      </w:r>
      <w:r>
        <w:t>the U.S</w:t>
      </w:r>
      <w:r w:rsidRPr="00030AFC">
        <w:t>.</w:t>
      </w:r>
    </w:p>
    <w:p w14:paraId="1CC7C995" w14:textId="543DF962" w:rsidR="0029585B" w:rsidRPr="00FD4DC8" w:rsidRDefault="00265B8E" w:rsidP="00FD4DC8">
      <w:pPr>
        <w:pStyle w:val="Heading2"/>
      </w:pPr>
      <w:bookmarkStart w:id="59" w:name="_Ref450136687"/>
      <w:bookmarkStart w:id="60" w:name="_Ref525059684"/>
      <w:bookmarkStart w:id="61" w:name="_Toc525246200"/>
      <w:bookmarkStart w:id="62" w:name="_Toc533009158"/>
      <w:r w:rsidRPr="00FD4DC8">
        <w:t xml:space="preserve">AWG </w:t>
      </w:r>
      <w:r w:rsidR="00427EA4" w:rsidRPr="00FD4DC8">
        <w:t xml:space="preserve">Life Cycle Inventory </w:t>
      </w:r>
      <w:r w:rsidR="0029585B" w:rsidRPr="00FD4DC8">
        <w:t>Data Sources</w:t>
      </w:r>
      <w:bookmarkEnd w:id="59"/>
      <w:bookmarkEnd w:id="60"/>
      <w:bookmarkEnd w:id="61"/>
      <w:bookmarkEnd w:id="62"/>
    </w:p>
    <w:p w14:paraId="689950A4" w14:textId="28B0F7BF" w:rsidR="00752C88" w:rsidRDefault="00AD2CA2" w:rsidP="00E7365C">
      <w:pPr>
        <w:pStyle w:val="BodyText"/>
        <w:tabs>
          <w:tab w:val="left" w:pos="720"/>
        </w:tabs>
        <w:spacing w:after="0"/>
      </w:pPr>
      <w:r>
        <w:t xml:space="preserve">ERG </w:t>
      </w:r>
      <w:r w:rsidR="00E7365C">
        <w:t xml:space="preserve">collected existing data from vendors to construct the AWG inventory. Data sources and modeling assumptions are described by life cycle stage in the subsequent sections. </w:t>
      </w:r>
    </w:p>
    <w:p w14:paraId="3CA1BED9" w14:textId="108A2D0D" w:rsidR="002B15D5" w:rsidRPr="000B531C" w:rsidRDefault="002B15D5" w:rsidP="002B15D5">
      <w:pPr>
        <w:pStyle w:val="Heading3"/>
      </w:pPr>
      <w:bookmarkStart w:id="63" w:name="_Toc525246201"/>
      <w:bookmarkStart w:id="64" w:name="_Toc533009159"/>
      <w:r w:rsidRPr="000B531C">
        <w:t>Capital Equipment</w:t>
      </w:r>
      <w:bookmarkEnd w:id="63"/>
      <w:bookmarkEnd w:id="64"/>
    </w:p>
    <w:p w14:paraId="6ED6264C" w14:textId="05487A5C" w:rsidR="006222A7" w:rsidRPr="000B531C" w:rsidRDefault="006222A7" w:rsidP="00220C65">
      <w:pPr>
        <w:pStyle w:val="BodyText"/>
      </w:pPr>
      <w:r w:rsidRPr="000B531C">
        <w:t>It is assumed that most of the composition of the AWGs is stainless steel. The weight of the AWG units for specific scales is provided by the vendors. The weight includes weight of steel, filters</w:t>
      </w:r>
      <w:r w:rsidR="00090E2C" w:rsidRPr="000B531C">
        <w:t>,</w:t>
      </w:r>
      <w:r w:rsidRPr="000B531C">
        <w:t xml:space="preserve"> UV lamps</w:t>
      </w:r>
      <w:r w:rsidR="00090E2C" w:rsidRPr="000B531C">
        <w:t xml:space="preserve"> and the refrigerants</w:t>
      </w:r>
      <w:r w:rsidRPr="000B531C">
        <w:t xml:space="preserve">. </w:t>
      </w:r>
      <w:r w:rsidR="00A73FEF">
        <w:t>B</w:t>
      </w:r>
      <w:r w:rsidR="00A73FEF" w:rsidRPr="000B531C">
        <w:t>ased on the data provided by the specific vendors</w:t>
      </w:r>
      <w:r w:rsidR="00A73FEF">
        <w:t xml:space="preserve">, </w:t>
      </w:r>
      <w:r w:rsidRPr="000B531C">
        <w:t>the filters are replaced every six months and UV lamps every year</w:t>
      </w:r>
      <w:r w:rsidR="007A26E5">
        <w:t>;</w:t>
      </w:r>
      <w:r w:rsidR="00A73FEF">
        <w:t xml:space="preserve"> therefore, </w:t>
      </w:r>
      <w:r w:rsidRPr="000B531C">
        <w:t xml:space="preserve">the number of filter and UV lamp replacements are calculated per lifetime of the unit. </w:t>
      </w:r>
      <w:r w:rsidR="00526693">
        <w:t>The l</w:t>
      </w:r>
      <w:r w:rsidRPr="000B531C">
        <w:t xml:space="preserve">ifetime of </w:t>
      </w:r>
      <w:r w:rsidR="00526693">
        <w:t>the</w:t>
      </w:r>
      <w:r w:rsidRPr="000B531C">
        <w:t xml:space="preserve"> EcoloBlue unit is 20 years and </w:t>
      </w:r>
      <w:r w:rsidR="00526693">
        <w:t>the</w:t>
      </w:r>
      <w:r w:rsidRPr="000B531C">
        <w:t xml:space="preserve"> Watergen </w:t>
      </w:r>
      <w:r w:rsidR="00526693">
        <w:t xml:space="preserve">lifetime </w:t>
      </w:r>
      <w:r w:rsidRPr="000B531C">
        <w:t>is</w:t>
      </w:r>
      <w:r w:rsidR="00FA49B3">
        <w:t xml:space="preserve"> </w:t>
      </w:r>
      <w:r w:rsidRPr="000B531C">
        <w:t xml:space="preserve">10 years. </w:t>
      </w:r>
      <w:r w:rsidR="000B531C" w:rsidRPr="000B531C">
        <w:t xml:space="preserve">Specific capital equipment weight factors used are provided </w:t>
      </w:r>
      <w:r w:rsidR="00A73FEF">
        <w:t xml:space="preserve">in </w:t>
      </w:r>
      <w:r w:rsidR="00A73FEF">
        <w:fldChar w:fldCharType="begin"/>
      </w:r>
      <w:r w:rsidR="00A73FEF">
        <w:instrText xml:space="preserve"> REF _Ref525244946 \r \h </w:instrText>
      </w:r>
      <w:r w:rsidR="00A73FEF">
        <w:fldChar w:fldCharType="separate"/>
      </w:r>
      <w:r w:rsidR="008072BC">
        <w:t>6.Appendix A</w:t>
      </w:r>
      <w:r w:rsidR="00A73FEF">
        <w:fldChar w:fldCharType="end"/>
      </w:r>
      <w:r w:rsidR="000B531C" w:rsidRPr="000B531C">
        <w:t>.</w:t>
      </w:r>
      <w:r w:rsidR="00526693">
        <w:t xml:space="preserve"> No information on energy requirements for assembling the AWG units was available.</w:t>
      </w:r>
    </w:p>
    <w:p w14:paraId="6E40CE34" w14:textId="2D7DF2AC" w:rsidR="00AD2CA2" w:rsidRPr="000B531C" w:rsidRDefault="002B15D5" w:rsidP="002B15D5">
      <w:pPr>
        <w:pStyle w:val="Heading3"/>
      </w:pPr>
      <w:bookmarkStart w:id="65" w:name="_Toc525246202"/>
      <w:bookmarkStart w:id="66" w:name="_Toc533009160"/>
      <w:r w:rsidRPr="000B531C">
        <w:t>Transportation to Point of Use</w:t>
      </w:r>
      <w:bookmarkEnd w:id="65"/>
      <w:bookmarkEnd w:id="66"/>
    </w:p>
    <w:p w14:paraId="0E5C1090" w14:textId="404DD6F9" w:rsidR="00ED466C" w:rsidRPr="000B531C" w:rsidRDefault="00ED466C" w:rsidP="00220C65">
      <w:pPr>
        <w:pStyle w:val="BodyText"/>
      </w:pPr>
      <w:r w:rsidRPr="000B531C">
        <w:t>The transportation of the AWG units from the point of manufactur</w:t>
      </w:r>
      <w:r w:rsidR="00E0741F">
        <w:t>e</w:t>
      </w:r>
      <w:r w:rsidRPr="000B531C">
        <w:t xml:space="preserve"> to the point of use is based on vendor provided information. Currently</w:t>
      </w:r>
      <w:r w:rsidR="006A7AFA">
        <w:t>,</w:t>
      </w:r>
      <w:r w:rsidRPr="000B531C">
        <w:t xml:space="preserve"> the Watergen AWG units are manufactured in Columbia, South Carolina and those of EcoloBlue</w:t>
      </w:r>
      <w:r w:rsidR="00804CDE">
        <w:t>,</w:t>
      </w:r>
      <w:r w:rsidRPr="000B531C">
        <w:t xml:space="preserve"> in California. </w:t>
      </w:r>
      <w:r w:rsidR="00076177">
        <w:t>Due to the lack of primary transportation data,</w:t>
      </w:r>
      <w:r w:rsidR="00076177" w:rsidRPr="000B531C">
        <w:t xml:space="preserve"> </w:t>
      </w:r>
      <w:r w:rsidR="00076177">
        <w:t>a</w:t>
      </w:r>
      <w:r w:rsidRPr="000B531C">
        <w:t>n average distance of 160</w:t>
      </w:r>
      <w:r w:rsidR="00E207F0" w:rsidRPr="000B531C">
        <w:t xml:space="preserve"> km</w:t>
      </w:r>
      <w:r w:rsidR="00076177">
        <w:t xml:space="preserve"> (100 miles)</w:t>
      </w:r>
      <w:r w:rsidRPr="000B531C">
        <w:t xml:space="preserve"> is assumed for transportation </w:t>
      </w:r>
      <w:r w:rsidR="00076177">
        <w:t xml:space="preserve">of AWG units </w:t>
      </w:r>
      <w:r w:rsidRPr="000B531C">
        <w:t xml:space="preserve">to the point of use. </w:t>
      </w:r>
      <w:r w:rsidR="006D7494" w:rsidRPr="000B531C">
        <w:t xml:space="preserve">Primary </w:t>
      </w:r>
      <w:r w:rsidRPr="000B531C">
        <w:t xml:space="preserve">mode of transportation </w:t>
      </w:r>
      <w:r w:rsidR="006D7494" w:rsidRPr="000B531C">
        <w:t>assumed is a</w:t>
      </w:r>
      <w:r w:rsidRPr="000B531C">
        <w:t xml:space="preserve"> combination truck</w:t>
      </w:r>
      <w:r w:rsidR="00145B0F">
        <w:t xml:space="preserve"> using</w:t>
      </w:r>
      <w:r w:rsidR="00526693">
        <w:t xml:space="preserve"> the</w:t>
      </w:r>
      <w:r w:rsidR="00145B0F">
        <w:t xml:space="preserve"> average fuel mix for the U.S.</w:t>
      </w:r>
      <w:r w:rsidR="006E71CB">
        <w:t xml:space="preserve"> (diesel)</w:t>
      </w:r>
      <w:r w:rsidR="00526693">
        <w:t>,</w:t>
      </w:r>
      <w:r w:rsidR="006D7494" w:rsidRPr="000B531C">
        <w:t xml:space="preserve"> but the </w:t>
      </w:r>
      <w:r w:rsidR="006E71CB">
        <w:t xml:space="preserve">openLCA </w:t>
      </w:r>
      <w:r w:rsidR="006D7494" w:rsidRPr="000B531C">
        <w:t>model can switch to rail and/or ocean freight if applicable.</w:t>
      </w:r>
    </w:p>
    <w:p w14:paraId="04DD62DA" w14:textId="099212D3" w:rsidR="002B15D5" w:rsidRPr="000B531C" w:rsidRDefault="002B15D5" w:rsidP="00E7365C">
      <w:pPr>
        <w:pStyle w:val="Heading3"/>
      </w:pPr>
      <w:bookmarkStart w:id="67" w:name="_Ref525073385"/>
      <w:bookmarkStart w:id="68" w:name="_Toc525246203"/>
      <w:bookmarkStart w:id="69" w:name="_Toc533009161"/>
      <w:r w:rsidRPr="000B531C">
        <w:t>Operation</w:t>
      </w:r>
      <w:bookmarkEnd w:id="67"/>
      <w:bookmarkEnd w:id="68"/>
      <w:bookmarkEnd w:id="69"/>
    </w:p>
    <w:p w14:paraId="6D2D17E4" w14:textId="470FD83A" w:rsidR="00C14132" w:rsidRPr="00A7243C" w:rsidRDefault="00692216" w:rsidP="000B531C">
      <w:pPr>
        <w:pStyle w:val="BodyText"/>
      </w:pPr>
      <w:bookmarkStart w:id="70" w:name="_Ref447116480"/>
      <w:r w:rsidRPr="000B531C">
        <w:t xml:space="preserve">The operational life stage of AWG includes running the unit on </w:t>
      </w:r>
      <w:r w:rsidR="00C0176F" w:rsidRPr="000B531C">
        <w:t xml:space="preserve">grid </w:t>
      </w:r>
      <w:r w:rsidRPr="000B531C">
        <w:t>electricity and producing water</w:t>
      </w:r>
      <w:r>
        <w:t xml:space="preserve"> that is treated by the filtration system within each unit</w:t>
      </w:r>
      <w:r w:rsidR="002E3ABC">
        <w:t>.</w:t>
      </w:r>
      <w:r>
        <w:t xml:space="preserve"> The data on k</w:t>
      </w:r>
      <w:r w:rsidR="00E0741F">
        <w:t>W</w:t>
      </w:r>
      <w:r>
        <w:t xml:space="preserve">h </w:t>
      </w:r>
      <w:r w:rsidR="00021299">
        <w:t xml:space="preserve">usage </w:t>
      </w:r>
      <w:r>
        <w:lastRenderedPageBreak/>
        <w:t>by each unit to produce a liter of water, for a given scale, is provided by the vendors</w:t>
      </w:r>
      <w:r w:rsidR="00021299">
        <w:t xml:space="preserve"> and </w:t>
      </w:r>
      <w:r w:rsidR="00C0176F">
        <w:t xml:space="preserve">is </w:t>
      </w:r>
      <w:r w:rsidR="00021299">
        <w:t>used to paramet</w:t>
      </w:r>
      <w:r w:rsidR="006A7AFA">
        <w:t>e</w:t>
      </w:r>
      <w:r w:rsidR="00021299">
        <w:t>rize the model</w:t>
      </w:r>
      <w:r w:rsidR="000B531C">
        <w:t xml:space="preserve"> (</w:t>
      </w:r>
      <w:r w:rsidR="00A23496">
        <w:fldChar w:fldCharType="begin"/>
      </w:r>
      <w:r w:rsidR="00A23496">
        <w:instrText xml:space="preserve"> REF _Ref525244946 \r \h </w:instrText>
      </w:r>
      <w:r w:rsidR="00A23496">
        <w:fldChar w:fldCharType="separate"/>
      </w:r>
      <w:r w:rsidR="008072BC">
        <w:t>6.Appendix A</w:t>
      </w:r>
      <w:r w:rsidR="00A23496">
        <w:fldChar w:fldCharType="end"/>
      </w:r>
      <w:r w:rsidR="000B531C">
        <w:t>)</w:t>
      </w:r>
      <w:r>
        <w:t>.</w:t>
      </w:r>
      <w:r w:rsidR="002E3ABC">
        <w:t xml:space="preserve"> </w:t>
      </w:r>
      <w:r w:rsidR="00835163">
        <w:t>The baseline model AWG oper</w:t>
      </w:r>
      <w:r>
        <w:t>ati</w:t>
      </w:r>
      <w:r w:rsidR="00835163">
        <w:t>on us</w:t>
      </w:r>
      <w:r w:rsidR="00E44D40">
        <w:t>es</w:t>
      </w:r>
      <w:r w:rsidR="00835163">
        <w:t xml:space="preserve"> the average U.S. electrical grid fuel mix. The current electrical grid mix </w:t>
      </w:r>
      <w:r w:rsidR="00E0741F">
        <w:t>consists</w:t>
      </w:r>
      <w:r w:rsidR="00835163">
        <w:t xml:space="preserve"> largely of fossil fuels with highest dependency on </w:t>
      </w:r>
      <w:r w:rsidR="00E7365C">
        <w:t xml:space="preserve">coal (38.7 percent), followed by </w:t>
      </w:r>
      <w:r w:rsidR="00835163">
        <w:t>natural gas (</w:t>
      </w:r>
      <w:r w:rsidR="00E7365C">
        <w:t>27.5</w:t>
      </w:r>
      <w:r w:rsidR="00835163">
        <w:t xml:space="preserve"> percent)</w:t>
      </w:r>
      <w:r w:rsidR="00B535B9">
        <w:t>.</w:t>
      </w:r>
      <w:r w:rsidR="008B0BA2">
        <w:t xml:space="preserve"> </w:t>
      </w:r>
      <w:r w:rsidR="00835163">
        <w:t>Nuclear energy contributes 19.</w:t>
      </w:r>
      <w:r w:rsidR="00E7365C">
        <w:t>5</w:t>
      </w:r>
      <w:r w:rsidR="00835163">
        <w:t xml:space="preserve"> percent to the grid and all other renewable energy sources make up </w:t>
      </w:r>
      <w:r w:rsidR="002C23F0">
        <w:t>13</w:t>
      </w:r>
      <w:r w:rsidR="00835163">
        <w:t xml:space="preserve"> percent</w:t>
      </w:r>
      <w:r w:rsidR="00526693">
        <w:t>,</w:t>
      </w:r>
      <w:r w:rsidR="00835163">
        <w:t xml:space="preserve"> which include hydro</w:t>
      </w:r>
      <w:r w:rsidR="00E0741F">
        <w:t>power</w:t>
      </w:r>
      <w:r w:rsidR="00835163">
        <w:t>, solar, wind</w:t>
      </w:r>
      <w:r w:rsidR="002C23F0">
        <w:t>, geothermal</w:t>
      </w:r>
      <w:r w:rsidR="00835163">
        <w:t xml:space="preserve"> and biomass</w:t>
      </w:r>
      <w:r w:rsidR="008B0BA2">
        <w:t xml:space="preserve"> (</w:t>
      </w:r>
      <w:r w:rsidR="00D55081">
        <w:t xml:space="preserve">U.S. </w:t>
      </w:r>
      <w:r w:rsidR="008B0BA2">
        <w:t>EPA, 2014).</w:t>
      </w:r>
      <w:r w:rsidR="00835163">
        <w:t xml:space="preserve"> </w:t>
      </w:r>
      <w:r w:rsidR="00BD6048">
        <w:t>Watergen has provided operational data for Gen</w:t>
      </w:r>
      <w:r w:rsidR="00F177F4">
        <w:t>-</w:t>
      </w:r>
      <w:r w:rsidR="00BD6048">
        <w:t>350 for Florid</w:t>
      </w:r>
      <w:r w:rsidR="00894A4D">
        <w:t>a</w:t>
      </w:r>
      <w:r w:rsidR="00BD6048">
        <w:t xml:space="preserve"> so t</w:t>
      </w:r>
      <w:r w:rsidR="00835163">
        <w:t>he sub-region</w:t>
      </w:r>
      <w:r w:rsidR="00150CF7">
        <w:t xml:space="preserve"> Florida Reliability Coordinating Council</w:t>
      </w:r>
      <w:r w:rsidR="00835163">
        <w:t xml:space="preserve"> </w:t>
      </w:r>
      <w:r w:rsidR="00150CF7">
        <w:t>(</w:t>
      </w:r>
      <w:r w:rsidR="00835163">
        <w:t>FRCC</w:t>
      </w:r>
      <w:r w:rsidR="00150CF7">
        <w:t>)</w:t>
      </w:r>
      <w:r w:rsidR="00E44D40">
        <w:t>,</w:t>
      </w:r>
      <w:r w:rsidR="00835163">
        <w:t xml:space="preserve"> </w:t>
      </w:r>
      <w:r w:rsidR="00E44D40">
        <w:t>is incorporated in a sensitivity analysis</w:t>
      </w:r>
      <w:r w:rsidR="006A7476">
        <w:t xml:space="preserve"> around energy mixes</w:t>
      </w:r>
      <w:r w:rsidR="00835163">
        <w:t xml:space="preserve">. </w:t>
      </w:r>
      <w:r w:rsidR="00BD6048">
        <w:t>FRCC</w:t>
      </w:r>
      <w:r w:rsidR="00835163">
        <w:t xml:space="preserve"> derives two-thirds of its electricity from natural gas, followed by coal, nuclear power</w:t>
      </w:r>
      <w:r w:rsidR="00BD6048">
        <w:t>, oil</w:t>
      </w:r>
      <w:r w:rsidR="00E0741F">
        <w:t>,</w:t>
      </w:r>
      <w:r w:rsidR="00BD6048">
        <w:t xml:space="preserve"> </w:t>
      </w:r>
      <w:r w:rsidR="00835163">
        <w:t>and renewables</w:t>
      </w:r>
      <w:r w:rsidR="00E0741F">
        <w:t>,</w:t>
      </w:r>
      <w:r w:rsidR="00835163">
        <w:t xml:space="preserve"> respectively</w:t>
      </w:r>
      <w:r w:rsidR="00BD6048">
        <w:t xml:space="preserve"> (</w:t>
      </w:r>
      <w:r w:rsidR="00D55081">
        <w:t xml:space="preserve">U.S. </w:t>
      </w:r>
      <w:r w:rsidR="00BD6048">
        <w:t>EPA, 2014)</w:t>
      </w:r>
      <w:r w:rsidR="00835163">
        <w:t>. The renewable energy is sourced primarily from biomass, hydropower</w:t>
      </w:r>
      <w:r w:rsidR="00E0741F">
        <w:t>,</w:t>
      </w:r>
      <w:r w:rsidR="00835163">
        <w:t xml:space="preserve"> and solar energy. </w:t>
      </w:r>
      <w:r w:rsidR="00BD6048">
        <w:t>Water</w:t>
      </w:r>
      <w:r w:rsidR="00526693">
        <w:t>g</w:t>
      </w:r>
      <w:r w:rsidR="00BD6048">
        <w:t>en has provided EPA with a medium</w:t>
      </w:r>
      <w:r w:rsidR="00E0741F">
        <w:t>-</w:t>
      </w:r>
      <w:r w:rsidR="00BD6048">
        <w:t>scale Gen</w:t>
      </w:r>
      <w:r w:rsidR="00F177F4">
        <w:t>-</w:t>
      </w:r>
      <w:r w:rsidR="00BD6048">
        <w:t xml:space="preserve">350 unit to collect operational data in Cincinnati, OH so the </w:t>
      </w:r>
      <w:r w:rsidR="00835163">
        <w:t xml:space="preserve">sub-region </w:t>
      </w:r>
      <w:r w:rsidR="00150CF7">
        <w:t>Reliability First Corporation West (</w:t>
      </w:r>
      <w:r w:rsidR="00835163">
        <w:t>RFCW</w:t>
      </w:r>
      <w:r w:rsidR="00150CF7">
        <w:t>)</w:t>
      </w:r>
      <w:r w:rsidR="00835163">
        <w:t xml:space="preserve"> where Cincinnati is located</w:t>
      </w:r>
      <w:r w:rsidR="00BD6048">
        <w:t xml:space="preserve"> is also included in the sensitivity analysis</w:t>
      </w:r>
      <w:r w:rsidR="00835163" w:rsidRPr="00683A16">
        <w:t>.</w:t>
      </w:r>
      <w:r w:rsidR="00835163">
        <w:t xml:space="preserve"> </w:t>
      </w:r>
      <w:r w:rsidR="000138A3">
        <w:t>ERG has also incorporated a scenario modeling a low emissions electricity option</w:t>
      </w:r>
      <w:r w:rsidR="00526693">
        <w:t>,</w:t>
      </w:r>
      <w:r w:rsidR="007D542C">
        <w:t xml:space="preserve"> which is also the location where the Ecoloblue units are manufactured</w:t>
      </w:r>
      <w:r w:rsidR="000138A3">
        <w:t xml:space="preserve">. This scenario assumes that the AWG derives energy from </w:t>
      </w:r>
      <w:r w:rsidR="00150CF7">
        <w:t>Western Electricity Coordinating Council</w:t>
      </w:r>
      <w:r w:rsidR="000138A3">
        <w:t xml:space="preserve"> California (CAMX) which sources </w:t>
      </w:r>
      <w:r w:rsidR="00E7365C">
        <w:t>6</w:t>
      </w:r>
      <w:r w:rsidR="00BD6048">
        <w:t>2.5</w:t>
      </w:r>
      <w:r w:rsidR="000138A3">
        <w:t xml:space="preserve"> percent of energy from natural gas, </w:t>
      </w:r>
      <w:r w:rsidR="00E7365C">
        <w:t>8.</w:t>
      </w:r>
      <w:r w:rsidR="00BD6048">
        <w:t>4</w:t>
      </w:r>
      <w:r w:rsidR="000138A3">
        <w:t xml:space="preserve"> percent from hydropower, </w:t>
      </w:r>
      <w:r w:rsidR="00E7365C">
        <w:t>4.</w:t>
      </w:r>
      <w:r w:rsidR="00BD6048">
        <w:t>3</w:t>
      </w:r>
      <w:r w:rsidR="000138A3">
        <w:t xml:space="preserve"> percent from solar, 9 percent from nuclear and </w:t>
      </w:r>
      <w:r w:rsidR="0056104A">
        <w:t xml:space="preserve">only </w:t>
      </w:r>
      <w:r w:rsidR="00E7365C">
        <w:t>0.4</w:t>
      </w:r>
      <w:r w:rsidR="0056104A">
        <w:t xml:space="preserve"> percent from coal.</w:t>
      </w:r>
      <w:r w:rsidR="00E44D40">
        <w:t xml:space="preserve"> The details of the resource mix for the average U.S. and the three sub-regions is shown in </w:t>
      </w:r>
      <w:r w:rsidR="00E44D40">
        <w:fldChar w:fldCharType="begin"/>
      </w:r>
      <w:r w:rsidR="00E44D40">
        <w:instrText xml:space="preserve"> REF _Ref517792452 \h </w:instrText>
      </w:r>
      <w:r w:rsidR="00E44D40">
        <w:fldChar w:fldCharType="separate"/>
      </w:r>
      <w:r w:rsidR="008072BC">
        <w:t xml:space="preserve">Table </w:t>
      </w:r>
      <w:r w:rsidR="008072BC">
        <w:rPr>
          <w:noProof/>
        </w:rPr>
        <w:t>5</w:t>
      </w:r>
      <w:r w:rsidR="00E44D40">
        <w:fldChar w:fldCharType="end"/>
      </w:r>
      <w:r w:rsidR="00E44D40">
        <w:t>.</w:t>
      </w:r>
      <w:r w:rsidR="00E7365C">
        <w:t xml:space="preserve"> A map of the eGRID subregions is also provided in </w:t>
      </w:r>
      <w:r w:rsidR="00E7365C">
        <w:fldChar w:fldCharType="begin"/>
      </w:r>
      <w:r w:rsidR="00E7365C">
        <w:instrText xml:space="preserve"> REF _Ref524943745 \h </w:instrText>
      </w:r>
      <w:r w:rsidR="00E7365C">
        <w:fldChar w:fldCharType="separate"/>
      </w:r>
      <w:r w:rsidR="008072BC">
        <w:t xml:space="preserve">Figure </w:t>
      </w:r>
      <w:r w:rsidR="008072BC">
        <w:rPr>
          <w:noProof/>
        </w:rPr>
        <w:t>6</w:t>
      </w:r>
      <w:r w:rsidR="00E7365C">
        <w:fldChar w:fldCharType="end"/>
      </w:r>
      <w:r w:rsidR="00E7365C">
        <w:t>.</w:t>
      </w:r>
    </w:p>
    <w:tbl>
      <w:tblPr>
        <w:tblW w:w="9517" w:type="dxa"/>
        <w:tblCellMar>
          <w:left w:w="0" w:type="dxa"/>
          <w:right w:w="0" w:type="dxa"/>
        </w:tblCellMar>
        <w:tblLook w:val="04A0" w:firstRow="1" w:lastRow="0" w:firstColumn="1" w:lastColumn="0" w:noHBand="0" w:noVBand="1"/>
      </w:tblPr>
      <w:tblGrid>
        <w:gridCol w:w="1041"/>
        <w:gridCol w:w="1041"/>
        <w:gridCol w:w="698"/>
        <w:gridCol w:w="634"/>
        <w:gridCol w:w="730"/>
        <w:gridCol w:w="634"/>
        <w:gridCol w:w="663"/>
        <w:gridCol w:w="634"/>
        <w:gridCol w:w="711"/>
        <w:gridCol w:w="533"/>
        <w:gridCol w:w="628"/>
        <w:gridCol w:w="679"/>
        <w:gridCol w:w="891"/>
      </w:tblGrid>
      <w:tr w:rsidR="008F3560" w:rsidRPr="001F73A8" w14:paraId="5DCF7BB4" w14:textId="77777777" w:rsidTr="008F3560">
        <w:trPr>
          <w:trHeight w:val="246"/>
        </w:trPr>
        <w:tc>
          <w:tcPr>
            <w:tcW w:w="9517" w:type="dxa"/>
            <w:gridSpan w:val="13"/>
            <w:shd w:val="clear" w:color="auto" w:fill="auto"/>
            <w:tcMar>
              <w:top w:w="15" w:type="dxa"/>
              <w:left w:w="108" w:type="dxa"/>
              <w:bottom w:w="0" w:type="dxa"/>
              <w:right w:w="108" w:type="dxa"/>
            </w:tcMar>
            <w:vAlign w:val="center"/>
          </w:tcPr>
          <w:p w14:paraId="17DB9428" w14:textId="5C01387B" w:rsidR="008F3560" w:rsidRPr="001F73A8" w:rsidRDefault="008F3560" w:rsidP="008F3560">
            <w:pPr>
              <w:pStyle w:val="TableTitle"/>
              <w:rPr>
                <w:rFonts w:asciiTheme="majorHAnsi" w:hAnsiTheme="majorHAnsi" w:cstheme="majorHAnsi"/>
                <w:color w:val="000000" w:themeColor="text1"/>
                <w:sz w:val="20"/>
              </w:rPr>
            </w:pPr>
            <w:bookmarkStart w:id="71" w:name="_Ref517792452"/>
            <w:bookmarkStart w:id="72" w:name="_Ref508879550"/>
            <w:bookmarkStart w:id="73" w:name="_Toc524635656"/>
            <w:bookmarkStart w:id="74" w:name="_Toc524636924"/>
            <w:bookmarkStart w:id="75" w:name="_Toc533009185"/>
            <w:r>
              <w:t xml:space="preserve">Table </w:t>
            </w:r>
            <w:r>
              <w:rPr>
                <w:noProof/>
              </w:rPr>
              <w:fldChar w:fldCharType="begin"/>
            </w:r>
            <w:r>
              <w:rPr>
                <w:noProof/>
              </w:rPr>
              <w:instrText xml:space="preserve"> SEQ Table \* ARABIC </w:instrText>
            </w:r>
            <w:r>
              <w:rPr>
                <w:noProof/>
              </w:rPr>
              <w:fldChar w:fldCharType="separate"/>
            </w:r>
            <w:r w:rsidR="008072BC">
              <w:rPr>
                <w:noProof/>
              </w:rPr>
              <w:t>5</w:t>
            </w:r>
            <w:r>
              <w:rPr>
                <w:noProof/>
              </w:rPr>
              <w:fldChar w:fldCharType="end"/>
            </w:r>
            <w:bookmarkEnd w:id="71"/>
            <w:r>
              <w:t xml:space="preserve">. </w:t>
            </w:r>
            <w:bookmarkEnd w:id="72"/>
            <w:r w:rsidRPr="00835163">
              <w:t>EPA eGRID U.S. and T</w:t>
            </w:r>
            <w:r>
              <w:t>hree</w:t>
            </w:r>
            <w:r w:rsidRPr="00835163">
              <w:t xml:space="preserve"> Sub-Regions Electricity Generation Resource Mix </w:t>
            </w:r>
            <w:bookmarkEnd w:id="73"/>
            <w:bookmarkEnd w:id="74"/>
            <w:r w:rsidRPr="00835163">
              <w:t>201</w:t>
            </w:r>
            <w:r>
              <w:t>4</w:t>
            </w:r>
            <w:bookmarkEnd w:id="75"/>
          </w:p>
        </w:tc>
      </w:tr>
      <w:tr w:rsidR="002D14FF" w:rsidRPr="001F73A8" w14:paraId="41C551FB" w14:textId="11752D1D" w:rsidTr="001F73A8">
        <w:trPr>
          <w:trHeight w:val="246"/>
        </w:trPr>
        <w:tc>
          <w:tcPr>
            <w:tcW w:w="1041" w:type="dxa"/>
            <w:vMerge w:val="restart"/>
            <w:tcBorders>
              <w:top w:val="single" w:sz="8" w:space="0" w:color="FFFFFF"/>
              <w:left w:val="single" w:sz="8" w:space="0" w:color="FFFFFF"/>
              <w:right w:val="single" w:sz="8" w:space="0" w:color="FFFFFF"/>
            </w:tcBorders>
            <w:shd w:val="clear" w:color="auto" w:fill="BBE0E3"/>
            <w:tcMar>
              <w:top w:w="15" w:type="dxa"/>
              <w:left w:w="108" w:type="dxa"/>
              <w:bottom w:w="0" w:type="dxa"/>
              <w:right w:w="108" w:type="dxa"/>
            </w:tcMar>
            <w:vAlign w:val="center"/>
            <w:hideMark/>
          </w:tcPr>
          <w:p w14:paraId="0A66959E" w14:textId="2DC51D0B" w:rsidR="002D14FF" w:rsidRPr="001F73A8" w:rsidRDefault="002D14FF" w:rsidP="002D14FF">
            <w:pPr>
              <w:rPr>
                <w:rFonts w:asciiTheme="majorHAnsi" w:hAnsiTheme="majorHAnsi" w:cstheme="majorHAnsi"/>
                <w:b/>
                <w:color w:val="000000" w:themeColor="text1"/>
                <w:sz w:val="20"/>
              </w:rPr>
            </w:pPr>
            <w:r w:rsidRPr="001F73A8">
              <w:rPr>
                <w:rFonts w:asciiTheme="majorHAnsi" w:hAnsiTheme="majorHAnsi" w:cstheme="majorHAnsi"/>
                <w:b/>
                <w:color w:val="000000" w:themeColor="text1"/>
                <w:sz w:val="20"/>
              </w:rPr>
              <w:t>eGRID subregion acronym</w:t>
            </w:r>
          </w:p>
        </w:tc>
        <w:tc>
          <w:tcPr>
            <w:tcW w:w="1041" w:type="dxa"/>
            <w:vMerge w:val="restart"/>
            <w:tcBorders>
              <w:top w:val="single" w:sz="8" w:space="0" w:color="FFFFFF"/>
              <w:left w:val="single" w:sz="8" w:space="0" w:color="FFFFFF"/>
              <w:right w:val="single" w:sz="8" w:space="0" w:color="FFFFFF"/>
            </w:tcBorders>
            <w:shd w:val="clear" w:color="auto" w:fill="BBE0E3"/>
            <w:tcMar>
              <w:top w:w="15" w:type="dxa"/>
              <w:left w:w="108" w:type="dxa"/>
              <w:bottom w:w="0" w:type="dxa"/>
              <w:right w:w="108" w:type="dxa"/>
            </w:tcMar>
            <w:vAlign w:val="center"/>
            <w:hideMark/>
          </w:tcPr>
          <w:p w14:paraId="1C867D9B" w14:textId="7DF7FFC4" w:rsidR="002D14FF" w:rsidRPr="001F73A8" w:rsidRDefault="002D14FF" w:rsidP="002D14FF">
            <w:pPr>
              <w:rPr>
                <w:rFonts w:asciiTheme="majorHAnsi" w:hAnsiTheme="majorHAnsi" w:cstheme="majorHAnsi"/>
                <w:b/>
                <w:color w:val="000000" w:themeColor="text1"/>
                <w:sz w:val="20"/>
              </w:rPr>
            </w:pPr>
            <w:r w:rsidRPr="001F73A8">
              <w:rPr>
                <w:rFonts w:asciiTheme="majorHAnsi" w:hAnsiTheme="majorHAnsi" w:cstheme="majorHAnsi"/>
                <w:b/>
                <w:color w:val="000000" w:themeColor="text1"/>
                <w:sz w:val="20"/>
              </w:rPr>
              <w:t>eGRID subregion name</w:t>
            </w:r>
          </w:p>
        </w:tc>
        <w:tc>
          <w:tcPr>
            <w:tcW w:w="7435" w:type="dxa"/>
            <w:gridSpan w:val="11"/>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14:paraId="2DAEF428" w14:textId="2BAA0B31" w:rsidR="002D14FF" w:rsidRPr="001F73A8" w:rsidRDefault="002D14FF" w:rsidP="002D14FF">
            <w:pPr>
              <w:jc w:val="center"/>
              <w:rPr>
                <w:rFonts w:asciiTheme="majorHAnsi" w:hAnsiTheme="majorHAnsi" w:cstheme="majorHAnsi"/>
                <w:b/>
                <w:bCs/>
                <w:sz w:val="20"/>
              </w:rPr>
            </w:pPr>
            <w:r w:rsidRPr="001F73A8">
              <w:rPr>
                <w:rFonts w:asciiTheme="majorHAnsi" w:hAnsiTheme="majorHAnsi" w:cstheme="majorHAnsi"/>
                <w:b/>
                <w:color w:val="000000" w:themeColor="text1"/>
                <w:sz w:val="20"/>
              </w:rPr>
              <w:t>Generation Resource Mix (percent)*</w:t>
            </w:r>
          </w:p>
        </w:tc>
      </w:tr>
      <w:tr w:rsidR="00EC33F5" w:rsidRPr="001F73A8" w14:paraId="503CEE51" w14:textId="2BD977BA" w:rsidTr="00A43681">
        <w:trPr>
          <w:trHeight w:val="155"/>
        </w:trPr>
        <w:tc>
          <w:tcPr>
            <w:tcW w:w="1041" w:type="dxa"/>
            <w:vMerge/>
            <w:tcBorders>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49E6E96B" w14:textId="0DEF213D" w:rsidR="002D14FF" w:rsidRPr="001F73A8" w:rsidRDefault="002D14FF" w:rsidP="002D14FF">
            <w:pPr>
              <w:rPr>
                <w:rFonts w:asciiTheme="majorHAnsi" w:hAnsiTheme="majorHAnsi" w:cstheme="majorHAnsi"/>
                <w:b/>
                <w:sz w:val="20"/>
              </w:rPr>
            </w:pPr>
          </w:p>
        </w:tc>
        <w:tc>
          <w:tcPr>
            <w:tcW w:w="1041" w:type="dxa"/>
            <w:vMerge/>
            <w:tcBorders>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3A95828A" w14:textId="5EBECF80" w:rsidR="002D14FF" w:rsidRPr="001F73A8" w:rsidRDefault="002D14FF" w:rsidP="002D14FF">
            <w:pPr>
              <w:rPr>
                <w:rFonts w:asciiTheme="majorHAnsi" w:hAnsiTheme="majorHAnsi" w:cstheme="majorHAnsi"/>
                <w:b/>
                <w:sz w:val="20"/>
              </w:rPr>
            </w:pPr>
          </w:p>
        </w:tc>
        <w:tc>
          <w:tcPr>
            <w:tcW w:w="698"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14BDCBB7" w14:textId="516627F2"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Coal</w:t>
            </w:r>
          </w:p>
        </w:tc>
        <w:tc>
          <w:tcPr>
            <w:tcW w:w="634" w:type="dxa"/>
            <w:tcBorders>
              <w:top w:val="single" w:sz="24" w:space="0" w:color="FFFFFF"/>
              <w:left w:val="single" w:sz="8" w:space="0" w:color="FFFFFF"/>
              <w:bottom w:val="single" w:sz="8" w:space="0" w:color="FFFFFF"/>
              <w:right w:val="single" w:sz="8" w:space="0" w:color="FFFFFF"/>
            </w:tcBorders>
            <w:shd w:val="clear" w:color="auto" w:fill="E7F3F4"/>
          </w:tcPr>
          <w:p w14:paraId="53CD5310" w14:textId="57174B3A"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Oil</w:t>
            </w:r>
          </w:p>
        </w:tc>
        <w:tc>
          <w:tcPr>
            <w:tcW w:w="730" w:type="dxa"/>
            <w:tcBorders>
              <w:top w:val="single" w:sz="24" w:space="0" w:color="FFFFFF"/>
              <w:left w:val="single" w:sz="8" w:space="0" w:color="FFFFFF"/>
              <w:bottom w:val="single" w:sz="8" w:space="0" w:color="FFFFFF"/>
              <w:right w:val="single" w:sz="8" w:space="0" w:color="FFFFFF"/>
            </w:tcBorders>
            <w:shd w:val="clear" w:color="auto" w:fill="E7F3F4"/>
          </w:tcPr>
          <w:p w14:paraId="003814E7" w14:textId="33ADC185"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Gas</w:t>
            </w:r>
          </w:p>
        </w:tc>
        <w:tc>
          <w:tcPr>
            <w:tcW w:w="634" w:type="dxa"/>
            <w:tcBorders>
              <w:top w:val="single" w:sz="24" w:space="0" w:color="FFFFFF"/>
              <w:left w:val="single" w:sz="8" w:space="0" w:color="FFFFFF"/>
              <w:bottom w:val="single" w:sz="8" w:space="0" w:color="FFFFFF"/>
              <w:right w:val="single" w:sz="8" w:space="0" w:color="FFFFFF"/>
            </w:tcBorders>
            <w:shd w:val="clear" w:color="auto" w:fill="E7F3F4"/>
          </w:tcPr>
          <w:p w14:paraId="46C9D08D" w14:textId="2BE5CFCD"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Other Fossil</w:t>
            </w:r>
          </w:p>
        </w:tc>
        <w:tc>
          <w:tcPr>
            <w:tcW w:w="663" w:type="dxa"/>
            <w:tcBorders>
              <w:top w:val="single" w:sz="24" w:space="0" w:color="FFFFFF"/>
              <w:left w:val="single" w:sz="8" w:space="0" w:color="FFFFFF"/>
              <w:bottom w:val="single" w:sz="8" w:space="0" w:color="FFFFFF"/>
              <w:right w:val="single" w:sz="8" w:space="0" w:color="FFFFFF"/>
            </w:tcBorders>
            <w:shd w:val="clear" w:color="auto" w:fill="E7F3F4"/>
          </w:tcPr>
          <w:p w14:paraId="47527D5A" w14:textId="09321581"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Nuclear</w:t>
            </w:r>
          </w:p>
        </w:tc>
        <w:tc>
          <w:tcPr>
            <w:tcW w:w="634" w:type="dxa"/>
            <w:tcBorders>
              <w:top w:val="single" w:sz="24" w:space="0" w:color="FFFFFF"/>
              <w:left w:val="single" w:sz="8" w:space="0" w:color="FFFFFF"/>
              <w:bottom w:val="single" w:sz="8" w:space="0" w:color="FFFFFF"/>
              <w:right w:val="single" w:sz="8" w:space="0" w:color="FFFFFF"/>
            </w:tcBorders>
            <w:shd w:val="clear" w:color="auto" w:fill="E7F3F4"/>
          </w:tcPr>
          <w:p w14:paraId="429FAE27" w14:textId="03F81E72"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Hydro</w:t>
            </w:r>
          </w:p>
        </w:tc>
        <w:tc>
          <w:tcPr>
            <w:tcW w:w="711" w:type="dxa"/>
            <w:tcBorders>
              <w:top w:val="single" w:sz="24" w:space="0" w:color="FFFFFF"/>
              <w:left w:val="single" w:sz="8" w:space="0" w:color="FFFFFF"/>
              <w:bottom w:val="single" w:sz="8" w:space="0" w:color="FFFFFF"/>
              <w:right w:val="single" w:sz="8" w:space="0" w:color="FFFFFF"/>
            </w:tcBorders>
            <w:shd w:val="clear" w:color="auto" w:fill="E7F3F4"/>
          </w:tcPr>
          <w:p w14:paraId="50D2E233" w14:textId="60B4AB97"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Biomass</w:t>
            </w:r>
          </w:p>
        </w:tc>
        <w:tc>
          <w:tcPr>
            <w:tcW w:w="533" w:type="dxa"/>
            <w:tcBorders>
              <w:top w:val="single" w:sz="24" w:space="0" w:color="FFFFFF"/>
              <w:left w:val="single" w:sz="8" w:space="0" w:color="FFFFFF"/>
              <w:bottom w:val="single" w:sz="8" w:space="0" w:color="FFFFFF"/>
              <w:right w:val="single" w:sz="8" w:space="0" w:color="FFFFFF"/>
            </w:tcBorders>
            <w:shd w:val="clear" w:color="auto" w:fill="E7F3F4"/>
          </w:tcPr>
          <w:p w14:paraId="453CB13E" w14:textId="0E27B832"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Wind</w:t>
            </w:r>
          </w:p>
        </w:tc>
        <w:tc>
          <w:tcPr>
            <w:tcW w:w="628" w:type="dxa"/>
            <w:tcBorders>
              <w:top w:val="single" w:sz="24" w:space="0" w:color="FFFFFF"/>
              <w:left w:val="single" w:sz="8" w:space="0" w:color="FFFFFF"/>
              <w:bottom w:val="single" w:sz="8" w:space="0" w:color="FFFFFF"/>
              <w:right w:val="single" w:sz="8" w:space="0" w:color="FFFFFF"/>
            </w:tcBorders>
            <w:shd w:val="clear" w:color="auto" w:fill="E7F3F4"/>
          </w:tcPr>
          <w:p w14:paraId="446874E2" w14:textId="24D1FEB4"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Solar</w:t>
            </w:r>
          </w:p>
        </w:tc>
        <w:tc>
          <w:tcPr>
            <w:tcW w:w="679" w:type="dxa"/>
            <w:tcBorders>
              <w:top w:val="single" w:sz="24" w:space="0" w:color="FFFFFF"/>
              <w:left w:val="single" w:sz="8" w:space="0" w:color="FFFFFF"/>
              <w:bottom w:val="single" w:sz="8" w:space="0" w:color="FFFFFF"/>
              <w:right w:val="single" w:sz="8" w:space="0" w:color="FFFFFF"/>
            </w:tcBorders>
            <w:shd w:val="clear" w:color="auto" w:fill="E7F3F4"/>
          </w:tcPr>
          <w:p w14:paraId="7658E860" w14:textId="2724FD22"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Geo- thermal</w:t>
            </w:r>
          </w:p>
        </w:tc>
        <w:tc>
          <w:tcPr>
            <w:tcW w:w="891" w:type="dxa"/>
            <w:tcBorders>
              <w:top w:val="single" w:sz="24" w:space="0" w:color="FFFFFF"/>
              <w:left w:val="single" w:sz="8" w:space="0" w:color="FFFFFF"/>
              <w:bottom w:val="single" w:sz="8" w:space="0" w:color="FFFFFF"/>
              <w:right w:val="single" w:sz="8" w:space="0" w:color="FFFFFF"/>
            </w:tcBorders>
            <w:shd w:val="clear" w:color="auto" w:fill="E7F3F4"/>
          </w:tcPr>
          <w:p w14:paraId="4BD7A8C1" w14:textId="029D0318" w:rsidR="002D14FF" w:rsidRPr="001F73A8" w:rsidRDefault="002D14FF" w:rsidP="002D14FF">
            <w:pPr>
              <w:rPr>
                <w:rFonts w:asciiTheme="majorHAnsi" w:hAnsiTheme="majorHAnsi" w:cstheme="majorHAnsi"/>
                <w:i/>
                <w:sz w:val="20"/>
              </w:rPr>
            </w:pPr>
            <w:r w:rsidRPr="001F73A8">
              <w:rPr>
                <w:rFonts w:asciiTheme="majorHAnsi" w:hAnsiTheme="majorHAnsi" w:cstheme="majorHAnsi"/>
                <w:b/>
                <w:bCs/>
                <w:i/>
                <w:color w:val="000000"/>
                <w:sz w:val="20"/>
              </w:rPr>
              <w:t>Other unknown</w:t>
            </w:r>
          </w:p>
        </w:tc>
      </w:tr>
      <w:tr w:rsidR="00EC33F5" w:rsidRPr="001F73A8" w14:paraId="3FA75E5D" w14:textId="2B71D3F3" w:rsidTr="00A43681">
        <w:trPr>
          <w:trHeight w:val="185"/>
        </w:trPr>
        <w:tc>
          <w:tcPr>
            <w:tcW w:w="2082" w:type="dxa"/>
            <w:gridSpan w:val="2"/>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366847D3" w14:textId="5CFF2910" w:rsidR="002D14FF" w:rsidRPr="001F73A8" w:rsidRDefault="002D14FF" w:rsidP="002D14FF">
            <w:pPr>
              <w:rPr>
                <w:rFonts w:asciiTheme="majorHAnsi" w:hAnsiTheme="majorHAnsi" w:cstheme="majorHAnsi"/>
                <w:b/>
                <w:sz w:val="20"/>
              </w:rPr>
            </w:pPr>
            <w:r w:rsidRPr="001F73A8">
              <w:rPr>
                <w:rFonts w:asciiTheme="majorHAnsi" w:hAnsiTheme="majorHAnsi" w:cstheme="majorHAnsi"/>
                <w:b/>
                <w:color w:val="000000"/>
                <w:sz w:val="20"/>
              </w:rPr>
              <w:t>U.S. Average</w:t>
            </w:r>
          </w:p>
        </w:tc>
        <w:tc>
          <w:tcPr>
            <w:tcW w:w="698"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599837F4" w14:textId="462017C2" w:rsidR="002D14FF" w:rsidRPr="00A43681" w:rsidRDefault="00EC33F5" w:rsidP="002D14FF">
            <w:pPr>
              <w:rPr>
                <w:rFonts w:asciiTheme="majorHAnsi" w:hAnsiTheme="majorHAnsi" w:cstheme="majorHAnsi"/>
                <w:b/>
                <w:sz w:val="20"/>
              </w:rPr>
            </w:pPr>
            <w:r w:rsidRPr="00A43681">
              <w:rPr>
                <w:rFonts w:asciiTheme="majorHAnsi" w:hAnsiTheme="majorHAnsi" w:cstheme="majorHAnsi"/>
                <w:b/>
                <w:sz w:val="20"/>
              </w:rPr>
              <w:t>38.7</w:t>
            </w:r>
          </w:p>
        </w:tc>
        <w:tc>
          <w:tcPr>
            <w:tcW w:w="634" w:type="dxa"/>
            <w:tcBorders>
              <w:top w:val="single" w:sz="8" w:space="0" w:color="FFFFFF"/>
              <w:left w:val="single" w:sz="8" w:space="0" w:color="FFFFFF"/>
              <w:bottom w:val="single" w:sz="8" w:space="0" w:color="FFFFFF"/>
              <w:right w:val="single" w:sz="8" w:space="0" w:color="FFFFFF"/>
            </w:tcBorders>
            <w:shd w:val="clear" w:color="auto" w:fill="F3F9FA"/>
          </w:tcPr>
          <w:p w14:paraId="03169FE1" w14:textId="5C8C6451" w:rsidR="002D14FF" w:rsidRPr="001F73A8" w:rsidRDefault="00EC33F5" w:rsidP="002D14FF">
            <w:pPr>
              <w:rPr>
                <w:rFonts w:asciiTheme="majorHAnsi" w:hAnsiTheme="majorHAnsi" w:cstheme="majorHAnsi"/>
                <w:sz w:val="20"/>
              </w:rPr>
            </w:pPr>
            <w:r w:rsidRPr="001F73A8">
              <w:rPr>
                <w:rFonts w:asciiTheme="majorHAnsi" w:hAnsiTheme="majorHAnsi" w:cstheme="majorHAnsi"/>
                <w:b/>
                <w:bCs/>
                <w:color w:val="000000"/>
                <w:sz w:val="20"/>
              </w:rPr>
              <w:t>0.7</w:t>
            </w:r>
          </w:p>
        </w:tc>
        <w:tc>
          <w:tcPr>
            <w:tcW w:w="730" w:type="dxa"/>
            <w:tcBorders>
              <w:top w:val="single" w:sz="8" w:space="0" w:color="FFFFFF"/>
              <w:left w:val="single" w:sz="8" w:space="0" w:color="FFFFFF"/>
              <w:bottom w:val="single" w:sz="8" w:space="0" w:color="FFFFFF"/>
              <w:right w:val="single" w:sz="8" w:space="0" w:color="FFFFFF"/>
            </w:tcBorders>
            <w:shd w:val="clear" w:color="auto" w:fill="F3F9FA"/>
          </w:tcPr>
          <w:p w14:paraId="7F8B7BF5" w14:textId="10F164E7" w:rsidR="002D14FF" w:rsidRPr="001F73A8" w:rsidRDefault="00EC33F5" w:rsidP="002D14FF">
            <w:pPr>
              <w:rPr>
                <w:rFonts w:asciiTheme="majorHAnsi" w:hAnsiTheme="majorHAnsi" w:cstheme="majorHAnsi"/>
                <w:sz w:val="20"/>
              </w:rPr>
            </w:pPr>
            <w:r w:rsidRPr="001F73A8">
              <w:rPr>
                <w:rFonts w:asciiTheme="majorHAnsi" w:hAnsiTheme="majorHAnsi" w:cstheme="majorHAnsi"/>
                <w:b/>
                <w:bCs/>
                <w:color w:val="000000"/>
                <w:sz w:val="20"/>
              </w:rPr>
              <w:t>27.5</w:t>
            </w:r>
          </w:p>
        </w:tc>
        <w:tc>
          <w:tcPr>
            <w:tcW w:w="634" w:type="dxa"/>
            <w:tcBorders>
              <w:top w:val="single" w:sz="8" w:space="0" w:color="FFFFFF"/>
              <w:left w:val="single" w:sz="8" w:space="0" w:color="FFFFFF"/>
              <w:bottom w:val="single" w:sz="8" w:space="0" w:color="FFFFFF"/>
              <w:right w:val="single" w:sz="8" w:space="0" w:color="FFFFFF"/>
            </w:tcBorders>
            <w:shd w:val="clear" w:color="auto" w:fill="F3F9FA"/>
          </w:tcPr>
          <w:p w14:paraId="3A111DCF" w14:textId="17B8A47F" w:rsidR="002D14FF" w:rsidRPr="001F73A8" w:rsidRDefault="00EC33F5" w:rsidP="002D14FF">
            <w:pPr>
              <w:rPr>
                <w:rFonts w:asciiTheme="majorHAnsi" w:hAnsiTheme="majorHAnsi" w:cstheme="majorHAnsi"/>
                <w:sz w:val="20"/>
              </w:rPr>
            </w:pPr>
            <w:r w:rsidRPr="001F73A8">
              <w:rPr>
                <w:rFonts w:asciiTheme="majorHAnsi" w:hAnsiTheme="majorHAnsi" w:cstheme="majorHAnsi"/>
                <w:b/>
                <w:bCs/>
                <w:color w:val="000000"/>
                <w:sz w:val="20"/>
              </w:rPr>
              <w:t>0.4</w:t>
            </w:r>
          </w:p>
        </w:tc>
        <w:tc>
          <w:tcPr>
            <w:tcW w:w="663" w:type="dxa"/>
            <w:tcBorders>
              <w:top w:val="single" w:sz="8" w:space="0" w:color="FFFFFF"/>
              <w:left w:val="single" w:sz="8" w:space="0" w:color="FFFFFF"/>
              <w:bottom w:val="single" w:sz="8" w:space="0" w:color="FFFFFF"/>
              <w:right w:val="single" w:sz="8" w:space="0" w:color="FFFFFF"/>
            </w:tcBorders>
            <w:shd w:val="clear" w:color="auto" w:fill="F3F9FA"/>
          </w:tcPr>
          <w:p w14:paraId="3DB1523D" w14:textId="7BF8037C" w:rsidR="002D14FF" w:rsidRPr="001F73A8" w:rsidRDefault="00EC33F5" w:rsidP="002D14FF">
            <w:pPr>
              <w:rPr>
                <w:rFonts w:asciiTheme="majorHAnsi" w:hAnsiTheme="majorHAnsi" w:cstheme="majorHAnsi"/>
                <w:sz w:val="20"/>
              </w:rPr>
            </w:pPr>
            <w:r w:rsidRPr="001F73A8">
              <w:rPr>
                <w:rFonts w:asciiTheme="majorHAnsi" w:hAnsiTheme="majorHAnsi" w:cstheme="majorHAnsi"/>
                <w:b/>
                <w:bCs/>
                <w:color w:val="000000"/>
                <w:sz w:val="20"/>
              </w:rPr>
              <w:t>19.5</w:t>
            </w:r>
          </w:p>
        </w:tc>
        <w:tc>
          <w:tcPr>
            <w:tcW w:w="634" w:type="dxa"/>
            <w:tcBorders>
              <w:top w:val="single" w:sz="8" w:space="0" w:color="FFFFFF"/>
              <w:left w:val="single" w:sz="8" w:space="0" w:color="FFFFFF"/>
              <w:bottom w:val="single" w:sz="8" w:space="0" w:color="FFFFFF"/>
              <w:right w:val="single" w:sz="8" w:space="0" w:color="FFFFFF"/>
            </w:tcBorders>
            <w:shd w:val="clear" w:color="auto" w:fill="F3F9FA"/>
          </w:tcPr>
          <w:p w14:paraId="56ACB5F1" w14:textId="74AA9C23" w:rsidR="002D14FF" w:rsidRPr="001F73A8" w:rsidRDefault="00EC33F5" w:rsidP="002D14FF">
            <w:pPr>
              <w:rPr>
                <w:rFonts w:asciiTheme="majorHAnsi" w:hAnsiTheme="majorHAnsi" w:cstheme="majorHAnsi"/>
                <w:sz w:val="20"/>
              </w:rPr>
            </w:pPr>
            <w:r w:rsidRPr="001F73A8">
              <w:rPr>
                <w:rFonts w:asciiTheme="majorHAnsi" w:hAnsiTheme="majorHAnsi" w:cstheme="majorHAnsi"/>
                <w:b/>
                <w:bCs/>
                <w:color w:val="000000"/>
                <w:sz w:val="20"/>
              </w:rPr>
              <w:t>6.2</w:t>
            </w:r>
          </w:p>
        </w:tc>
        <w:tc>
          <w:tcPr>
            <w:tcW w:w="711" w:type="dxa"/>
            <w:tcBorders>
              <w:top w:val="single" w:sz="8" w:space="0" w:color="FFFFFF"/>
              <w:left w:val="single" w:sz="8" w:space="0" w:color="FFFFFF"/>
              <w:bottom w:val="single" w:sz="8" w:space="0" w:color="FFFFFF"/>
              <w:right w:val="single" w:sz="8" w:space="0" w:color="FFFFFF"/>
            </w:tcBorders>
            <w:shd w:val="clear" w:color="auto" w:fill="F3F9FA"/>
          </w:tcPr>
          <w:p w14:paraId="48DCD0F7" w14:textId="5034E0BA" w:rsidR="002D14FF" w:rsidRPr="001F73A8" w:rsidRDefault="00EC33F5" w:rsidP="002D14FF">
            <w:pPr>
              <w:rPr>
                <w:rFonts w:asciiTheme="majorHAnsi" w:hAnsiTheme="majorHAnsi" w:cstheme="majorHAnsi"/>
                <w:sz w:val="20"/>
              </w:rPr>
            </w:pPr>
            <w:r w:rsidRPr="001F73A8">
              <w:rPr>
                <w:rFonts w:asciiTheme="majorHAnsi" w:hAnsiTheme="majorHAnsi" w:cstheme="majorHAnsi"/>
                <w:b/>
                <w:bCs/>
                <w:color w:val="000000"/>
                <w:sz w:val="20"/>
              </w:rPr>
              <w:t>1.6</w:t>
            </w:r>
          </w:p>
        </w:tc>
        <w:tc>
          <w:tcPr>
            <w:tcW w:w="533" w:type="dxa"/>
            <w:tcBorders>
              <w:top w:val="single" w:sz="8" w:space="0" w:color="FFFFFF"/>
              <w:left w:val="single" w:sz="8" w:space="0" w:color="FFFFFF"/>
              <w:bottom w:val="single" w:sz="8" w:space="0" w:color="FFFFFF"/>
              <w:right w:val="single" w:sz="8" w:space="0" w:color="FFFFFF"/>
            </w:tcBorders>
            <w:shd w:val="clear" w:color="auto" w:fill="F3F9FA"/>
          </w:tcPr>
          <w:p w14:paraId="5A497CB4" w14:textId="179E1CB5" w:rsidR="002D14FF" w:rsidRPr="001F73A8" w:rsidRDefault="00EC33F5" w:rsidP="002D14FF">
            <w:pPr>
              <w:rPr>
                <w:rFonts w:asciiTheme="majorHAnsi" w:hAnsiTheme="majorHAnsi" w:cstheme="majorHAnsi"/>
                <w:sz w:val="20"/>
              </w:rPr>
            </w:pPr>
            <w:r w:rsidRPr="001F73A8">
              <w:rPr>
                <w:rFonts w:asciiTheme="majorHAnsi" w:hAnsiTheme="majorHAnsi" w:cstheme="majorHAnsi"/>
                <w:b/>
                <w:bCs/>
                <w:color w:val="000000"/>
                <w:sz w:val="20"/>
              </w:rPr>
              <w:t>4.4</w:t>
            </w:r>
          </w:p>
        </w:tc>
        <w:tc>
          <w:tcPr>
            <w:tcW w:w="628" w:type="dxa"/>
            <w:tcBorders>
              <w:top w:val="single" w:sz="8" w:space="0" w:color="FFFFFF"/>
              <w:left w:val="single" w:sz="8" w:space="0" w:color="FFFFFF"/>
              <w:bottom w:val="single" w:sz="8" w:space="0" w:color="FFFFFF"/>
              <w:right w:val="single" w:sz="8" w:space="0" w:color="FFFFFF"/>
            </w:tcBorders>
            <w:shd w:val="clear" w:color="auto" w:fill="F3F9FA"/>
          </w:tcPr>
          <w:p w14:paraId="5041F196" w14:textId="27C01D21" w:rsidR="002D14FF" w:rsidRPr="001F73A8" w:rsidRDefault="00EC33F5" w:rsidP="002D14FF">
            <w:pPr>
              <w:rPr>
                <w:rFonts w:asciiTheme="majorHAnsi" w:hAnsiTheme="majorHAnsi" w:cstheme="majorHAnsi"/>
                <w:sz w:val="20"/>
              </w:rPr>
            </w:pPr>
            <w:r w:rsidRPr="001F73A8">
              <w:rPr>
                <w:rFonts w:asciiTheme="majorHAnsi" w:hAnsiTheme="majorHAnsi" w:cstheme="majorHAnsi"/>
                <w:b/>
                <w:bCs/>
                <w:color w:val="000000"/>
                <w:sz w:val="20"/>
              </w:rPr>
              <w:t>0.4</w:t>
            </w:r>
          </w:p>
        </w:tc>
        <w:tc>
          <w:tcPr>
            <w:tcW w:w="679" w:type="dxa"/>
            <w:tcBorders>
              <w:top w:val="single" w:sz="8" w:space="0" w:color="FFFFFF"/>
              <w:left w:val="single" w:sz="8" w:space="0" w:color="FFFFFF"/>
              <w:bottom w:val="single" w:sz="8" w:space="0" w:color="FFFFFF"/>
              <w:right w:val="single" w:sz="8" w:space="0" w:color="FFFFFF"/>
            </w:tcBorders>
            <w:shd w:val="clear" w:color="auto" w:fill="F3F9FA"/>
          </w:tcPr>
          <w:p w14:paraId="0CDDEC6D" w14:textId="102A3882" w:rsidR="002D14FF" w:rsidRPr="001F73A8" w:rsidRDefault="002D14FF" w:rsidP="002D14FF">
            <w:pPr>
              <w:rPr>
                <w:rFonts w:asciiTheme="majorHAnsi" w:hAnsiTheme="majorHAnsi" w:cstheme="majorHAnsi"/>
                <w:sz w:val="20"/>
              </w:rPr>
            </w:pPr>
            <w:r w:rsidRPr="001F73A8">
              <w:rPr>
                <w:rFonts w:asciiTheme="majorHAnsi" w:hAnsiTheme="majorHAnsi" w:cstheme="majorHAnsi"/>
                <w:b/>
                <w:bCs/>
                <w:color w:val="000000"/>
                <w:sz w:val="20"/>
              </w:rPr>
              <w:t>0.</w:t>
            </w:r>
            <w:r w:rsidR="00EC33F5" w:rsidRPr="001F73A8">
              <w:rPr>
                <w:rFonts w:asciiTheme="majorHAnsi" w:hAnsiTheme="majorHAnsi" w:cstheme="majorHAnsi"/>
                <w:b/>
                <w:bCs/>
                <w:color w:val="000000"/>
                <w:sz w:val="20"/>
              </w:rPr>
              <w:t>4</w:t>
            </w:r>
          </w:p>
        </w:tc>
        <w:tc>
          <w:tcPr>
            <w:tcW w:w="891" w:type="dxa"/>
            <w:tcBorders>
              <w:top w:val="single" w:sz="8" w:space="0" w:color="FFFFFF"/>
              <w:left w:val="single" w:sz="8" w:space="0" w:color="FFFFFF"/>
              <w:bottom w:val="single" w:sz="8" w:space="0" w:color="FFFFFF"/>
              <w:right w:val="single" w:sz="8" w:space="0" w:color="FFFFFF"/>
            </w:tcBorders>
            <w:shd w:val="clear" w:color="auto" w:fill="F3F9FA"/>
          </w:tcPr>
          <w:p w14:paraId="38C3B869" w14:textId="3EC68B93" w:rsidR="002D14FF" w:rsidRPr="001F73A8" w:rsidRDefault="002D14FF" w:rsidP="002D14FF">
            <w:pPr>
              <w:rPr>
                <w:rFonts w:asciiTheme="majorHAnsi" w:hAnsiTheme="majorHAnsi" w:cstheme="majorHAnsi"/>
                <w:sz w:val="20"/>
              </w:rPr>
            </w:pPr>
            <w:r w:rsidRPr="001F73A8">
              <w:rPr>
                <w:rFonts w:asciiTheme="majorHAnsi" w:hAnsiTheme="majorHAnsi" w:cstheme="majorHAnsi"/>
                <w:b/>
                <w:bCs/>
                <w:color w:val="000000"/>
                <w:sz w:val="20"/>
              </w:rPr>
              <w:t>0.</w:t>
            </w:r>
            <w:r w:rsidR="00EC33F5" w:rsidRPr="001F73A8">
              <w:rPr>
                <w:rFonts w:asciiTheme="majorHAnsi" w:hAnsiTheme="majorHAnsi" w:cstheme="majorHAnsi"/>
                <w:b/>
                <w:bCs/>
                <w:color w:val="000000"/>
                <w:sz w:val="20"/>
              </w:rPr>
              <w:t>1</w:t>
            </w:r>
          </w:p>
        </w:tc>
      </w:tr>
      <w:tr w:rsidR="00A43681" w:rsidRPr="001F73A8" w14:paraId="7102B90F" w14:textId="4786716E" w:rsidTr="00A43681">
        <w:trPr>
          <w:trHeight w:val="181"/>
        </w:trPr>
        <w:tc>
          <w:tcPr>
            <w:tcW w:w="1041"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12DBDDA5" w14:textId="080188F0" w:rsidR="00A43681" w:rsidRPr="001F73A8" w:rsidRDefault="00A43681" w:rsidP="00A43681">
            <w:pPr>
              <w:rPr>
                <w:rFonts w:asciiTheme="majorHAnsi" w:hAnsiTheme="majorHAnsi" w:cstheme="majorHAnsi"/>
                <w:b/>
                <w:sz w:val="20"/>
              </w:rPr>
            </w:pPr>
            <w:r w:rsidRPr="001F73A8">
              <w:rPr>
                <w:rFonts w:asciiTheme="majorHAnsi" w:hAnsiTheme="majorHAnsi" w:cstheme="majorHAnsi"/>
                <w:b/>
                <w:color w:val="000000"/>
                <w:sz w:val="20"/>
              </w:rPr>
              <w:t>FRCC</w:t>
            </w:r>
          </w:p>
        </w:tc>
        <w:tc>
          <w:tcPr>
            <w:tcW w:w="1041"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17D2BDD6" w14:textId="3DEF0314" w:rsidR="00A43681" w:rsidRPr="001F73A8" w:rsidRDefault="00A43681" w:rsidP="00A43681">
            <w:pPr>
              <w:rPr>
                <w:rFonts w:asciiTheme="majorHAnsi" w:hAnsiTheme="majorHAnsi" w:cstheme="majorHAnsi"/>
                <w:b/>
                <w:sz w:val="20"/>
              </w:rPr>
            </w:pPr>
            <w:r w:rsidRPr="001F73A8">
              <w:rPr>
                <w:rFonts w:asciiTheme="majorHAnsi" w:hAnsiTheme="majorHAnsi" w:cstheme="majorHAnsi"/>
                <w:b/>
                <w:color w:val="000000"/>
                <w:sz w:val="20"/>
              </w:rPr>
              <w:t>FRCC All</w:t>
            </w:r>
          </w:p>
        </w:tc>
        <w:tc>
          <w:tcPr>
            <w:tcW w:w="698"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bottom"/>
          </w:tcPr>
          <w:p w14:paraId="0AC98BBE" w14:textId="7CF9990A" w:rsidR="00A43681" w:rsidRPr="001F73A8" w:rsidRDefault="00A43681" w:rsidP="00A43681">
            <w:pPr>
              <w:rPr>
                <w:rFonts w:asciiTheme="majorHAnsi" w:hAnsiTheme="majorHAnsi" w:cstheme="majorHAnsi"/>
                <w:sz w:val="20"/>
              </w:rPr>
            </w:pPr>
            <w:r>
              <w:rPr>
                <w:rFonts w:ascii="Calibri" w:hAnsi="Calibri" w:cs="Calibri"/>
                <w:color w:val="000000"/>
                <w:sz w:val="22"/>
                <w:szCs w:val="22"/>
              </w:rPr>
              <w:t>21.7</w:t>
            </w:r>
          </w:p>
        </w:tc>
        <w:tc>
          <w:tcPr>
            <w:tcW w:w="634"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1DC65F01" w14:textId="0E712134" w:rsidR="00A43681" w:rsidRPr="001F73A8" w:rsidRDefault="00A43681" w:rsidP="00A43681">
            <w:pPr>
              <w:rPr>
                <w:rFonts w:asciiTheme="majorHAnsi" w:hAnsiTheme="majorHAnsi" w:cstheme="majorHAnsi"/>
                <w:sz w:val="20"/>
              </w:rPr>
            </w:pPr>
            <w:r>
              <w:rPr>
                <w:rFonts w:ascii="Calibri" w:hAnsi="Calibri" w:cs="Calibri"/>
                <w:color w:val="000000"/>
                <w:sz w:val="22"/>
                <w:szCs w:val="22"/>
              </w:rPr>
              <w:t>0.8</w:t>
            </w:r>
          </w:p>
        </w:tc>
        <w:tc>
          <w:tcPr>
            <w:tcW w:w="730"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3FB78876" w14:textId="25137214" w:rsidR="00A43681" w:rsidRPr="001F73A8" w:rsidRDefault="00A43681" w:rsidP="00A43681">
            <w:pPr>
              <w:rPr>
                <w:rFonts w:asciiTheme="majorHAnsi" w:hAnsiTheme="majorHAnsi" w:cstheme="majorHAnsi"/>
                <w:sz w:val="20"/>
              </w:rPr>
            </w:pPr>
            <w:r>
              <w:rPr>
                <w:rFonts w:ascii="Calibri" w:hAnsi="Calibri" w:cs="Calibri"/>
                <w:color w:val="000000"/>
                <w:sz w:val="22"/>
                <w:szCs w:val="22"/>
              </w:rPr>
              <w:t>61.4</w:t>
            </w:r>
          </w:p>
        </w:tc>
        <w:tc>
          <w:tcPr>
            <w:tcW w:w="634"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5ADBE539" w14:textId="760C26DB" w:rsidR="00A43681" w:rsidRPr="001F73A8" w:rsidRDefault="00A43681" w:rsidP="00A43681">
            <w:pPr>
              <w:rPr>
                <w:rFonts w:asciiTheme="majorHAnsi" w:hAnsiTheme="majorHAnsi" w:cstheme="majorHAnsi"/>
                <w:sz w:val="20"/>
              </w:rPr>
            </w:pPr>
            <w:r>
              <w:rPr>
                <w:rFonts w:ascii="Calibri" w:hAnsi="Calibri" w:cs="Calibri"/>
                <w:color w:val="000000"/>
                <w:sz w:val="22"/>
                <w:szCs w:val="22"/>
              </w:rPr>
              <w:t>0.6</w:t>
            </w:r>
          </w:p>
        </w:tc>
        <w:tc>
          <w:tcPr>
            <w:tcW w:w="663"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40F5A2BC" w14:textId="4B3B853C" w:rsidR="00A43681" w:rsidRPr="001F73A8" w:rsidRDefault="00A43681" w:rsidP="00A43681">
            <w:pPr>
              <w:rPr>
                <w:rFonts w:asciiTheme="majorHAnsi" w:hAnsiTheme="majorHAnsi" w:cstheme="majorHAnsi"/>
                <w:sz w:val="20"/>
              </w:rPr>
            </w:pPr>
            <w:r>
              <w:rPr>
                <w:rFonts w:ascii="Calibri" w:hAnsi="Calibri" w:cs="Calibri"/>
                <w:color w:val="000000"/>
                <w:sz w:val="22"/>
                <w:szCs w:val="22"/>
              </w:rPr>
              <w:t>12.7</w:t>
            </w:r>
          </w:p>
        </w:tc>
        <w:tc>
          <w:tcPr>
            <w:tcW w:w="634"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2A70D6C6" w14:textId="45733B5E" w:rsidR="00A43681" w:rsidRPr="001F73A8" w:rsidRDefault="00A43681" w:rsidP="00A43681">
            <w:pPr>
              <w:rPr>
                <w:rFonts w:asciiTheme="majorHAnsi" w:hAnsiTheme="majorHAnsi" w:cstheme="majorHAnsi"/>
                <w:sz w:val="20"/>
              </w:rPr>
            </w:pPr>
            <w:r>
              <w:rPr>
                <w:rFonts w:ascii="Calibri" w:hAnsi="Calibri" w:cs="Calibri"/>
                <w:color w:val="000000"/>
                <w:sz w:val="22"/>
                <w:szCs w:val="22"/>
              </w:rPr>
              <w:t>0.1</w:t>
            </w:r>
          </w:p>
        </w:tc>
        <w:tc>
          <w:tcPr>
            <w:tcW w:w="711"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0BBA6846" w14:textId="70B9668D" w:rsidR="00A43681" w:rsidRPr="001F73A8" w:rsidRDefault="00A43681" w:rsidP="00A43681">
            <w:pPr>
              <w:rPr>
                <w:rFonts w:asciiTheme="majorHAnsi" w:hAnsiTheme="majorHAnsi" w:cstheme="majorHAnsi"/>
                <w:sz w:val="20"/>
              </w:rPr>
            </w:pPr>
            <w:r>
              <w:rPr>
                <w:rFonts w:ascii="Calibri" w:hAnsi="Calibri" w:cs="Calibri"/>
                <w:color w:val="000000"/>
                <w:sz w:val="22"/>
                <w:szCs w:val="22"/>
              </w:rPr>
              <w:t>1.9</w:t>
            </w:r>
          </w:p>
        </w:tc>
        <w:tc>
          <w:tcPr>
            <w:tcW w:w="533"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093EFAB5" w14:textId="6628864F" w:rsidR="00A43681" w:rsidRPr="001F73A8" w:rsidRDefault="00A43681" w:rsidP="00A43681">
            <w:pPr>
              <w:rPr>
                <w:rFonts w:asciiTheme="majorHAnsi" w:hAnsiTheme="majorHAnsi" w:cstheme="majorHAnsi"/>
                <w:sz w:val="20"/>
              </w:rPr>
            </w:pPr>
            <w:r>
              <w:rPr>
                <w:rFonts w:ascii="Calibri" w:hAnsi="Calibri" w:cs="Calibri"/>
                <w:color w:val="000000"/>
                <w:sz w:val="22"/>
                <w:szCs w:val="22"/>
              </w:rPr>
              <w:t>0.0</w:t>
            </w:r>
          </w:p>
        </w:tc>
        <w:tc>
          <w:tcPr>
            <w:tcW w:w="628"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5024AAD9" w14:textId="040BB18E" w:rsidR="00A43681" w:rsidRPr="001F73A8" w:rsidRDefault="00A43681" w:rsidP="00A43681">
            <w:pPr>
              <w:rPr>
                <w:rFonts w:asciiTheme="majorHAnsi" w:hAnsiTheme="majorHAnsi" w:cstheme="majorHAnsi"/>
                <w:sz w:val="20"/>
              </w:rPr>
            </w:pPr>
            <w:r>
              <w:rPr>
                <w:rFonts w:ascii="Calibri" w:hAnsi="Calibri" w:cs="Calibri"/>
                <w:color w:val="000000"/>
                <w:sz w:val="22"/>
                <w:szCs w:val="22"/>
              </w:rPr>
              <w:t>0.1</w:t>
            </w:r>
          </w:p>
        </w:tc>
        <w:tc>
          <w:tcPr>
            <w:tcW w:w="679"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29BB3068" w14:textId="5D767123" w:rsidR="00A43681" w:rsidRPr="001F73A8" w:rsidRDefault="00A43681" w:rsidP="00A43681">
            <w:pPr>
              <w:rPr>
                <w:rFonts w:asciiTheme="majorHAnsi" w:hAnsiTheme="majorHAnsi" w:cstheme="majorHAnsi"/>
                <w:sz w:val="20"/>
              </w:rPr>
            </w:pPr>
            <w:r>
              <w:rPr>
                <w:rFonts w:ascii="Calibri" w:hAnsi="Calibri" w:cs="Calibri"/>
                <w:color w:val="000000"/>
                <w:sz w:val="22"/>
                <w:szCs w:val="22"/>
              </w:rPr>
              <w:t>0.0</w:t>
            </w:r>
          </w:p>
        </w:tc>
        <w:tc>
          <w:tcPr>
            <w:tcW w:w="891" w:type="dxa"/>
            <w:tcBorders>
              <w:top w:val="single" w:sz="8" w:space="0" w:color="FFFFFF"/>
              <w:left w:val="single" w:sz="8" w:space="0" w:color="FFFFFF"/>
              <w:bottom w:val="single" w:sz="8" w:space="0" w:color="FFFFFF"/>
              <w:right w:val="single" w:sz="8" w:space="0" w:color="FFFFFF"/>
            </w:tcBorders>
            <w:shd w:val="clear" w:color="auto" w:fill="E7F3F4"/>
            <w:vAlign w:val="bottom"/>
          </w:tcPr>
          <w:p w14:paraId="0D3CDD00" w14:textId="5EBE0868" w:rsidR="00A43681" w:rsidRPr="001F73A8" w:rsidRDefault="00A43681" w:rsidP="00A43681">
            <w:pPr>
              <w:rPr>
                <w:rFonts w:asciiTheme="majorHAnsi" w:hAnsiTheme="majorHAnsi" w:cstheme="majorHAnsi"/>
                <w:sz w:val="20"/>
              </w:rPr>
            </w:pPr>
            <w:r>
              <w:rPr>
                <w:rFonts w:ascii="Calibri" w:hAnsi="Calibri" w:cs="Calibri"/>
                <w:color w:val="000000"/>
                <w:sz w:val="22"/>
                <w:szCs w:val="22"/>
              </w:rPr>
              <w:t>0.7</w:t>
            </w:r>
          </w:p>
        </w:tc>
      </w:tr>
      <w:tr w:rsidR="00A43681" w:rsidRPr="001F73A8" w14:paraId="44818207" w14:textId="72F70CF5" w:rsidTr="008B0BA2">
        <w:trPr>
          <w:trHeight w:val="174"/>
        </w:trPr>
        <w:tc>
          <w:tcPr>
            <w:tcW w:w="1041"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108267C4" w14:textId="1555F055" w:rsidR="00A43681" w:rsidRPr="001F73A8" w:rsidRDefault="00A43681" w:rsidP="00A43681">
            <w:pPr>
              <w:rPr>
                <w:rFonts w:asciiTheme="majorHAnsi" w:hAnsiTheme="majorHAnsi" w:cstheme="majorHAnsi"/>
                <w:b/>
                <w:sz w:val="20"/>
              </w:rPr>
            </w:pPr>
            <w:r w:rsidRPr="001F73A8">
              <w:rPr>
                <w:rFonts w:asciiTheme="majorHAnsi" w:hAnsiTheme="majorHAnsi" w:cstheme="majorHAnsi"/>
                <w:b/>
                <w:color w:val="000000"/>
                <w:sz w:val="20"/>
              </w:rPr>
              <w:t>RFCW</w:t>
            </w:r>
          </w:p>
        </w:tc>
        <w:tc>
          <w:tcPr>
            <w:tcW w:w="104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75D392A8" w14:textId="1CF1AD18" w:rsidR="00A43681" w:rsidRPr="001F73A8" w:rsidRDefault="00A43681" w:rsidP="00A43681">
            <w:pPr>
              <w:rPr>
                <w:rFonts w:asciiTheme="majorHAnsi" w:hAnsiTheme="majorHAnsi" w:cstheme="majorHAnsi"/>
                <w:b/>
                <w:sz w:val="20"/>
              </w:rPr>
            </w:pPr>
            <w:r w:rsidRPr="001F73A8">
              <w:rPr>
                <w:rFonts w:asciiTheme="majorHAnsi" w:hAnsiTheme="majorHAnsi" w:cstheme="majorHAnsi"/>
                <w:b/>
                <w:color w:val="000000"/>
                <w:sz w:val="20"/>
              </w:rPr>
              <w:t>RFC West</w:t>
            </w:r>
          </w:p>
        </w:tc>
        <w:tc>
          <w:tcPr>
            <w:tcW w:w="698"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bottom"/>
          </w:tcPr>
          <w:p w14:paraId="50AE29AC" w14:textId="2B549CCB" w:rsidR="00A43681" w:rsidRPr="001F73A8" w:rsidRDefault="00A43681" w:rsidP="00A43681">
            <w:pPr>
              <w:rPr>
                <w:rFonts w:asciiTheme="majorHAnsi" w:hAnsiTheme="majorHAnsi" w:cstheme="majorHAnsi"/>
                <w:sz w:val="20"/>
              </w:rPr>
            </w:pPr>
            <w:r>
              <w:rPr>
                <w:rFonts w:ascii="Calibri" w:hAnsi="Calibri" w:cs="Calibri"/>
                <w:color w:val="000000"/>
                <w:sz w:val="22"/>
                <w:szCs w:val="22"/>
              </w:rPr>
              <w:t>60</w:t>
            </w:r>
          </w:p>
        </w:tc>
        <w:tc>
          <w:tcPr>
            <w:tcW w:w="634"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10A32B3B" w14:textId="680FE645" w:rsidR="00A43681" w:rsidRPr="001F73A8" w:rsidRDefault="00A43681" w:rsidP="00A43681">
            <w:pPr>
              <w:rPr>
                <w:rFonts w:asciiTheme="majorHAnsi" w:hAnsiTheme="majorHAnsi" w:cstheme="majorHAnsi"/>
                <w:sz w:val="20"/>
              </w:rPr>
            </w:pPr>
            <w:r>
              <w:rPr>
                <w:rFonts w:ascii="Calibri" w:hAnsi="Calibri" w:cs="Calibri"/>
                <w:color w:val="000000"/>
                <w:sz w:val="22"/>
                <w:szCs w:val="22"/>
              </w:rPr>
              <w:t>0.5</w:t>
            </w:r>
          </w:p>
        </w:tc>
        <w:tc>
          <w:tcPr>
            <w:tcW w:w="730"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7C3EBDEE" w14:textId="4501CCB1" w:rsidR="00A43681" w:rsidRPr="001F73A8" w:rsidRDefault="00A43681" w:rsidP="00A43681">
            <w:pPr>
              <w:rPr>
                <w:rFonts w:asciiTheme="majorHAnsi" w:hAnsiTheme="majorHAnsi" w:cstheme="majorHAnsi"/>
                <w:sz w:val="20"/>
              </w:rPr>
            </w:pPr>
            <w:r>
              <w:rPr>
                <w:rFonts w:ascii="Calibri" w:hAnsi="Calibri" w:cs="Calibri"/>
                <w:color w:val="000000"/>
                <w:sz w:val="22"/>
                <w:szCs w:val="22"/>
              </w:rPr>
              <w:t>9.3</w:t>
            </w:r>
          </w:p>
        </w:tc>
        <w:tc>
          <w:tcPr>
            <w:tcW w:w="634"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0EA9AB06" w14:textId="71168428" w:rsidR="00A43681" w:rsidRPr="001F73A8" w:rsidRDefault="00A43681" w:rsidP="00A43681">
            <w:pPr>
              <w:rPr>
                <w:rFonts w:asciiTheme="majorHAnsi" w:hAnsiTheme="majorHAnsi" w:cstheme="majorHAnsi"/>
                <w:sz w:val="20"/>
              </w:rPr>
            </w:pPr>
            <w:r>
              <w:rPr>
                <w:rFonts w:ascii="Calibri" w:hAnsi="Calibri" w:cs="Calibri"/>
                <w:color w:val="000000"/>
                <w:sz w:val="22"/>
                <w:szCs w:val="22"/>
              </w:rPr>
              <w:t>0.7</w:t>
            </w:r>
          </w:p>
        </w:tc>
        <w:tc>
          <w:tcPr>
            <w:tcW w:w="663"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1E12CAF1" w14:textId="07D8D4EA" w:rsidR="00A43681" w:rsidRPr="001F73A8" w:rsidRDefault="00A43681" w:rsidP="00A43681">
            <w:pPr>
              <w:rPr>
                <w:rFonts w:asciiTheme="majorHAnsi" w:hAnsiTheme="majorHAnsi" w:cstheme="majorHAnsi"/>
                <w:sz w:val="20"/>
              </w:rPr>
            </w:pPr>
            <w:r>
              <w:rPr>
                <w:rFonts w:ascii="Calibri" w:hAnsi="Calibri" w:cs="Calibri"/>
                <w:color w:val="000000"/>
                <w:sz w:val="22"/>
                <w:szCs w:val="22"/>
              </w:rPr>
              <w:t>25.7</w:t>
            </w:r>
          </w:p>
        </w:tc>
        <w:tc>
          <w:tcPr>
            <w:tcW w:w="634"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52003726" w14:textId="246CDB84" w:rsidR="00A43681" w:rsidRPr="001F73A8" w:rsidRDefault="00A43681" w:rsidP="00A43681">
            <w:pPr>
              <w:rPr>
                <w:rFonts w:asciiTheme="majorHAnsi" w:hAnsiTheme="majorHAnsi" w:cstheme="majorHAnsi"/>
                <w:sz w:val="20"/>
              </w:rPr>
            </w:pPr>
            <w:r>
              <w:rPr>
                <w:rFonts w:ascii="Calibri" w:hAnsi="Calibri" w:cs="Calibri"/>
                <w:color w:val="000000"/>
                <w:sz w:val="22"/>
                <w:szCs w:val="22"/>
              </w:rPr>
              <w:t>0.6</w:t>
            </w:r>
          </w:p>
        </w:tc>
        <w:tc>
          <w:tcPr>
            <w:tcW w:w="711"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0AB9098B" w14:textId="7F2E2DDE" w:rsidR="00A43681" w:rsidRPr="001F73A8" w:rsidRDefault="00A43681" w:rsidP="00A43681">
            <w:pPr>
              <w:rPr>
                <w:rFonts w:asciiTheme="majorHAnsi" w:hAnsiTheme="majorHAnsi" w:cstheme="majorHAnsi"/>
                <w:sz w:val="20"/>
              </w:rPr>
            </w:pPr>
            <w:r>
              <w:rPr>
                <w:rFonts w:ascii="Calibri" w:hAnsi="Calibri" w:cs="Calibri"/>
                <w:color w:val="000000"/>
                <w:sz w:val="22"/>
                <w:szCs w:val="22"/>
              </w:rPr>
              <w:t>0.6</w:t>
            </w:r>
          </w:p>
        </w:tc>
        <w:tc>
          <w:tcPr>
            <w:tcW w:w="533"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77AFDAC1" w14:textId="29A29277" w:rsidR="00A43681" w:rsidRPr="001F73A8" w:rsidRDefault="00A43681" w:rsidP="00A43681">
            <w:pPr>
              <w:rPr>
                <w:rFonts w:asciiTheme="majorHAnsi" w:hAnsiTheme="majorHAnsi" w:cstheme="majorHAnsi"/>
                <w:sz w:val="20"/>
              </w:rPr>
            </w:pPr>
            <w:r>
              <w:rPr>
                <w:rFonts w:ascii="Calibri" w:hAnsi="Calibri" w:cs="Calibri"/>
                <w:color w:val="000000"/>
                <w:sz w:val="22"/>
                <w:szCs w:val="22"/>
              </w:rPr>
              <w:t>2.4</w:t>
            </w:r>
          </w:p>
        </w:tc>
        <w:tc>
          <w:tcPr>
            <w:tcW w:w="628"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30682656" w14:textId="5CD99999" w:rsidR="00A43681" w:rsidRPr="001F73A8" w:rsidRDefault="00A43681" w:rsidP="00A43681">
            <w:pPr>
              <w:rPr>
                <w:rFonts w:asciiTheme="majorHAnsi" w:hAnsiTheme="majorHAnsi" w:cstheme="majorHAnsi"/>
                <w:sz w:val="20"/>
              </w:rPr>
            </w:pPr>
            <w:r>
              <w:rPr>
                <w:rFonts w:ascii="Calibri" w:hAnsi="Calibri" w:cs="Calibri"/>
                <w:color w:val="000000"/>
                <w:sz w:val="22"/>
                <w:szCs w:val="22"/>
              </w:rPr>
              <w:t>0</w:t>
            </w:r>
          </w:p>
        </w:tc>
        <w:tc>
          <w:tcPr>
            <w:tcW w:w="679"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26936D69" w14:textId="22E66F88" w:rsidR="00A43681" w:rsidRPr="001F73A8" w:rsidRDefault="00A43681" w:rsidP="00A43681">
            <w:pPr>
              <w:rPr>
                <w:rFonts w:asciiTheme="majorHAnsi" w:hAnsiTheme="majorHAnsi" w:cstheme="majorHAnsi"/>
                <w:sz w:val="20"/>
              </w:rPr>
            </w:pPr>
            <w:r>
              <w:rPr>
                <w:rFonts w:ascii="Calibri" w:hAnsi="Calibri" w:cs="Calibri"/>
                <w:color w:val="000000"/>
                <w:sz w:val="22"/>
                <w:szCs w:val="22"/>
              </w:rPr>
              <w:t>0</w:t>
            </w:r>
          </w:p>
        </w:tc>
        <w:tc>
          <w:tcPr>
            <w:tcW w:w="891" w:type="dxa"/>
            <w:tcBorders>
              <w:top w:val="single" w:sz="8" w:space="0" w:color="FFFFFF"/>
              <w:left w:val="single" w:sz="8" w:space="0" w:color="FFFFFF"/>
              <w:bottom w:val="single" w:sz="8" w:space="0" w:color="FFFFFF"/>
              <w:right w:val="single" w:sz="8" w:space="0" w:color="FFFFFF"/>
            </w:tcBorders>
            <w:shd w:val="clear" w:color="auto" w:fill="F3F9FA"/>
            <w:vAlign w:val="bottom"/>
          </w:tcPr>
          <w:p w14:paraId="00D92985" w14:textId="7D516BED" w:rsidR="00A43681" w:rsidRPr="001F73A8" w:rsidRDefault="00A43681" w:rsidP="00A43681">
            <w:pPr>
              <w:rPr>
                <w:rFonts w:asciiTheme="majorHAnsi" w:hAnsiTheme="majorHAnsi" w:cstheme="majorHAnsi"/>
                <w:sz w:val="20"/>
              </w:rPr>
            </w:pPr>
            <w:r>
              <w:rPr>
                <w:rFonts w:ascii="Calibri" w:hAnsi="Calibri" w:cs="Calibri"/>
                <w:color w:val="000000"/>
                <w:sz w:val="22"/>
                <w:szCs w:val="22"/>
              </w:rPr>
              <w:t>0.1</w:t>
            </w:r>
          </w:p>
        </w:tc>
      </w:tr>
      <w:tr w:rsidR="00A43681" w:rsidRPr="001F73A8" w14:paraId="22F1883A" w14:textId="261A74A9" w:rsidTr="00A43681">
        <w:trPr>
          <w:trHeight w:val="162"/>
        </w:trPr>
        <w:tc>
          <w:tcPr>
            <w:tcW w:w="1041"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tcPr>
          <w:p w14:paraId="37661884" w14:textId="7E8A3EBE" w:rsidR="00A43681" w:rsidRPr="001F73A8" w:rsidRDefault="00A43681" w:rsidP="00A43681">
            <w:pPr>
              <w:rPr>
                <w:rFonts w:asciiTheme="majorHAnsi" w:hAnsiTheme="majorHAnsi" w:cstheme="majorHAnsi"/>
                <w:b/>
                <w:sz w:val="20"/>
              </w:rPr>
            </w:pPr>
            <w:r w:rsidRPr="001F73A8">
              <w:rPr>
                <w:rFonts w:asciiTheme="majorHAnsi" w:hAnsiTheme="majorHAnsi" w:cstheme="majorHAnsi"/>
                <w:b/>
                <w:color w:val="000000"/>
                <w:sz w:val="20"/>
              </w:rPr>
              <w:t>CAMX</w:t>
            </w:r>
          </w:p>
        </w:tc>
        <w:tc>
          <w:tcPr>
            <w:tcW w:w="1041"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62C74EDA" w14:textId="1895F4BD" w:rsidR="00A43681" w:rsidRPr="001F73A8" w:rsidRDefault="00A43681" w:rsidP="00A43681">
            <w:pPr>
              <w:rPr>
                <w:rFonts w:asciiTheme="majorHAnsi" w:hAnsiTheme="majorHAnsi" w:cstheme="majorHAnsi"/>
                <w:b/>
                <w:sz w:val="20"/>
              </w:rPr>
            </w:pPr>
            <w:r w:rsidRPr="001F73A8">
              <w:rPr>
                <w:rFonts w:asciiTheme="majorHAnsi" w:hAnsiTheme="majorHAnsi" w:cstheme="majorHAnsi"/>
                <w:b/>
                <w:color w:val="000000"/>
                <w:sz w:val="20"/>
              </w:rPr>
              <w:t>WECC California</w:t>
            </w:r>
          </w:p>
        </w:tc>
        <w:tc>
          <w:tcPr>
            <w:tcW w:w="698"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1328E54D" w14:textId="1FE90A81" w:rsidR="00A43681" w:rsidRPr="001F73A8" w:rsidRDefault="00A43681" w:rsidP="00A43681">
            <w:pPr>
              <w:rPr>
                <w:rFonts w:asciiTheme="majorHAnsi" w:hAnsiTheme="majorHAnsi" w:cstheme="majorHAnsi"/>
                <w:sz w:val="20"/>
              </w:rPr>
            </w:pPr>
            <w:r>
              <w:rPr>
                <w:rFonts w:ascii="Calibri" w:hAnsi="Calibri" w:cs="Calibri"/>
                <w:color w:val="000000"/>
                <w:sz w:val="22"/>
                <w:szCs w:val="22"/>
              </w:rPr>
              <w:t>0.4</w:t>
            </w:r>
          </w:p>
        </w:tc>
        <w:tc>
          <w:tcPr>
            <w:tcW w:w="634" w:type="dxa"/>
            <w:tcBorders>
              <w:top w:val="single" w:sz="8" w:space="0" w:color="FFFFFF"/>
              <w:left w:val="single" w:sz="8" w:space="0" w:color="FFFFFF"/>
              <w:bottom w:val="single" w:sz="8" w:space="0" w:color="FFFFFF"/>
              <w:right w:val="single" w:sz="8" w:space="0" w:color="FFFFFF"/>
            </w:tcBorders>
            <w:shd w:val="clear" w:color="auto" w:fill="E7F3F4"/>
          </w:tcPr>
          <w:p w14:paraId="44121682" w14:textId="4A44B667" w:rsidR="00A43681" w:rsidRPr="001F73A8" w:rsidRDefault="00A43681" w:rsidP="00A43681">
            <w:pPr>
              <w:rPr>
                <w:rFonts w:asciiTheme="majorHAnsi" w:hAnsiTheme="majorHAnsi" w:cstheme="majorHAnsi"/>
                <w:sz w:val="20"/>
              </w:rPr>
            </w:pPr>
            <w:r>
              <w:rPr>
                <w:rFonts w:ascii="Calibri" w:hAnsi="Calibri" w:cs="Calibri"/>
                <w:color w:val="000000"/>
                <w:sz w:val="22"/>
                <w:szCs w:val="22"/>
              </w:rPr>
              <w:t>0</w:t>
            </w:r>
          </w:p>
        </w:tc>
        <w:tc>
          <w:tcPr>
            <w:tcW w:w="730" w:type="dxa"/>
            <w:tcBorders>
              <w:top w:val="single" w:sz="8" w:space="0" w:color="FFFFFF"/>
              <w:left w:val="single" w:sz="8" w:space="0" w:color="FFFFFF"/>
              <w:bottom w:val="single" w:sz="8" w:space="0" w:color="FFFFFF"/>
              <w:right w:val="single" w:sz="8" w:space="0" w:color="FFFFFF"/>
            </w:tcBorders>
            <w:shd w:val="clear" w:color="auto" w:fill="E7F3F4"/>
          </w:tcPr>
          <w:p w14:paraId="175FAC8F" w14:textId="49166875" w:rsidR="00A43681" w:rsidRPr="001F73A8" w:rsidRDefault="00A43681" w:rsidP="00A43681">
            <w:pPr>
              <w:rPr>
                <w:rFonts w:asciiTheme="majorHAnsi" w:hAnsiTheme="majorHAnsi" w:cstheme="majorHAnsi"/>
                <w:sz w:val="20"/>
              </w:rPr>
            </w:pPr>
            <w:r>
              <w:rPr>
                <w:rFonts w:ascii="Calibri" w:hAnsi="Calibri" w:cs="Calibri"/>
                <w:color w:val="000000"/>
                <w:sz w:val="22"/>
                <w:szCs w:val="22"/>
              </w:rPr>
              <w:t>62.5</w:t>
            </w:r>
          </w:p>
        </w:tc>
        <w:tc>
          <w:tcPr>
            <w:tcW w:w="634" w:type="dxa"/>
            <w:tcBorders>
              <w:top w:val="single" w:sz="8" w:space="0" w:color="FFFFFF"/>
              <w:left w:val="single" w:sz="8" w:space="0" w:color="FFFFFF"/>
              <w:bottom w:val="single" w:sz="8" w:space="0" w:color="FFFFFF"/>
              <w:right w:val="single" w:sz="8" w:space="0" w:color="FFFFFF"/>
            </w:tcBorders>
            <w:shd w:val="clear" w:color="auto" w:fill="E7F3F4"/>
          </w:tcPr>
          <w:p w14:paraId="4402885B" w14:textId="7BB21E93" w:rsidR="00A43681" w:rsidRPr="001F73A8" w:rsidRDefault="00A43681" w:rsidP="00A43681">
            <w:pPr>
              <w:rPr>
                <w:rFonts w:asciiTheme="majorHAnsi" w:hAnsiTheme="majorHAnsi" w:cstheme="majorHAnsi"/>
                <w:sz w:val="20"/>
              </w:rPr>
            </w:pPr>
            <w:r>
              <w:rPr>
                <w:rFonts w:ascii="Calibri" w:hAnsi="Calibri" w:cs="Calibri"/>
                <w:color w:val="000000"/>
                <w:sz w:val="22"/>
                <w:szCs w:val="22"/>
              </w:rPr>
              <w:t>0.8</w:t>
            </w:r>
          </w:p>
        </w:tc>
        <w:tc>
          <w:tcPr>
            <w:tcW w:w="663" w:type="dxa"/>
            <w:tcBorders>
              <w:top w:val="single" w:sz="8" w:space="0" w:color="FFFFFF"/>
              <w:left w:val="single" w:sz="8" w:space="0" w:color="FFFFFF"/>
              <w:bottom w:val="single" w:sz="8" w:space="0" w:color="FFFFFF"/>
              <w:right w:val="single" w:sz="8" w:space="0" w:color="FFFFFF"/>
            </w:tcBorders>
            <w:shd w:val="clear" w:color="auto" w:fill="E7F3F4"/>
          </w:tcPr>
          <w:p w14:paraId="3035EDE4" w14:textId="7B4BF7F1" w:rsidR="00A43681" w:rsidRPr="001F73A8" w:rsidRDefault="00A43681" w:rsidP="00A43681">
            <w:pPr>
              <w:rPr>
                <w:rFonts w:asciiTheme="majorHAnsi" w:hAnsiTheme="majorHAnsi" w:cstheme="majorHAnsi"/>
                <w:sz w:val="20"/>
              </w:rPr>
            </w:pPr>
            <w:r>
              <w:rPr>
                <w:rFonts w:ascii="Calibri" w:hAnsi="Calibri" w:cs="Calibri"/>
                <w:color w:val="000000"/>
                <w:sz w:val="22"/>
                <w:szCs w:val="22"/>
              </w:rPr>
              <w:t>9</w:t>
            </w:r>
          </w:p>
        </w:tc>
        <w:tc>
          <w:tcPr>
            <w:tcW w:w="634" w:type="dxa"/>
            <w:tcBorders>
              <w:top w:val="single" w:sz="8" w:space="0" w:color="FFFFFF"/>
              <w:left w:val="single" w:sz="8" w:space="0" w:color="FFFFFF"/>
              <w:bottom w:val="single" w:sz="8" w:space="0" w:color="FFFFFF"/>
              <w:right w:val="single" w:sz="8" w:space="0" w:color="FFFFFF"/>
            </w:tcBorders>
            <w:shd w:val="clear" w:color="auto" w:fill="E7F3F4"/>
          </w:tcPr>
          <w:p w14:paraId="1FF40DB6" w14:textId="2C73D336" w:rsidR="00A43681" w:rsidRPr="001F73A8" w:rsidRDefault="00A43681" w:rsidP="00A43681">
            <w:pPr>
              <w:rPr>
                <w:rFonts w:asciiTheme="majorHAnsi" w:hAnsiTheme="majorHAnsi" w:cstheme="majorHAnsi"/>
                <w:sz w:val="20"/>
              </w:rPr>
            </w:pPr>
            <w:r>
              <w:rPr>
                <w:rFonts w:ascii="Calibri" w:hAnsi="Calibri" w:cs="Calibri"/>
                <w:color w:val="000000"/>
                <w:sz w:val="22"/>
                <w:szCs w:val="22"/>
              </w:rPr>
              <w:t>8.4</w:t>
            </w:r>
          </w:p>
        </w:tc>
        <w:tc>
          <w:tcPr>
            <w:tcW w:w="711" w:type="dxa"/>
            <w:tcBorders>
              <w:top w:val="single" w:sz="8" w:space="0" w:color="FFFFFF"/>
              <w:left w:val="single" w:sz="8" w:space="0" w:color="FFFFFF"/>
              <w:bottom w:val="single" w:sz="8" w:space="0" w:color="FFFFFF"/>
              <w:right w:val="single" w:sz="8" w:space="0" w:color="FFFFFF"/>
            </w:tcBorders>
            <w:shd w:val="clear" w:color="auto" w:fill="E7F3F4"/>
          </w:tcPr>
          <w:p w14:paraId="5FFA4AB7" w14:textId="727A7F6D" w:rsidR="00A43681" w:rsidRPr="001F73A8" w:rsidRDefault="00A43681" w:rsidP="00A43681">
            <w:pPr>
              <w:rPr>
                <w:rFonts w:asciiTheme="majorHAnsi" w:hAnsiTheme="majorHAnsi" w:cstheme="majorHAnsi"/>
                <w:sz w:val="20"/>
              </w:rPr>
            </w:pPr>
            <w:r>
              <w:rPr>
                <w:rFonts w:ascii="Calibri" w:hAnsi="Calibri" w:cs="Calibri"/>
                <w:color w:val="000000"/>
                <w:sz w:val="22"/>
                <w:szCs w:val="22"/>
              </w:rPr>
              <w:t>3.4</w:t>
            </w:r>
          </w:p>
        </w:tc>
        <w:tc>
          <w:tcPr>
            <w:tcW w:w="533" w:type="dxa"/>
            <w:tcBorders>
              <w:top w:val="single" w:sz="8" w:space="0" w:color="FFFFFF"/>
              <w:left w:val="single" w:sz="8" w:space="0" w:color="FFFFFF"/>
              <w:bottom w:val="single" w:sz="8" w:space="0" w:color="FFFFFF"/>
              <w:right w:val="single" w:sz="8" w:space="0" w:color="FFFFFF"/>
            </w:tcBorders>
            <w:shd w:val="clear" w:color="auto" w:fill="E7F3F4"/>
          </w:tcPr>
          <w:p w14:paraId="20113339" w14:textId="60777D5E" w:rsidR="00A43681" w:rsidRPr="001F73A8" w:rsidRDefault="00A43681" w:rsidP="00A43681">
            <w:pPr>
              <w:rPr>
                <w:rFonts w:asciiTheme="majorHAnsi" w:hAnsiTheme="majorHAnsi" w:cstheme="majorHAnsi"/>
                <w:sz w:val="20"/>
              </w:rPr>
            </w:pPr>
            <w:r>
              <w:rPr>
                <w:rFonts w:ascii="Calibri" w:hAnsi="Calibri" w:cs="Calibri"/>
                <w:color w:val="000000"/>
                <w:sz w:val="22"/>
                <w:szCs w:val="22"/>
              </w:rPr>
              <w:t>6.5</w:t>
            </w:r>
          </w:p>
        </w:tc>
        <w:tc>
          <w:tcPr>
            <w:tcW w:w="628" w:type="dxa"/>
            <w:tcBorders>
              <w:top w:val="single" w:sz="8" w:space="0" w:color="FFFFFF"/>
              <w:left w:val="single" w:sz="8" w:space="0" w:color="FFFFFF"/>
              <w:bottom w:val="single" w:sz="8" w:space="0" w:color="FFFFFF"/>
              <w:right w:val="single" w:sz="8" w:space="0" w:color="FFFFFF"/>
            </w:tcBorders>
            <w:shd w:val="clear" w:color="auto" w:fill="E7F3F4"/>
          </w:tcPr>
          <w:p w14:paraId="4EE6E0AE" w14:textId="63117A41" w:rsidR="00A43681" w:rsidRPr="001F73A8" w:rsidRDefault="00A43681" w:rsidP="00A43681">
            <w:pPr>
              <w:rPr>
                <w:rFonts w:asciiTheme="majorHAnsi" w:hAnsiTheme="majorHAnsi" w:cstheme="majorHAnsi"/>
                <w:sz w:val="20"/>
              </w:rPr>
            </w:pPr>
            <w:r>
              <w:rPr>
                <w:rFonts w:ascii="Calibri" w:hAnsi="Calibri" w:cs="Calibri"/>
                <w:color w:val="000000"/>
                <w:sz w:val="22"/>
                <w:szCs w:val="22"/>
              </w:rPr>
              <w:t>4.3</w:t>
            </w:r>
          </w:p>
        </w:tc>
        <w:tc>
          <w:tcPr>
            <w:tcW w:w="679" w:type="dxa"/>
            <w:tcBorders>
              <w:top w:val="single" w:sz="8" w:space="0" w:color="FFFFFF"/>
              <w:left w:val="single" w:sz="8" w:space="0" w:color="FFFFFF"/>
              <w:bottom w:val="single" w:sz="8" w:space="0" w:color="FFFFFF"/>
              <w:right w:val="single" w:sz="8" w:space="0" w:color="FFFFFF"/>
            </w:tcBorders>
            <w:shd w:val="clear" w:color="auto" w:fill="E7F3F4"/>
          </w:tcPr>
          <w:p w14:paraId="0A465E49" w14:textId="308BFA2A" w:rsidR="00A43681" w:rsidRPr="001F73A8" w:rsidRDefault="00A43681" w:rsidP="00A43681">
            <w:pPr>
              <w:rPr>
                <w:rFonts w:asciiTheme="majorHAnsi" w:hAnsiTheme="majorHAnsi" w:cstheme="majorHAnsi"/>
                <w:sz w:val="20"/>
              </w:rPr>
            </w:pPr>
            <w:r>
              <w:rPr>
                <w:rFonts w:ascii="Calibri" w:hAnsi="Calibri" w:cs="Calibri"/>
                <w:color w:val="000000"/>
                <w:sz w:val="22"/>
                <w:szCs w:val="22"/>
              </w:rPr>
              <w:t>4.4</w:t>
            </w:r>
          </w:p>
        </w:tc>
        <w:tc>
          <w:tcPr>
            <w:tcW w:w="891" w:type="dxa"/>
            <w:tcBorders>
              <w:top w:val="single" w:sz="8" w:space="0" w:color="FFFFFF"/>
              <w:left w:val="single" w:sz="8" w:space="0" w:color="FFFFFF"/>
              <w:bottom w:val="single" w:sz="8" w:space="0" w:color="FFFFFF"/>
              <w:right w:val="single" w:sz="8" w:space="0" w:color="FFFFFF"/>
            </w:tcBorders>
            <w:shd w:val="clear" w:color="auto" w:fill="E7F3F4"/>
          </w:tcPr>
          <w:p w14:paraId="489BDFA6" w14:textId="0508DBFA" w:rsidR="00A43681" w:rsidRPr="001F73A8" w:rsidRDefault="00A43681" w:rsidP="00A43681">
            <w:pPr>
              <w:rPr>
                <w:rFonts w:asciiTheme="majorHAnsi" w:hAnsiTheme="majorHAnsi" w:cstheme="majorHAnsi"/>
                <w:sz w:val="20"/>
              </w:rPr>
            </w:pPr>
            <w:r>
              <w:rPr>
                <w:rFonts w:ascii="Calibri" w:hAnsi="Calibri" w:cs="Calibri"/>
                <w:color w:val="000000"/>
                <w:sz w:val="22"/>
                <w:szCs w:val="22"/>
              </w:rPr>
              <w:t>0.3</w:t>
            </w:r>
          </w:p>
        </w:tc>
      </w:tr>
    </w:tbl>
    <w:p w14:paraId="3F839C95" w14:textId="041E8146" w:rsidR="00835163" w:rsidRPr="00953701" w:rsidRDefault="00835163" w:rsidP="008F3560">
      <w:pPr>
        <w:pStyle w:val="Tablefootnotes"/>
      </w:pPr>
      <w:r w:rsidRPr="00345086">
        <w:t>*</w:t>
      </w:r>
      <w:r w:rsidR="006C5EED">
        <w:t>P</w:t>
      </w:r>
      <w:r w:rsidRPr="00345086">
        <w:t>ercentages may not sum to 100 due to rounding</w:t>
      </w:r>
      <w:r w:rsidR="007B61AD">
        <w:t>.</w:t>
      </w:r>
    </w:p>
    <w:p w14:paraId="371ADFE4" w14:textId="477DD212" w:rsidR="00835163" w:rsidRPr="00953701" w:rsidRDefault="00835163" w:rsidP="00526693">
      <w:pPr>
        <w:pStyle w:val="Tablefootnotes"/>
        <w:tabs>
          <w:tab w:val="clear" w:pos="360"/>
          <w:tab w:val="left" w:pos="540"/>
        </w:tabs>
        <w:ind w:left="0" w:firstLine="0"/>
      </w:pPr>
      <w:r w:rsidRPr="00953701">
        <w:t>Source: U.S. Environmental Protection Agency (EPA) (201</w:t>
      </w:r>
      <w:r w:rsidR="007309C6">
        <w:t>4</w:t>
      </w:r>
      <w:r w:rsidRPr="00953701">
        <w:t>) Emissions &amp; Generation Resource Integrated Database (eGRID) 201</w:t>
      </w:r>
      <w:r w:rsidR="007309C6">
        <w:t>4 Summary Tables</w:t>
      </w:r>
      <w:r w:rsidRPr="00953701">
        <w:t xml:space="preserve">. </w:t>
      </w:r>
      <w:hyperlink r:id="rId29" w:history="1">
        <w:r w:rsidR="007309C6" w:rsidRPr="00A047D3">
          <w:rPr>
            <w:rStyle w:val="Hyperlink"/>
          </w:rPr>
          <w:t>https://www.epa.gov/energy/egrid-2014-summary-tables</w:t>
        </w:r>
      </w:hyperlink>
      <w:r w:rsidR="007B61AD">
        <w:rPr>
          <w:rStyle w:val="Hyperlink"/>
        </w:rPr>
        <w:t>.</w:t>
      </w:r>
      <w:r w:rsidRPr="00953701">
        <w:t xml:space="preserve"> </w:t>
      </w:r>
    </w:p>
    <w:p w14:paraId="38B9952B" w14:textId="1CCC59C0" w:rsidR="008F3560" w:rsidRDefault="008F3560">
      <w:pPr>
        <w:tabs>
          <w:tab w:val="clear" w:pos="720"/>
        </w:tabs>
        <w:rPr>
          <w:color w:val="000000" w:themeColor="text1"/>
          <w:sz w:val="20"/>
        </w:rPr>
      </w:pPr>
      <w:r>
        <w:rPr>
          <w:color w:val="000000" w:themeColor="text1"/>
          <w:sz w:val="20"/>
        </w:rPr>
        <w:br w:type="page"/>
      </w:r>
    </w:p>
    <w:p w14:paraId="34CC429F" w14:textId="77777777" w:rsidR="00B103C8" w:rsidRDefault="005264B9" w:rsidP="00854D34">
      <w:pPr>
        <w:jc w:val="center"/>
      </w:pPr>
      <w:r w:rsidRPr="00854D34">
        <w:rPr>
          <w:noProof/>
        </w:rPr>
        <w:lastRenderedPageBreak/>
        <w:drawing>
          <wp:inline distT="0" distB="0" distL="0" distR="0" wp14:anchorId="46A5BCB9" wp14:editId="42147325">
            <wp:extent cx="4759325" cy="2505891"/>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9076" cy="2511025"/>
                    </a:xfrm>
                    <a:prstGeom prst="rect">
                      <a:avLst/>
                    </a:prstGeom>
                    <a:noFill/>
                    <a:ln>
                      <a:noFill/>
                    </a:ln>
                  </pic:spPr>
                </pic:pic>
              </a:graphicData>
            </a:graphic>
          </wp:inline>
        </w:drawing>
      </w:r>
    </w:p>
    <w:p w14:paraId="55330CAA" w14:textId="4025A439" w:rsidR="005264B9" w:rsidRDefault="00B103C8" w:rsidP="00854D34">
      <w:pPr>
        <w:pStyle w:val="FigureTitle"/>
        <w:spacing w:before="0"/>
        <w:rPr>
          <w:color w:val="000000" w:themeColor="text1"/>
        </w:rPr>
      </w:pPr>
      <w:bookmarkStart w:id="76" w:name="_Ref524943745"/>
      <w:bookmarkStart w:id="77" w:name="_Toc533009203"/>
      <w:r>
        <w:t xml:space="preserve">Figure </w:t>
      </w:r>
      <w:r w:rsidR="000C6707">
        <w:fldChar w:fldCharType="begin"/>
      </w:r>
      <w:r w:rsidR="000C6707">
        <w:instrText xml:space="preserve"> SEQ Figure \* ARABIC </w:instrText>
      </w:r>
      <w:r w:rsidR="000C6707">
        <w:fldChar w:fldCharType="separate"/>
      </w:r>
      <w:r w:rsidR="008072BC">
        <w:t>6</w:t>
      </w:r>
      <w:r w:rsidR="000C6707">
        <w:fldChar w:fldCharType="end"/>
      </w:r>
      <w:bookmarkEnd w:id="76"/>
      <w:r>
        <w:t>. Map of eGRID subregions. Arrows point to subregions assessed for AWG operation.</w:t>
      </w:r>
      <w:bookmarkEnd w:id="77"/>
    </w:p>
    <w:p w14:paraId="767BE4D4" w14:textId="7ADB2AB0" w:rsidR="005264B9" w:rsidRDefault="004728C4" w:rsidP="002B15D5">
      <w:pPr>
        <w:pStyle w:val="Heading3"/>
      </w:pPr>
      <w:bookmarkStart w:id="78" w:name="_Toc525246204"/>
      <w:bookmarkStart w:id="79" w:name="_Toc533009162"/>
      <w:r>
        <w:t xml:space="preserve">Use and </w:t>
      </w:r>
      <w:r w:rsidR="002B15D5" w:rsidRPr="002B15D5">
        <w:t xml:space="preserve">Reusable </w:t>
      </w:r>
      <w:r w:rsidR="002B15D5">
        <w:t>C</w:t>
      </w:r>
      <w:r w:rsidR="002B15D5" w:rsidRPr="002B15D5">
        <w:t xml:space="preserve">ontainer </w:t>
      </w:r>
      <w:r w:rsidR="002B15D5">
        <w:t>W</w:t>
      </w:r>
      <w:r w:rsidR="002B15D5" w:rsidRPr="002B15D5">
        <w:t>ashing</w:t>
      </w:r>
      <w:bookmarkEnd w:id="78"/>
      <w:bookmarkEnd w:id="79"/>
    </w:p>
    <w:p w14:paraId="7C8F7EA8" w14:textId="0878D106" w:rsidR="001C5978" w:rsidRPr="00975D19" w:rsidRDefault="001C5978" w:rsidP="005F5311">
      <w:pPr>
        <w:pStyle w:val="BodyText"/>
      </w:pPr>
      <w:r>
        <w:t xml:space="preserve">The primary water delivery method from the AWGs is filling bottles directly from the unit. </w:t>
      </w:r>
      <w:r w:rsidR="00C60FE8">
        <w:t>W</w:t>
      </w:r>
      <w:r>
        <w:t>e assume</w:t>
      </w:r>
      <w:r w:rsidR="00BC14CB">
        <w:t xml:space="preserve"> that</w:t>
      </w:r>
      <w:r>
        <w:t xml:space="preserve"> a 16 oz reusable glass is used for delivery of the AWG water for drinking</w:t>
      </w:r>
      <w:r w:rsidR="000142AC">
        <w:t xml:space="preserve"> purposes</w:t>
      </w:r>
      <w:r w:rsidR="00D017AD">
        <w:t xml:space="preserve"> and handwashed using water from the AWG when necessary</w:t>
      </w:r>
      <w:r>
        <w:t xml:space="preserve">. Given the significant number of potential lifetime uses of the glass, the production and disposal of the glass itself is outside of the system boundaries. </w:t>
      </w:r>
      <w:r w:rsidR="00D017AD">
        <w:t xml:space="preserve">Use of soap is also not included in handwashing of the glass in this study. </w:t>
      </w:r>
      <w:r>
        <w:t xml:space="preserve">The washing of </w:t>
      </w:r>
      <w:r w:rsidR="000C1613">
        <w:t xml:space="preserve">the reusable glass is also incorporated in the scope for the multi-serve jugs. A </w:t>
      </w:r>
      <w:r w:rsidR="000C1613" w:rsidRPr="00975D19">
        <w:t>sensitivity analysis modeling</w:t>
      </w:r>
      <w:r w:rsidR="00B22A39">
        <w:t xml:space="preserve"> no washing </w:t>
      </w:r>
      <w:r w:rsidR="00D017AD">
        <w:t>of the</w:t>
      </w:r>
      <w:r w:rsidR="000C1613" w:rsidRPr="00975D19">
        <w:t xml:space="preserve"> </w:t>
      </w:r>
      <w:r w:rsidR="00FC3E55">
        <w:t xml:space="preserve">glass </w:t>
      </w:r>
      <w:r w:rsidR="000C1613" w:rsidRPr="00975D19">
        <w:t xml:space="preserve">is presented in Section </w:t>
      </w:r>
      <w:r w:rsidR="000C1613" w:rsidRPr="00975D19">
        <w:fldChar w:fldCharType="begin"/>
      </w:r>
      <w:r w:rsidR="000C1613" w:rsidRPr="00975D19">
        <w:instrText xml:space="preserve"> REF _Ref524952102 \r \h </w:instrText>
      </w:r>
      <w:r w:rsidR="00975D19">
        <w:instrText xml:space="preserve"> \* MERGEFORMAT </w:instrText>
      </w:r>
      <w:r w:rsidR="000C1613" w:rsidRPr="00975D19">
        <w:fldChar w:fldCharType="separate"/>
      </w:r>
      <w:r w:rsidR="008072BC">
        <w:t>4.4.1.2</w:t>
      </w:r>
      <w:r w:rsidR="000C1613" w:rsidRPr="00975D19">
        <w:fldChar w:fldCharType="end"/>
      </w:r>
      <w:r w:rsidR="00C60FE8" w:rsidRPr="00975D19">
        <w:t>.</w:t>
      </w:r>
    </w:p>
    <w:p w14:paraId="5B93DB1B" w14:textId="4A6F77DA" w:rsidR="002B15D5" w:rsidRPr="00975D19" w:rsidRDefault="002B15D5" w:rsidP="002B15D5">
      <w:pPr>
        <w:pStyle w:val="Heading3"/>
      </w:pPr>
      <w:bookmarkStart w:id="80" w:name="_Toc525246205"/>
      <w:bookmarkStart w:id="81" w:name="_Toc533009163"/>
      <w:r w:rsidRPr="00975D19">
        <w:t>Disposal</w:t>
      </w:r>
      <w:bookmarkEnd w:id="80"/>
      <w:bookmarkEnd w:id="81"/>
    </w:p>
    <w:p w14:paraId="76C33AE6" w14:textId="3D7FC856" w:rsidR="00975D19" w:rsidRPr="00975D19" w:rsidRDefault="00975D19" w:rsidP="00854D34">
      <w:pPr>
        <w:pStyle w:val="BodyText"/>
      </w:pPr>
      <w:bookmarkStart w:id="82" w:name="_Ref523141183"/>
      <w:bookmarkStart w:id="83" w:name="_Ref525059695"/>
      <w:r w:rsidRPr="00975D19">
        <w:t>For the disposal of AWG units</w:t>
      </w:r>
      <w:r w:rsidR="008460B6">
        <w:t>,</w:t>
      </w:r>
      <w:r w:rsidRPr="00975D19">
        <w:t xml:space="preserve"> we included the transportation of the AWG unit to the disposal site only. The assumed transportation distance is 160 km </w:t>
      </w:r>
      <w:r w:rsidR="00595A87">
        <w:t xml:space="preserve">(100 miles) as </w:t>
      </w:r>
      <w:r w:rsidR="008460B6">
        <w:t>vendor</w:t>
      </w:r>
      <w:r w:rsidR="00595A87">
        <w:t xml:space="preserve"> data on transportation distances </w:t>
      </w:r>
      <w:r w:rsidR="00EE22CC">
        <w:t>w</w:t>
      </w:r>
      <w:r w:rsidR="008460B6">
        <w:t>ere</w:t>
      </w:r>
      <w:r w:rsidR="00595A87">
        <w:t xml:space="preserve"> not available. T</w:t>
      </w:r>
      <w:r w:rsidRPr="00975D19">
        <w:t>he mode of transportation is diesel powered combination truck. Dismantling and recycling of subcomponents is outside the scope of this study. We modeled all components as recycled.</w:t>
      </w:r>
    </w:p>
    <w:p w14:paraId="380EB30D" w14:textId="269EAD95" w:rsidR="00265B8E" w:rsidRPr="00265B8E" w:rsidRDefault="00265B8E" w:rsidP="00265B8E">
      <w:pPr>
        <w:pStyle w:val="Heading2"/>
      </w:pPr>
      <w:bookmarkStart w:id="84" w:name="_Toc525246206"/>
      <w:bookmarkStart w:id="85" w:name="_Ref525297452"/>
      <w:bookmarkStart w:id="86" w:name="_Toc533009164"/>
      <w:r>
        <w:t xml:space="preserve">Bottled Water </w:t>
      </w:r>
      <w:r w:rsidR="00427EA4">
        <w:t xml:space="preserve">Life Cycle Inventory </w:t>
      </w:r>
      <w:r w:rsidRPr="009F5CF1">
        <w:t>Data Sources</w:t>
      </w:r>
      <w:bookmarkEnd w:id="82"/>
      <w:bookmarkEnd w:id="83"/>
      <w:bookmarkEnd w:id="84"/>
      <w:bookmarkEnd w:id="85"/>
      <w:bookmarkEnd w:id="86"/>
    </w:p>
    <w:p w14:paraId="702B1F32" w14:textId="6ED262F2" w:rsidR="00265B8E" w:rsidRDefault="00265B8E" w:rsidP="002A357E">
      <w:pPr>
        <w:pStyle w:val="BodyText"/>
        <w:spacing w:after="0"/>
      </w:pPr>
      <w:r w:rsidRPr="001A2A4E">
        <w:t>ERG develop</w:t>
      </w:r>
      <w:r w:rsidR="00050091">
        <w:t>ed</w:t>
      </w:r>
      <w:r w:rsidRPr="001A2A4E">
        <w:t xml:space="preserve"> the bottle water analysis using </w:t>
      </w:r>
      <w:r w:rsidR="00050091">
        <w:t xml:space="preserve">the </w:t>
      </w:r>
      <w:r>
        <w:t>bottled water life cycle and production of bottled water packaging materials</w:t>
      </w:r>
      <w:r w:rsidR="00050091">
        <w:t xml:space="preserve"> sources</w:t>
      </w:r>
      <w:r>
        <w:t xml:space="preserve"> as follows:</w:t>
      </w:r>
    </w:p>
    <w:p w14:paraId="4158A1D2" w14:textId="77777777" w:rsidR="00265B8E" w:rsidRPr="001A2A4E" w:rsidRDefault="00265B8E" w:rsidP="00265B8E">
      <w:pPr>
        <w:pStyle w:val="BodyText"/>
        <w:spacing w:after="0"/>
        <w:ind w:firstLine="0"/>
      </w:pPr>
    </w:p>
    <w:p w14:paraId="1114C64C" w14:textId="329619F2" w:rsidR="003D5FF1" w:rsidRDefault="003D5FF1" w:rsidP="005866F1">
      <w:pPr>
        <w:pStyle w:val="ListBullet"/>
      </w:pPr>
      <w:r w:rsidRPr="00201226">
        <w:rPr>
          <w:b/>
          <w:bCs/>
        </w:rPr>
        <w:t xml:space="preserve">Municipal Drinking Water Treatment: </w:t>
      </w:r>
      <w:r w:rsidRPr="00201226">
        <w:t>Cashman, S., Gaglione, A., Mosley, J., Weiss, L., Ashbolt, N., Hawkins, T., Cashdollar, J., Xue, X., Ma, C., and Arden, S. (2014). Environmental and cost life cycle assessment of disinfection options for municipal drinking water treatment. U.S. Environmental Protection Agency, Washington, DC, EPA/600/R-14/376</w:t>
      </w:r>
    </w:p>
    <w:p w14:paraId="48EAC9B4" w14:textId="77777777" w:rsidR="00A465F6" w:rsidRDefault="002450D3" w:rsidP="005866F1">
      <w:pPr>
        <w:pStyle w:val="ListBullet"/>
      </w:pPr>
      <w:r w:rsidRPr="002450D3">
        <w:rPr>
          <w:b/>
          <w:bCs/>
        </w:rPr>
        <w:lastRenderedPageBreak/>
        <w:t xml:space="preserve">Spring Water Treatment, Reusable Jug and Plastic Bottle Assumptions: </w:t>
      </w:r>
      <w:r w:rsidRPr="00201226">
        <w:t>Oregon Department of Environmental Quality. (2009). Life Cycle Assessment of Drinking Water Systems: Bottle Water, Tap Water, and Home/Office Delivery Water. Franklin Associates, A Division of ERG, 09-LQ-104</w:t>
      </w:r>
      <w:r w:rsidR="00E267CD">
        <w:t xml:space="preserve"> </w:t>
      </w:r>
    </w:p>
    <w:p w14:paraId="650810EC" w14:textId="3BDD120D" w:rsidR="003D5FF1" w:rsidRPr="00201226" w:rsidRDefault="003D5FF1" w:rsidP="005866F1">
      <w:pPr>
        <w:pStyle w:val="ListBullet"/>
      </w:pPr>
      <w:r w:rsidRPr="00201226">
        <w:rPr>
          <w:b/>
          <w:bCs/>
        </w:rPr>
        <w:t>PET, LDPE, PP, HDPE Virgin Resin</w:t>
      </w:r>
      <w:r w:rsidR="002450D3">
        <w:rPr>
          <w:b/>
          <w:bCs/>
        </w:rPr>
        <w:t xml:space="preserve"> Production</w:t>
      </w:r>
      <w:r w:rsidRPr="00201226">
        <w:t xml:space="preserve">: American Chemistry Council (ACC). (2011a). Cradle-to-Gate LCI of Nine Plastic Resins and Two Polyurethane Precursors. Franklin </w:t>
      </w:r>
      <w:r w:rsidRPr="00F17892">
        <w:rPr>
          <w:color w:val="000000" w:themeColor="text1"/>
        </w:rPr>
        <w:t xml:space="preserve">Associates, A Division of ERG. </w:t>
      </w:r>
      <w:r w:rsidRPr="00F17892">
        <w:rPr>
          <w:rStyle w:val="Hyperlink"/>
          <w:color w:val="000000" w:themeColor="text1"/>
        </w:rPr>
        <w:t>http://plastics.americanchemistry.com/LifeCycle-Inventory-of-9-Plastics-Resins-and-4-Polyurethane-Precursors-Rpt-Only</w:t>
      </w:r>
    </w:p>
    <w:p w14:paraId="017E1A3C" w14:textId="7AA8FDD7" w:rsidR="003D5FF1" w:rsidRPr="00201226" w:rsidRDefault="003D5FF1" w:rsidP="005866F1">
      <w:pPr>
        <w:pStyle w:val="ListBullet"/>
      </w:pPr>
      <w:r w:rsidRPr="00201226">
        <w:rPr>
          <w:b/>
          <w:bCs/>
        </w:rPr>
        <w:t>PET Recycled Resin</w:t>
      </w:r>
      <w:r w:rsidR="002450D3">
        <w:rPr>
          <w:b/>
          <w:bCs/>
        </w:rPr>
        <w:t xml:space="preserve"> Production</w:t>
      </w:r>
      <w:r w:rsidRPr="00201226">
        <w:rPr>
          <w:b/>
          <w:bCs/>
        </w:rPr>
        <w:t xml:space="preserve">: </w:t>
      </w:r>
      <w:r w:rsidRPr="00201226">
        <w:t>Fr</w:t>
      </w:r>
      <w:r w:rsidRPr="00201226">
        <w:rPr>
          <w:b/>
          <w:bCs/>
        </w:rPr>
        <w:t>a</w:t>
      </w:r>
      <w:r w:rsidRPr="00201226">
        <w:t>nklin Associates. (2011). Life Cycle Inventory of 100% Postconsumer HDPE and PET Recycled Resin from Postconsumer Containers and Packaging.</w:t>
      </w:r>
    </w:p>
    <w:p w14:paraId="5DC123DF" w14:textId="06AC4741" w:rsidR="003D5FF1" w:rsidRPr="00201226" w:rsidRDefault="003D5FF1" w:rsidP="00854D34">
      <w:pPr>
        <w:pStyle w:val="ListBulletLast"/>
      </w:pPr>
      <w:r w:rsidRPr="00201226">
        <w:rPr>
          <w:b/>
          <w:bCs/>
        </w:rPr>
        <w:t>Plastic Conversion Processes</w:t>
      </w:r>
      <w:r w:rsidRPr="00201226">
        <w:t xml:space="preserve">: ACC. (2011b). Life Cycle Inventory of Plastic Fabrication Processes: Injection Molding and Thermoforming. Franklin Associates, A Division of ERG. </w:t>
      </w:r>
      <w:r w:rsidRPr="00F17892">
        <w:rPr>
          <w:rStyle w:val="Hyperlink"/>
          <w:color w:val="000000" w:themeColor="text1"/>
        </w:rPr>
        <w:t>https://plastics.americanchemistry.com/Education-Resources/Publications/LCI-of-Plastic-Fabrication-Processes-Injection-Molding-and-Thermoforming.pdf</w:t>
      </w:r>
      <w:r w:rsidRPr="00F17892">
        <w:rPr>
          <w:color w:val="000000" w:themeColor="text1"/>
        </w:rPr>
        <w:t>.</w:t>
      </w:r>
    </w:p>
    <w:p w14:paraId="543821E6" w14:textId="12CECC6F" w:rsidR="0029585B" w:rsidRDefault="0029585B" w:rsidP="0029585B">
      <w:pPr>
        <w:pStyle w:val="Heading2"/>
      </w:pPr>
      <w:bookmarkStart w:id="87" w:name="_Toc525246207"/>
      <w:bookmarkStart w:id="88" w:name="_Toc533009165"/>
      <w:bookmarkEnd w:id="70"/>
      <w:r>
        <w:t>LCA Modeling Procedure</w:t>
      </w:r>
      <w:bookmarkEnd w:id="87"/>
      <w:bookmarkEnd w:id="88"/>
    </w:p>
    <w:p w14:paraId="087960C1" w14:textId="6E70B537" w:rsidR="0029585B" w:rsidRPr="00DA1719" w:rsidRDefault="0029585B" w:rsidP="0029585B">
      <w:pPr>
        <w:pStyle w:val="BodyText"/>
        <w:rPr>
          <w:color w:val="000000" w:themeColor="text1"/>
        </w:rPr>
      </w:pPr>
      <w:r w:rsidRPr="00DA1719">
        <w:rPr>
          <w:color w:val="000000" w:themeColor="text1"/>
        </w:rPr>
        <w:t>Development of an LCA requires significant input data, an LC</w:t>
      </w:r>
      <w:r w:rsidR="00DD0EB7">
        <w:rPr>
          <w:color w:val="000000" w:themeColor="text1"/>
        </w:rPr>
        <w:t>I</w:t>
      </w:r>
      <w:r w:rsidRPr="00DA1719">
        <w:rPr>
          <w:color w:val="000000" w:themeColor="text1"/>
        </w:rPr>
        <w:t xml:space="preserve">A modeling platform, and impact assessment methods. Each unit process in the </w:t>
      </w:r>
      <w:r w:rsidR="00E44D40">
        <w:rPr>
          <w:color w:val="000000" w:themeColor="text1"/>
        </w:rPr>
        <w:t>LCI</w:t>
      </w:r>
      <w:r w:rsidRPr="00DA1719">
        <w:rPr>
          <w:color w:val="000000" w:themeColor="text1"/>
        </w:rPr>
        <w:t xml:space="preserve"> was constructed independently of all other unit processes. This allows objective review of individual data sets before their contribution to the overall life cycle results has been determined. In most cases, individual unit processes were parameterized to dynamically represent multiple </w:t>
      </w:r>
      <w:r w:rsidR="00DA1719" w:rsidRPr="00DA1719">
        <w:rPr>
          <w:color w:val="000000" w:themeColor="text1"/>
        </w:rPr>
        <w:t>scales</w:t>
      </w:r>
      <w:r w:rsidRPr="00DA1719">
        <w:rPr>
          <w:color w:val="000000" w:themeColor="text1"/>
        </w:rPr>
        <w:t xml:space="preserve"> and configurations.</w:t>
      </w:r>
    </w:p>
    <w:p w14:paraId="7DC56630" w14:textId="3C51A891" w:rsidR="004A3F68" w:rsidRPr="00C60FE8" w:rsidRDefault="0029585B" w:rsidP="00C60FE8">
      <w:pPr>
        <w:pStyle w:val="BodyText"/>
        <w:rPr>
          <w:color w:val="000000" w:themeColor="text1"/>
        </w:rPr>
      </w:pPr>
      <w:r w:rsidRPr="00E9380C">
        <w:rPr>
          <w:color w:val="000000" w:themeColor="text1"/>
        </w:rPr>
        <w:t>The model was constructed in openLCA Version 1.</w:t>
      </w:r>
      <w:r w:rsidR="002419BF" w:rsidRPr="00E9380C">
        <w:rPr>
          <w:color w:val="000000" w:themeColor="text1"/>
        </w:rPr>
        <w:t>7</w:t>
      </w:r>
      <w:r w:rsidR="008D68E5">
        <w:rPr>
          <w:color w:val="000000" w:themeColor="text1"/>
        </w:rPr>
        <w:t>.0</w:t>
      </w:r>
      <w:r w:rsidRPr="00E9380C">
        <w:rPr>
          <w:color w:val="000000" w:themeColor="text1"/>
        </w:rPr>
        <w:t>, an open-source LCA software package provided by GreenDelta (GreenDelta, 201</w:t>
      </w:r>
      <w:r w:rsidR="00D277EE">
        <w:rPr>
          <w:color w:val="000000" w:themeColor="text1"/>
        </w:rPr>
        <w:t>7</w:t>
      </w:r>
      <w:r w:rsidRPr="00E9380C">
        <w:rPr>
          <w:color w:val="000000" w:themeColor="text1"/>
        </w:rPr>
        <w:t>). This open-source format allow</w:t>
      </w:r>
      <w:r w:rsidR="008D68E5">
        <w:rPr>
          <w:color w:val="000000" w:themeColor="text1"/>
        </w:rPr>
        <w:t>s</w:t>
      </w:r>
      <w:r w:rsidRPr="00E9380C">
        <w:rPr>
          <w:color w:val="000000" w:themeColor="text1"/>
        </w:rPr>
        <w:t xml:space="preserve"> seamless sharing of the LCA model between project team members. </w:t>
      </w:r>
      <w:r w:rsidRPr="00854CBA">
        <w:t>Once all necessary data</w:t>
      </w:r>
      <w:r w:rsidR="00EE4FBC">
        <w:t xml:space="preserve"> including the primary data collected from the vendors and data assumed for this study</w:t>
      </w:r>
      <w:r w:rsidRPr="00854CBA">
        <w:t xml:space="preserve"> were input into the </w:t>
      </w:r>
      <w:r w:rsidR="00E44D40">
        <w:t>o</w:t>
      </w:r>
      <w:r w:rsidRPr="00854CBA">
        <w:t xml:space="preserve">penLCA software and reviewed, system models were created for each </w:t>
      </w:r>
      <w:r w:rsidR="00837E6F" w:rsidRPr="00854CBA">
        <w:t>technology type, scale</w:t>
      </w:r>
      <w:r w:rsidRPr="00854CBA">
        <w:t xml:space="preserve"> </w:t>
      </w:r>
      <w:r w:rsidR="00837E6F" w:rsidRPr="00854CBA">
        <w:t>and</w:t>
      </w:r>
      <w:r w:rsidRPr="00854CBA">
        <w:t xml:space="preserve"> configuration. The models were reviewed to ensure that each elementary flow (e.g., environmental emissions, consumption of natural resources, and energy demand) was characterized under each impact category for which a characterization factor was available. The  system models were also reviewed prior to calculating results to make certain all connections to upstream processes and weight factors were valid. LCIA results were then calculated by generating a contribution analysis for the selected treatment configuration product system based on the defined functional unit of treatment of 1 </w:t>
      </w:r>
      <w:r w:rsidR="00DB0F43">
        <w:t>liter of drinking water</w:t>
      </w:r>
      <w:r w:rsidRPr="00854CBA">
        <w:t xml:space="preserve">. </w:t>
      </w:r>
      <w:r w:rsidR="00E44D40">
        <w:t>Results were exported to a dynamic Excel workbook (</w:t>
      </w:r>
      <w:r w:rsidR="0065213B">
        <w:fldChar w:fldCharType="begin"/>
      </w:r>
      <w:r w:rsidR="0065213B">
        <w:instrText xml:space="preserve"> REF _Ref525245388 \r \h </w:instrText>
      </w:r>
      <w:r w:rsidR="0065213B">
        <w:fldChar w:fldCharType="separate"/>
      </w:r>
      <w:r w:rsidR="008072BC">
        <w:t>6.Appendix B</w:t>
      </w:r>
      <w:r w:rsidR="0065213B">
        <w:fldChar w:fldCharType="end"/>
      </w:r>
      <w:r w:rsidR="00E44D40">
        <w:t xml:space="preserve">). </w:t>
      </w:r>
    </w:p>
    <w:p w14:paraId="6DC74622" w14:textId="77535C1B" w:rsidR="00BD09B7" w:rsidRPr="00025306" w:rsidRDefault="004A3F68" w:rsidP="004A3F68">
      <w:pPr>
        <w:pStyle w:val="Heading2"/>
      </w:pPr>
      <w:bookmarkStart w:id="89" w:name="_Toc525246208"/>
      <w:bookmarkStart w:id="90" w:name="_Toc533009166"/>
      <w:r w:rsidRPr="00025306">
        <w:t>Cost Analysis</w:t>
      </w:r>
      <w:bookmarkEnd w:id="89"/>
      <w:bookmarkEnd w:id="90"/>
    </w:p>
    <w:p w14:paraId="36AA6645" w14:textId="1338235F" w:rsidR="00BD09B7" w:rsidRPr="002A156D" w:rsidRDefault="00BD09B7" w:rsidP="00D23C40">
      <w:pPr>
        <w:ind w:firstLine="720"/>
      </w:pPr>
      <w:r>
        <w:t xml:space="preserve">This study also includes a standardized per liter cost calculation for all the systems studied. </w:t>
      </w:r>
      <w:r w:rsidR="00D23C40">
        <w:t xml:space="preserve">The standardized price per liter of water for AWG includes a net present cost calculation of the unit price of the AWG unit and the maintenance and energy costs over the lifetime of the AWG (ten years for Watergen units and 20 years for EcoloBlue units). This discounted cost is </w:t>
      </w:r>
      <w:r w:rsidR="00D23C40">
        <w:lastRenderedPageBreak/>
        <w:t>then used to calculate the per liter cost based on the average total volume of water produced by the AWG over its lifetime. The unit and maintenance costs are provided by the vendors and the cost of electricity is calculated for the AWGs based on the U.S. average price of electricity (10.82 cents per kWh</w:t>
      </w:r>
      <w:r w:rsidR="00CB299A">
        <w:t>;</w:t>
      </w:r>
      <w:r w:rsidR="00C41991">
        <w:t xml:space="preserve"> </w:t>
      </w:r>
      <w:r w:rsidR="00D23C40">
        <w:t>EIA</w:t>
      </w:r>
      <w:r w:rsidR="00CB299A">
        <w:t>,</w:t>
      </w:r>
      <w:r w:rsidR="00D23C40">
        <w:t xml:space="preserve"> 2018). These costs are discussed in detail in </w:t>
      </w:r>
      <w:r w:rsidR="002A156D">
        <w:t>S</w:t>
      </w:r>
      <w:r w:rsidR="00D23C40">
        <w:t xml:space="preserve">ection </w:t>
      </w:r>
      <w:r w:rsidR="00D23C40">
        <w:fldChar w:fldCharType="begin"/>
      </w:r>
      <w:r w:rsidR="00D23C40">
        <w:instrText xml:space="preserve"> REF _Ref524965192 \r \h </w:instrText>
      </w:r>
      <w:r w:rsidR="00D23C40">
        <w:fldChar w:fldCharType="separate"/>
      </w:r>
      <w:r w:rsidR="008072BC">
        <w:t>4.5</w:t>
      </w:r>
      <w:r w:rsidR="00D23C40">
        <w:fldChar w:fldCharType="end"/>
      </w:r>
      <w:r w:rsidR="00D23C40">
        <w:t xml:space="preserve">. </w:t>
      </w:r>
      <w:r>
        <w:t xml:space="preserve">The standardized cost for bottled water is based on the unit price of a 24 pack (12 liters) for the </w:t>
      </w:r>
      <w:r w:rsidR="009B2365">
        <w:t>single-serve</w:t>
      </w:r>
      <w:r>
        <w:t xml:space="preserve"> bottle selected for the Poland Spring brand and the Poland Spring 5 gallon jug (18.9 liters). The monthly flat rate delivery ch</w:t>
      </w:r>
      <w:r w:rsidRPr="002A156D">
        <w:t>arge is also included in the per liter cost of the reusable jug</w:t>
      </w:r>
      <w:r w:rsidR="002A156D" w:rsidRPr="002A156D">
        <w:t>,</w:t>
      </w:r>
      <w:r w:rsidRPr="002A156D">
        <w:t xml:space="preserve"> but it is based on the assumption that 4 jugs are delivered in a month (this amount varies by household). In addition, 54.5 cents per mile of transporting the </w:t>
      </w:r>
      <w:r w:rsidR="009B2365">
        <w:t>single-serve</w:t>
      </w:r>
      <w:r w:rsidRPr="002A156D">
        <w:t xml:space="preserve"> bottle was added to the per liter cost based on the US government standard mileage reimbursement rate (IRS, 2018).</w:t>
      </w:r>
    </w:p>
    <w:p w14:paraId="365C016F" w14:textId="6757A3B9" w:rsidR="00C90E54" w:rsidRPr="002A156D" w:rsidRDefault="004A3F68" w:rsidP="00C90E54">
      <w:pPr>
        <w:pStyle w:val="Heading2"/>
      </w:pPr>
      <w:bookmarkStart w:id="91" w:name="_Toc525246209"/>
      <w:bookmarkStart w:id="92" w:name="_Toc533009167"/>
      <w:r w:rsidRPr="002A156D">
        <w:t>Data Quality and Limitations</w:t>
      </w:r>
      <w:bookmarkEnd w:id="91"/>
      <w:bookmarkEnd w:id="92"/>
    </w:p>
    <w:p w14:paraId="5D3F3C3F" w14:textId="2CC35886" w:rsidR="00C90E54" w:rsidRDefault="00C90E54" w:rsidP="00854D34">
      <w:pPr>
        <w:pStyle w:val="BodyText"/>
      </w:pPr>
      <w:r>
        <w:t xml:space="preserve">In accordance with the project’s Quality Assurance Project Plan (QAPP) entitled </w:t>
      </w:r>
      <w:bookmarkStart w:id="93" w:name="_Toc401755174"/>
      <w:bookmarkStart w:id="94" w:name="_Toc444685137"/>
      <w:r w:rsidRPr="00854D34">
        <w:rPr>
          <w:i/>
        </w:rPr>
        <w:t>Quality Assurance Project Plan</w:t>
      </w:r>
      <w:bookmarkEnd w:id="93"/>
      <w:bookmarkEnd w:id="94"/>
      <w:r w:rsidRPr="00854D34">
        <w:rPr>
          <w:i/>
        </w:rPr>
        <w:t xml:space="preserve"> for Life Cycle Considerations and Systems Analyses of Municipal Water Sustainability Assessments</w:t>
      </w:r>
      <w:r>
        <w:t xml:space="preserve"> approved by EPA on </w:t>
      </w:r>
      <w:r w:rsidR="00047C89">
        <w:t>May 9, 2018</w:t>
      </w:r>
      <w:r>
        <w:t>, ERG collected existing data</w:t>
      </w:r>
      <w:r>
        <w:rPr>
          <w:rStyle w:val="FootnoteReference"/>
        </w:rPr>
        <w:footnoteReference w:id="4"/>
      </w:r>
      <w:r>
        <w:rPr>
          <w:sz w:val="16"/>
          <w:szCs w:val="16"/>
        </w:rPr>
        <w:t xml:space="preserve"> </w:t>
      </w:r>
      <w:r>
        <w:t>to develop the LCA and cost estimates for the study and associated sensitivity analys</w:t>
      </w:r>
      <w:r w:rsidR="007D7F7C">
        <w:t>e</w:t>
      </w:r>
      <w:r>
        <w:t xml:space="preserve">s. ERG evaluated the collected information for completeness, accuracy, and reasonableness. Finally, ERG performed developmental and final product internal technical reviews of the LCA and costing methodology and calculations for this study. </w:t>
      </w:r>
    </w:p>
    <w:p w14:paraId="153E8EDA" w14:textId="0224A42E" w:rsidR="00DD3D42" w:rsidRDefault="00DD3D42" w:rsidP="00DD3D42">
      <w:pPr>
        <w:pStyle w:val="BodyText"/>
      </w:pPr>
      <w:r>
        <w:t xml:space="preserve">ERG input all LCI data developed into the openLCA v1.7.0 software </w:t>
      </w:r>
      <w:r>
        <w:fldChar w:fldCharType="begin"/>
      </w:r>
      <w:r>
        <w:instrText xml:space="preserve"> ADDIN ZOTERO_ITEM CSL_CITATION {"citationID":"uvf1SUgX","properties":{"formattedCitation":"(GreenDelta 2016)","plainCitation":"(GreenDelta 2016)"},"citationItems":[{"id":2327,"uris":["http://zotero.org/groups/1280632/items/AMPKPV53"],"uri":["http://zotero.org/groups/1280632/items/AMPKPV53"],"itemData":{"id":2327,"type":"book","title":"OpenLCA Version 1.6.3","publisher":"GreenDelta","publisher-place":"Berlin, Germany","version":"1.6.3","genre":"English","event-place":"Berlin, Germany","URL":"http://www.openlca.org/","author":[{"family":"GreenDelta","given":""}],"issued":{"date-parts":[["2016"]]}}}],"schema":"https://github.com/citation-style-language/schema/raw/master/csl-citation.json"} </w:instrText>
      </w:r>
      <w:r>
        <w:fldChar w:fldCharType="separate"/>
      </w:r>
      <w:r w:rsidRPr="008B7ECB">
        <w:t>(GreenDelta</w:t>
      </w:r>
      <w:r w:rsidR="00D277EE">
        <w:t>,</w:t>
      </w:r>
      <w:r w:rsidRPr="008B7ECB">
        <w:t xml:space="preserve"> 201</w:t>
      </w:r>
      <w:r w:rsidR="00D277EE">
        <w:t>7</w:t>
      </w:r>
      <w:r w:rsidRPr="008B7ECB">
        <w:t>)</w:t>
      </w:r>
      <w:r>
        <w:fldChar w:fldCharType="end"/>
      </w:r>
      <w:r>
        <w:t xml:space="preserve">. A team member knowledgeable </w:t>
      </w:r>
      <w:r w:rsidR="0056645A">
        <w:t>about</w:t>
      </w:r>
      <w:r>
        <w:t xml:space="preserve"> the project, but who did not develop the model, reviewed the </w:t>
      </w:r>
      <w:r w:rsidR="002A156D">
        <w:t>o</w:t>
      </w:r>
      <w:r>
        <w:t>penLCA model to ensure the accuracy of the data transcribed into the software.</w:t>
      </w:r>
    </w:p>
    <w:p w14:paraId="1BFB0FCC" w14:textId="0E913B5F" w:rsidR="00DD3D42" w:rsidRDefault="00DD3D42" w:rsidP="00DD3D42">
      <w:pPr>
        <w:pStyle w:val="BodyText"/>
      </w:pPr>
      <w:r>
        <w:t>LCI information that falls outside of the system boundary include installation or moving the AWG from the location of delivery to the location of use</w:t>
      </w:r>
      <w:r w:rsidR="009653DB">
        <w:t xml:space="preserve"> such as the use of </w:t>
      </w:r>
      <w:r w:rsidR="00723C14">
        <w:t>forklift</w:t>
      </w:r>
      <w:r w:rsidR="009653DB">
        <w:t xml:space="preserve"> etc</w:t>
      </w:r>
      <w:r>
        <w:t>.</w:t>
      </w:r>
      <w:r w:rsidR="009653DB">
        <w:t xml:space="preserve"> </w:t>
      </w:r>
      <w:r w:rsidR="002A156D">
        <w:t xml:space="preserve">Assembly of the AWG unit following raw material production is excluded due to lack of available data. </w:t>
      </w:r>
      <w:r w:rsidR="009653DB">
        <w:t>Also excluded are potential delivery systems such as the use of plastic disposable cups as opposed to reusable glass container for drinking water or retrofitting the delivery of water from AWG into the existing pipe infrastructure of a building.</w:t>
      </w:r>
      <w:r>
        <w:t xml:space="preserve"> </w:t>
      </w:r>
      <w:r w:rsidR="00723C14">
        <w:t>Additionally, t</w:t>
      </w:r>
      <w:r w:rsidR="00F802DE">
        <w:t xml:space="preserve">he production and disposal of the glass container is excluded from the analysis. </w:t>
      </w:r>
      <w:r>
        <w:t>More general LCI limitations that readers should understand when interpreting the data and findings are as follows:</w:t>
      </w:r>
    </w:p>
    <w:p w14:paraId="0999CD58" w14:textId="5068171E" w:rsidR="00DD3D42" w:rsidRPr="00DA0FC2" w:rsidRDefault="00DD3D42" w:rsidP="005866F1">
      <w:pPr>
        <w:pStyle w:val="ListBullet"/>
        <w:rPr>
          <w:b/>
        </w:rPr>
      </w:pPr>
      <w:r>
        <w:rPr>
          <w:b/>
        </w:rPr>
        <w:t xml:space="preserve">Transferability of Results. </w:t>
      </w:r>
      <w:r w:rsidRPr="002A36DF">
        <w:t xml:space="preserve">While this study is intended to </w:t>
      </w:r>
      <w:r>
        <w:t xml:space="preserve">inform decision-making </w:t>
      </w:r>
      <w:r w:rsidR="009653DB">
        <w:t>around best options for potable water supply in times of emergencies</w:t>
      </w:r>
      <w:r>
        <w:t xml:space="preserve">, the </w:t>
      </w:r>
      <w:r w:rsidRPr="002A36DF">
        <w:t xml:space="preserve">data </w:t>
      </w:r>
      <w:r>
        <w:t>presented here relates to specifi</w:t>
      </w:r>
      <w:r w:rsidR="009653DB">
        <w:t xml:space="preserve">c AWG vendors and bottled water </w:t>
      </w:r>
      <w:r w:rsidR="009206DF">
        <w:t>available in the market</w:t>
      </w:r>
      <w:r w:rsidRPr="002A36DF">
        <w:t xml:space="preserve">. </w:t>
      </w:r>
      <w:r>
        <w:t xml:space="preserve">Further work is recommended to understand the variability of key parameters across different </w:t>
      </w:r>
      <w:r w:rsidR="009653DB">
        <w:t xml:space="preserve">environmental </w:t>
      </w:r>
      <w:r>
        <w:t>conditions</w:t>
      </w:r>
      <w:r w:rsidR="009653DB">
        <w:t xml:space="preserve"> </w:t>
      </w:r>
      <w:r>
        <w:t xml:space="preserve">and </w:t>
      </w:r>
      <w:r w:rsidR="009653DB">
        <w:t xml:space="preserve">parameter </w:t>
      </w:r>
      <w:r>
        <w:t>configurations.</w:t>
      </w:r>
      <w:r w:rsidR="002A156D">
        <w:t xml:space="preserve"> The results are only intended to address the specific indicators covered. Other potential benefits of the AWG system, such as accessibility in emergency conditions, are not addressed and should be investigated separately.</w:t>
      </w:r>
    </w:p>
    <w:p w14:paraId="6C676057" w14:textId="2C8DAB40" w:rsidR="00DD3D42" w:rsidRDefault="00DD3D42" w:rsidP="005866F1">
      <w:pPr>
        <w:pStyle w:val="ListBullet"/>
        <w:rPr>
          <w:b/>
        </w:rPr>
      </w:pPr>
      <w:r>
        <w:rPr>
          <w:b/>
        </w:rPr>
        <w:lastRenderedPageBreak/>
        <w:t>Representativeness of Background Data.</w:t>
      </w:r>
      <w:r>
        <w:t xml:space="preserve"> Background processes</w:t>
      </w:r>
      <w:r w:rsidRPr="002A36DF">
        <w:t xml:space="preserve"> are representative of </w:t>
      </w:r>
      <w:r>
        <w:t xml:space="preserve">either </w:t>
      </w:r>
      <w:r w:rsidRPr="002A36DF">
        <w:t xml:space="preserve">U.S. average </w:t>
      </w:r>
      <w:r>
        <w:t xml:space="preserve">data </w:t>
      </w:r>
      <w:r w:rsidRPr="002A36DF">
        <w:t xml:space="preserve">(in the case of data from </w:t>
      </w:r>
      <w:r>
        <w:t xml:space="preserve">U.S. EPA or </w:t>
      </w:r>
      <w:r w:rsidRPr="002A36DF">
        <w:t xml:space="preserve">U.S. LCI) or European average (in the case of </w:t>
      </w:r>
      <w:r>
        <w:t>E</w:t>
      </w:r>
      <w:r w:rsidRPr="002A36DF">
        <w:t>coinvent) data.</w:t>
      </w:r>
      <w:r>
        <w:t xml:space="preserve"> In some cases, European Ecoinvent processes were used to represent U.S. inputs to the model due to lack of available representative U.S. processes for these inputs. The background data, however, met the criteria listed in the project QAPP for completeness, representativeness, accuracy, and reliability.</w:t>
      </w:r>
    </w:p>
    <w:p w14:paraId="66673602" w14:textId="5BD8F638" w:rsidR="00DD3D42" w:rsidRPr="002A156D" w:rsidRDefault="00DD3D42" w:rsidP="00DD3D42">
      <w:pPr>
        <w:pStyle w:val="ListBullet"/>
        <w:sectPr w:rsidR="00DD3D42" w:rsidRPr="002A156D" w:rsidSect="008F3560">
          <w:headerReference w:type="default" r:id="rId31"/>
          <w:footerReference w:type="default" r:id="rId32"/>
          <w:pgSz w:w="12240" w:h="15840" w:code="1"/>
          <w:pgMar w:top="1440" w:right="1440" w:bottom="1440" w:left="1440" w:header="720" w:footer="720" w:gutter="0"/>
          <w:pgNumType w:start="1" w:chapStyle="1"/>
          <w:cols w:space="720"/>
          <w:docGrid w:linePitch="326"/>
        </w:sectPr>
      </w:pPr>
      <w:r w:rsidRPr="005455C8">
        <w:rPr>
          <w:b/>
        </w:rPr>
        <w:t xml:space="preserve">Data Accuracy and Uncertainty. </w:t>
      </w:r>
      <w:r>
        <w:t>In a complex study with thousands of numeric entries, the accuracy of the data and how it affects conclusions is truly a difficult subject, and one that does not lend itself to standard error analysis techniques. The reader should keep in mind the uncertainty associated with LCI models when interpreting the results. Comparative conclusions should not be drawn based on small differences in impact results</w:t>
      </w:r>
      <w:bookmarkStart w:id="95" w:name="_Toc459114226"/>
      <w:bookmarkStart w:id="96" w:name="_Toc461276399"/>
      <w:bookmarkStart w:id="97" w:name="_Toc461276400"/>
      <w:bookmarkStart w:id="98" w:name="_Toc461276401"/>
      <w:bookmarkStart w:id="99" w:name="_Toc461276402"/>
      <w:bookmarkStart w:id="100" w:name="_Toc461276403"/>
      <w:bookmarkStart w:id="101" w:name="_Toc461276404"/>
      <w:bookmarkStart w:id="102" w:name="_Toc461276405"/>
      <w:bookmarkStart w:id="103" w:name="_Toc461276406"/>
      <w:bookmarkStart w:id="104" w:name="_Toc461276407"/>
      <w:bookmarkStart w:id="105" w:name="_Toc461276408"/>
      <w:bookmarkStart w:id="106" w:name="_Toc461276409"/>
      <w:bookmarkStart w:id="107" w:name="_Toc461276410"/>
      <w:bookmarkStart w:id="108" w:name="_Toc461276411"/>
      <w:bookmarkStart w:id="109" w:name="_Toc461276467"/>
      <w:bookmarkStart w:id="110" w:name="_Toc461276472"/>
      <w:bookmarkStart w:id="111" w:name="_Toc461276473"/>
      <w:bookmarkStart w:id="112" w:name="_Toc461276474"/>
      <w:bookmarkStart w:id="113" w:name="_Toc461276475"/>
      <w:bookmarkStart w:id="114" w:name="_Toc461276501"/>
      <w:bookmarkStart w:id="115" w:name="_Toc459114230"/>
      <w:bookmarkStart w:id="116" w:name="_Toc461276506"/>
      <w:bookmarkStart w:id="117" w:name="_Toc461522211"/>
      <w:bookmarkStart w:id="118" w:name="_Toc461276507"/>
      <w:bookmarkStart w:id="119" w:name="_Toc461276508"/>
      <w:bookmarkStart w:id="120" w:name="_Toc459114232"/>
      <w:bookmarkStart w:id="121" w:name="_Toc461276547"/>
      <w:bookmarkStart w:id="122" w:name="_Toc461522213"/>
      <w:bookmarkStart w:id="123" w:name="_Toc461276548"/>
      <w:bookmarkStart w:id="124" w:name="_Toc461276549"/>
      <w:bookmarkStart w:id="125" w:name="_Toc461276550"/>
      <w:bookmarkStart w:id="126" w:name="_Toc459114234"/>
      <w:bookmarkStart w:id="127" w:name="_Toc461276596"/>
      <w:bookmarkStart w:id="128" w:name="_Toc461522215"/>
      <w:bookmarkStart w:id="129" w:name="_Toc461276597"/>
      <w:bookmarkStart w:id="130" w:name="_Toc461276598"/>
      <w:bookmarkStart w:id="131" w:name="_Toc461276599"/>
      <w:bookmarkStart w:id="132" w:name="_Toc461276628"/>
      <w:bookmarkStart w:id="133" w:name="_Toc459114236"/>
      <w:bookmarkStart w:id="134" w:name="_Toc461276633"/>
      <w:bookmarkStart w:id="135" w:name="_Toc461276634"/>
      <w:bookmarkStart w:id="136" w:name="_Toc461276635"/>
      <w:bookmarkStart w:id="137" w:name="_Toc459114238"/>
      <w:bookmarkStart w:id="138" w:name="_Toc461276678"/>
      <w:bookmarkStart w:id="139" w:name="_Toc461276679"/>
      <w:bookmarkStart w:id="140" w:name="_Toc461276680"/>
      <w:bookmarkStart w:id="141" w:name="_Toc461276681"/>
      <w:bookmarkStart w:id="142" w:name="_Toc461276712"/>
      <w:bookmarkStart w:id="143" w:name="_Toc459114240"/>
      <w:bookmarkStart w:id="144" w:name="_Toc461276717"/>
      <w:bookmarkStart w:id="145" w:name="_Toc461276718"/>
      <w:bookmarkStart w:id="146" w:name="_Toc461276719"/>
      <w:bookmarkStart w:id="147" w:name="_Toc461276720"/>
      <w:bookmarkStart w:id="148" w:name="_Toc459114242"/>
      <w:bookmarkStart w:id="149" w:name="_Toc461276756"/>
      <w:bookmarkStart w:id="150" w:name="_Toc461276757"/>
      <w:bookmarkStart w:id="151" w:name="_Toc461276758"/>
      <w:bookmarkStart w:id="152" w:name="_Toc461276759"/>
      <w:bookmarkStart w:id="153" w:name="_Toc461276795"/>
      <w:bookmarkStart w:id="154" w:name="_Toc461276796"/>
      <w:bookmarkStart w:id="155" w:name="_Toc461276797"/>
      <w:bookmarkStart w:id="156" w:name="_Toc461276798"/>
      <w:bookmarkStart w:id="157" w:name="_Toc461276834"/>
      <w:bookmarkStart w:id="158" w:name="_Toc461276835"/>
      <w:bookmarkStart w:id="159" w:name="_Toc461276836"/>
      <w:bookmarkStart w:id="160" w:name="_Toc461276867"/>
      <w:bookmarkStart w:id="161" w:name="_Toc461522278"/>
      <w:bookmarkStart w:id="162" w:name="_Toc459114246"/>
      <w:bookmarkStart w:id="163" w:name="_Toc461276872"/>
      <w:bookmarkStart w:id="164" w:name="_Toc461522281"/>
      <w:bookmarkStart w:id="165" w:name="_Toc461276873"/>
      <w:bookmarkStart w:id="166" w:name="_Toc461276874"/>
      <w:bookmarkStart w:id="167" w:name="_Toc461276875"/>
      <w:bookmarkStart w:id="168" w:name="_Toc459114248"/>
      <w:bookmarkStart w:id="169" w:name="_Toc461276911"/>
      <w:bookmarkStart w:id="170" w:name="_Toc461522312"/>
      <w:bookmarkStart w:id="171" w:name="_Toc459114249"/>
      <w:bookmarkStart w:id="172" w:name="_Toc461276912"/>
      <w:bookmarkStart w:id="173" w:name="_Toc461522313"/>
      <w:bookmarkStart w:id="174" w:name="_Toc459114250"/>
      <w:bookmarkStart w:id="175" w:name="_Toc461276913"/>
      <w:bookmarkStart w:id="176" w:name="_Toc461522314"/>
      <w:bookmarkStart w:id="177" w:name="_Toc459114251"/>
      <w:bookmarkStart w:id="178" w:name="_Toc461276914"/>
      <w:bookmarkStart w:id="179" w:name="_Toc461522315"/>
      <w:bookmarkStart w:id="180" w:name="_Toc449610180"/>
      <w:bookmarkStart w:id="181" w:name="_Toc449610181"/>
      <w:bookmarkStart w:id="182" w:name="_Toc449610182"/>
      <w:bookmarkStart w:id="183" w:name="_Toc449610183"/>
      <w:bookmarkStart w:id="184" w:name="_Toc449610184"/>
      <w:bookmarkStart w:id="185" w:name="_Toc449610185"/>
      <w:bookmarkStart w:id="186" w:name="_Toc449610186"/>
      <w:bookmarkStart w:id="187" w:name="_Toc449610187"/>
      <w:bookmarkStart w:id="188" w:name="_Toc449610188"/>
      <w:bookmarkStart w:id="189" w:name="_Toc449610189"/>
      <w:bookmarkStart w:id="190" w:name="_Toc449610190"/>
      <w:bookmarkStart w:id="191" w:name="_Toc449610191"/>
      <w:bookmarkStart w:id="192" w:name="_Toc449610192"/>
      <w:bookmarkStart w:id="193" w:name="_Toc449610193"/>
      <w:bookmarkStart w:id="194" w:name="_Toc449610229"/>
      <w:bookmarkStart w:id="195" w:name="_Toc449610230"/>
      <w:bookmarkStart w:id="196" w:name="_Toc449610231"/>
      <w:bookmarkStart w:id="197" w:name="_Toc449610232"/>
      <w:bookmarkStart w:id="198" w:name="_Toc449610233"/>
      <w:bookmarkStart w:id="199" w:name="_Toc449610275"/>
      <w:bookmarkStart w:id="200" w:name="_Toc449610276"/>
      <w:bookmarkStart w:id="201" w:name="_Toc449610277"/>
      <w:bookmarkStart w:id="202" w:name="_Toc449610278"/>
      <w:bookmarkStart w:id="203" w:name="_Toc449610279"/>
      <w:bookmarkStart w:id="204" w:name="_Toc449610280"/>
      <w:bookmarkStart w:id="205" w:name="_Toc449610281"/>
      <w:bookmarkStart w:id="206" w:name="_Toc449610348"/>
      <w:bookmarkStart w:id="207" w:name="_Toc449610353"/>
      <w:bookmarkStart w:id="208" w:name="_Toc449610354"/>
      <w:bookmarkStart w:id="209" w:name="_Toc449610355"/>
      <w:bookmarkStart w:id="210" w:name="_Toc449610356"/>
      <w:bookmarkStart w:id="211" w:name="_Toc449610357"/>
      <w:bookmarkStart w:id="212" w:name="_Toc449610399"/>
      <w:bookmarkStart w:id="213" w:name="_Toc449610400"/>
      <w:bookmarkStart w:id="214" w:name="_Toc449610401"/>
      <w:bookmarkStart w:id="215" w:name="_Toc449610402"/>
      <w:bookmarkStart w:id="216" w:name="_Toc449610439"/>
      <w:bookmarkStart w:id="217" w:name="_Toc449610444"/>
      <w:bookmarkStart w:id="218" w:name="_Toc449610445"/>
      <w:bookmarkStart w:id="219" w:name="_Toc449610446"/>
      <w:bookmarkStart w:id="220" w:name="_Toc449610447"/>
      <w:bookmarkStart w:id="221" w:name="_Toc449610448"/>
      <w:bookmarkStart w:id="222" w:name="_Toc449610490"/>
      <w:bookmarkStart w:id="223" w:name="_Toc449610491"/>
      <w:bookmarkStart w:id="224" w:name="_Toc449610492"/>
      <w:bookmarkStart w:id="225" w:name="_Toc449610493"/>
      <w:bookmarkStart w:id="226" w:name="_Toc449610494"/>
      <w:bookmarkStart w:id="227" w:name="_Toc449610531"/>
      <w:bookmarkStart w:id="228" w:name="_Toc449610536"/>
      <w:bookmarkStart w:id="229" w:name="_Toc449610537"/>
      <w:bookmarkStart w:id="230" w:name="_Toc449610538"/>
      <w:bookmarkStart w:id="231" w:name="_Toc449610539"/>
      <w:bookmarkStart w:id="232" w:name="_Toc449610540"/>
      <w:bookmarkStart w:id="233" w:name="_Toc449610582"/>
      <w:bookmarkStart w:id="234" w:name="_Toc449610583"/>
      <w:bookmarkStart w:id="235" w:name="_Toc449610584"/>
      <w:bookmarkStart w:id="236" w:name="_Toc449610585"/>
      <w:bookmarkStart w:id="237" w:name="_Toc449610586"/>
      <w:bookmarkStart w:id="238" w:name="_Toc449610640"/>
      <w:bookmarkStart w:id="239" w:name="_Toc449610641"/>
      <w:bookmarkStart w:id="240" w:name="_Toc449610642"/>
      <w:bookmarkStart w:id="241" w:name="_Toc449610643"/>
      <w:bookmarkStart w:id="242" w:name="_Toc449610644"/>
      <w:bookmarkStart w:id="243" w:name="_Toc449610670"/>
      <w:bookmarkStart w:id="244" w:name="_Toc449610675"/>
      <w:bookmarkStart w:id="245" w:name="_Toc449610676"/>
      <w:bookmarkStart w:id="246" w:name="_Toc449610677"/>
      <w:bookmarkStart w:id="247" w:name="_Toc449610678"/>
      <w:bookmarkStart w:id="248" w:name="_Toc449610679"/>
      <w:bookmarkStart w:id="249" w:name="_Toc449610715"/>
      <w:bookmarkStart w:id="250" w:name="_Toc449610720"/>
      <w:bookmarkStart w:id="251" w:name="_Toc449610721"/>
      <w:bookmarkStart w:id="252" w:name="_Toc449610722"/>
      <w:bookmarkStart w:id="253" w:name="_Toc449610723"/>
      <w:bookmarkStart w:id="254" w:name="_Toc449610724"/>
      <w:bookmarkStart w:id="255" w:name="_Toc461276915"/>
      <w:bookmarkStart w:id="256" w:name="_Toc461276916"/>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002A156D">
        <w:t>. A number of sensitivity analyses were conducted to address uncertainty in the inventory inputs.</w:t>
      </w:r>
    </w:p>
    <w:p w14:paraId="04642C80" w14:textId="15D206CC" w:rsidR="00D563AA" w:rsidRDefault="00D563AA" w:rsidP="00D563AA">
      <w:pPr>
        <w:pStyle w:val="Heading1"/>
      </w:pPr>
      <w:bookmarkStart w:id="257" w:name="_Toc447546933"/>
      <w:bookmarkStart w:id="258" w:name="_Toc447547013"/>
      <w:bookmarkStart w:id="259" w:name="_Toc525246210"/>
      <w:bookmarkStart w:id="260" w:name="_Toc533009168"/>
      <w:bookmarkStart w:id="261" w:name="_Ref449690692"/>
      <w:bookmarkEnd w:id="257"/>
      <w:bookmarkEnd w:id="258"/>
      <w:r>
        <w:lastRenderedPageBreak/>
        <w:t>Scenario and Sensitivity Analyses</w:t>
      </w:r>
      <w:bookmarkEnd w:id="259"/>
      <w:bookmarkEnd w:id="260"/>
    </w:p>
    <w:p w14:paraId="355B6E6B" w14:textId="1D5F5B8B" w:rsidR="00EA5231" w:rsidRPr="00EA5231" w:rsidRDefault="00EA5231" w:rsidP="00854D34">
      <w:pPr>
        <w:pStyle w:val="BodyText"/>
      </w:pPr>
      <w:r>
        <w:t xml:space="preserve">LCAs inherently involve making assumptions. To test the influence of the assumptions made in an LCA model, it is important to conduct sensitivity analyses. To carry out a sensitivity analysis, the assumption of interest is changed and the entire LCA is recalculated. A sensitivity analysis helps interpret the magnitude of the effect of an assumption on the LCA results. The subsequent sections describe the sensitivity analyses conducted for the AWG and bottled water systems, respectively. Sensitivity analyses results are discussed in Section </w:t>
      </w:r>
      <w:r>
        <w:fldChar w:fldCharType="begin"/>
      </w:r>
      <w:r>
        <w:instrText xml:space="preserve"> REF _Ref524950725 \r \h </w:instrText>
      </w:r>
      <w:r>
        <w:fldChar w:fldCharType="separate"/>
      </w:r>
      <w:r w:rsidR="008072BC">
        <w:t>4.4</w:t>
      </w:r>
      <w:r>
        <w:fldChar w:fldCharType="end"/>
      </w:r>
      <w:r>
        <w:t>.</w:t>
      </w:r>
    </w:p>
    <w:p w14:paraId="120BE911" w14:textId="4D10FD06" w:rsidR="00D563AA" w:rsidRDefault="00D563AA" w:rsidP="00D563AA">
      <w:pPr>
        <w:pStyle w:val="Heading2"/>
      </w:pPr>
      <w:bookmarkStart w:id="262" w:name="_Toc525246211"/>
      <w:bookmarkStart w:id="263" w:name="_Ref530755207"/>
      <w:bookmarkStart w:id="264" w:name="_Toc533009169"/>
      <w:r>
        <w:t>AWG Scenarios Evaluated</w:t>
      </w:r>
      <w:bookmarkEnd w:id="262"/>
      <w:bookmarkEnd w:id="263"/>
      <w:bookmarkEnd w:id="264"/>
    </w:p>
    <w:p w14:paraId="1B14B07C" w14:textId="4FC76E78" w:rsidR="00A925BA" w:rsidRDefault="00A925BA" w:rsidP="00854D34">
      <w:pPr>
        <w:pStyle w:val="BodyText"/>
      </w:pPr>
      <w:bookmarkStart w:id="265" w:name="_Hlk510705136"/>
      <w:r>
        <w:t xml:space="preserve">ERG </w:t>
      </w:r>
      <w:r w:rsidR="00AF14FC">
        <w:t>has</w:t>
      </w:r>
      <w:r>
        <w:t xml:space="preserve"> include</w:t>
      </w:r>
      <w:r w:rsidR="00AF14FC">
        <w:t>d</w:t>
      </w:r>
      <w:r>
        <w:t xml:space="preserve"> multiple options for </w:t>
      </w:r>
      <w:r w:rsidR="00B41CC9">
        <w:t xml:space="preserve">the </w:t>
      </w:r>
      <w:r>
        <w:t xml:space="preserve">location of AWG use as climate conditions such as temperature and relative humidity may affect the AWG performance. Most AWGs operate well in temperatures ranging from 0 to 60 degrees Celsius and relative humidity between 25 and 100 percent. </w:t>
      </w:r>
      <w:r w:rsidR="00571216">
        <w:t xml:space="preserve">We have </w:t>
      </w:r>
      <w:r w:rsidR="00C60FE8">
        <w:t xml:space="preserve">modeled the minimum and maximum volume produced for a range of temperature and relative humidity combinations </w:t>
      </w:r>
      <w:r w:rsidR="00571216">
        <w:t>for the AWG units and scales</w:t>
      </w:r>
      <w:r w:rsidR="00180D0F">
        <w:t xml:space="preserve"> provided by the vendors</w:t>
      </w:r>
      <w:r w:rsidR="00C60FE8">
        <w:t>.</w:t>
      </w:r>
      <w:r w:rsidR="0028049C">
        <w:t xml:space="preserve"> </w:t>
      </w:r>
      <w:r w:rsidR="00C60FE8">
        <w:t>We also ran scenarios representing the four eG</w:t>
      </w:r>
      <w:r w:rsidR="007144ED">
        <w:t>RID</w:t>
      </w:r>
      <w:r w:rsidR="00C60FE8">
        <w:t xml:space="preserve"> locations selected for the AWG units (see </w:t>
      </w:r>
      <w:r w:rsidR="003F6FAC">
        <w:t>S</w:t>
      </w:r>
      <w:r w:rsidR="00C60FE8">
        <w:t xml:space="preserve">ection </w:t>
      </w:r>
      <w:r w:rsidR="00C60FE8">
        <w:fldChar w:fldCharType="begin"/>
      </w:r>
      <w:r w:rsidR="00C60FE8">
        <w:instrText xml:space="preserve"> REF _Ref525073385 \r \h </w:instrText>
      </w:r>
      <w:r w:rsidR="00C60FE8">
        <w:fldChar w:fldCharType="separate"/>
      </w:r>
      <w:r w:rsidR="008072BC">
        <w:t>2.1.3</w:t>
      </w:r>
      <w:r w:rsidR="00C60FE8">
        <w:fldChar w:fldCharType="end"/>
      </w:r>
      <w:r w:rsidR="00C60FE8">
        <w:t xml:space="preserve"> for details).</w:t>
      </w:r>
    </w:p>
    <w:p w14:paraId="1FC7A74C" w14:textId="717F98F3" w:rsidR="00A925BA" w:rsidRDefault="00A925BA" w:rsidP="00854D34">
      <w:pPr>
        <w:pStyle w:val="BodyText"/>
      </w:pPr>
      <w:r>
        <w:t xml:space="preserve">The relative humidity and temperature may vary slightly for LCAs developed for AWG </w:t>
      </w:r>
      <w:r w:rsidR="008945F1">
        <w:t>scales</w:t>
      </w:r>
      <w:r>
        <w:t xml:space="preserve"> and/or vendors based on available data. </w:t>
      </w:r>
      <w:bookmarkEnd w:id="265"/>
      <w:r w:rsidR="00AF14FC">
        <w:t xml:space="preserve">The AWG performance by scale and under varying relative humidity and temperature ranges are provided in </w:t>
      </w:r>
      <w:r w:rsidR="008945F1">
        <w:fldChar w:fldCharType="begin"/>
      </w:r>
      <w:r w:rsidR="008945F1">
        <w:instrText xml:space="preserve"> REF _Ref524356079 \h </w:instrText>
      </w:r>
      <w:r w:rsidR="008945F1">
        <w:fldChar w:fldCharType="separate"/>
      </w:r>
      <w:r w:rsidR="008072BC">
        <w:t xml:space="preserve">Table </w:t>
      </w:r>
      <w:r w:rsidR="008072BC">
        <w:rPr>
          <w:noProof/>
        </w:rPr>
        <w:t>6</w:t>
      </w:r>
      <w:r w:rsidR="008945F1">
        <w:fldChar w:fldCharType="end"/>
      </w:r>
      <w:r w:rsidR="008945F1">
        <w:t>.</w:t>
      </w:r>
    </w:p>
    <w:tbl>
      <w:tblPr>
        <w:tblW w:w="9340" w:type="dxa"/>
        <w:jc w:val="center"/>
        <w:tblCellMar>
          <w:left w:w="0" w:type="dxa"/>
          <w:right w:w="0" w:type="dxa"/>
        </w:tblCellMar>
        <w:tblLook w:val="04A0" w:firstRow="1" w:lastRow="0" w:firstColumn="1" w:lastColumn="0" w:noHBand="0" w:noVBand="1"/>
      </w:tblPr>
      <w:tblGrid>
        <w:gridCol w:w="1793"/>
        <w:gridCol w:w="1257"/>
        <w:gridCol w:w="1260"/>
        <w:gridCol w:w="1350"/>
        <w:gridCol w:w="1350"/>
        <w:gridCol w:w="1282"/>
        <w:gridCol w:w="1048"/>
      </w:tblGrid>
      <w:tr w:rsidR="001739C3" w:rsidRPr="00102BE4" w14:paraId="49D492D3" w14:textId="77777777" w:rsidTr="001739C3">
        <w:trPr>
          <w:trHeight w:val="285"/>
          <w:tblHeader/>
          <w:jc w:val="center"/>
        </w:trPr>
        <w:tc>
          <w:tcPr>
            <w:tcW w:w="9340" w:type="dxa"/>
            <w:gridSpan w:val="7"/>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tcPr>
          <w:p w14:paraId="38810CCB" w14:textId="1826877B" w:rsidR="001739C3" w:rsidRPr="001739C3" w:rsidRDefault="001739C3" w:rsidP="001739C3">
            <w:pPr>
              <w:pStyle w:val="TableTitle"/>
              <w:rPr>
                <w:rFonts w:asciiTheme="majorHAnsi" w:hAnsiTheme="majorHAnsi" w:cstheme="majorHAnsi"/>
                <w:bCs/>
                <w:color w:val="000000" w:themeColor="text1"/>
                <w:sz w:val="20"/>
              </w:rPr>
            </w:pPr>
            <w:bookmarkStart w:id="266" w:name="_Ref524356079"/>
            <w:bookmarkStart w:id="267" w:name="_Toc524636926"/>
            <w:bookmarkStart w:id="268" w:name="_Toc533009186"/>
            <w:r>
              <w:t xml:space="preserve">Table </w:t>
            </w:r>
            <w:r>
              <w:rPr>
                <w:noProof/>
              </w:rPr>
              <w:fldChar w:fldCharType="begin"/>
            </w:r>
            <w:r>
              <w:rPr>
                <w:noProof/>
              </w:rPr>
              <w:instrText xml:space="preserve"> SEQ Table \* ARABIC </w:instrText>
            </w:r>
            <w:r>
              <w:rPr>
                <w:noProof/>
              </w:rPr>
              <w:fldChar w:fldCharType="separate"/>
            </w:r>
            <w:r w:rsidR="008072BC">
              <w:rPr>
                <w:noProof/>
              </w:rPr>
              <w:t>6</w:t>
            </w:r>
            <w:r>
              <w:rPr>
                <w:noProof/>
              </w:rPr>
              <w:fldChar w:fldCharType="end"/>
            </w:r>
            <w:bookmarkEnd w:id="266"/>
            <w:r>
              <w:t>. AWG Performance by Scale and Vendor</w:t>
            </w:r>
            <w:bookmarkEnd w:id="267"/>
            <w:bookmarkEnd w:id="268"/>
          </w:p>
        </w:tc>
      </w:tr>
      <w:tr w:rsidR="00C172EC" w:rsidRPr="00102BE4" w14:paraId="5A93236B" w14:textId="4CBCE685" w:rsidTr="001739C3">
        <w:trPr>
          <w:trHeight w:val="285"/>
          <w:tblHeader/>
          <w:jc w:val="center"/>
        </w:trPr>
        <w:tc>
          <w:tcPr>
            <w:tcW w:w="1793"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tcPr>
          <w:p w14:paraId="7E2754C2" w14:textId="5E8ABAC0" w:rsidR="00C172EC" w:rsidRPr="001739C3" w:rsidRDefault="00C172EC" w:rsidP="0064215E">
            <w:pPr>
              <w:rPr>
                <w:rFonts w:asciiTheme="majorHAnsi" w:hAnsiTheme="majorHAnsi" w:cstheme="majorHAnsi"/>
                <w:b/>
                <w:color w:val="000000" w:themeColor="text1"/>
                <w:sz w:val="20"/>
              </w:rPr>
            </w:pPr>
            <w:r w:rsidRPr="001739C3">
              <w:rPr>
                <w:rFonts w:asciiTheme="majorHAnsi" w:hAnsiTheme="majorHAnsi" w:cstheme="majorHAnsi"/>
                <w:b/>
                <w:color w:val="000000" w:themeColor="text1"/>
                <w:sz w:val="20"/>
              </w:rPr>
              <w:t>Vendor</w:t>
            </w:r>
          </w:p>
        </w:tc>
        <w:tc>
          <w:tcPr>
            <w:tcW w:w="3867" w:type="dxa"/>
            <w:gridSpan w:val="3"/>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tcPr>
          <w:p w14:paraId="1991D29F" w14:textId="1657B03F" w:rsidR="00C172EC" w:rsidRPr="001739C3" w:rsidRDefault="00C172EC" w:rsidP="00C172EC">
            <w:pPr>
              <w:jc w:val="center"/>
              <w:rPr>
                <w:rFonts w:asciiTheme="majorHAnsi" w:hAnsiTheme="majorHAnsi" w:cstheme="majorHAnsi"/>
                <w:b/>
                <w:bCs/>
                <w:color w:val="000000" w:themeColor="text1"/>
                <w:sz w:val="20"/>
              </w:rPr>
            </w:pPr>
            <w:r w:rsidRPr="001739C3">
              <w:rPr>
                <w:rFonts w:asciiTheme="majorHAnsi" w:hAnsiTheme="majorHAnsi" w:cstheme="majorHAnsi"/>
                <w:b/>
                <w:bCs/>
                <w:color w:val="000000" w:themeColor="text1"/>
                <w:sz w:val="20"/>
              </w:rPr>
              <w:t>Watergen</w:t>
            </w:r>
          </w:p>
        </w:tc>
        <w:tc>
          <w:tcPr>
            <w:tcW w:w="3680" w:type="dxa"/>
            <w:gridSpan w:val="3"/>
            <w:tcBorders>
              <w:top w:val="single" w:sz="8" w:space="0" w:color="FFFFFF"/>
              <w:left w:val="single" w:sz="8" w:space="0" w:color="FFFFFF"/>
              <w:bottom w:val="single" w:sz="24" w:space="0" w:color="FFFFFF"/>
              <w:right w:val="single" w:sz="8" w:space="0" w:color="FFFFFF"/>
            </w:tcBorders>
            <w:shd w:val="clear" w:color="auto" w:fill="BBE0E3"/>
          </w:tcPr>
          <w:p w14:paraId="05E4539D" w14:textId="24528C62" w:rsidR="00C172EC" w:rsidRPr="001739C3" w:rsidRDefault="00C172EC" w:rsidP="00C172EC">
            <w:pPr>
              <w:jc w:val="center"/>
              <w:rPr>
                <w:rFonts w:asciiTheme="majorHAnsi" w:hAnsiTheme="majorHAnsi" w:cstheme="majorHAnsi"/>
                <w:b/>
                <w:bCs/>
                <w:color w:val="000000" w:themeColor="text1"/>
                <w:sz w:val="20"/>
              </w:rPr>
            </w:pPr>
            <w:r w:rsidRPr="001739C3">
              <w:rPr>
                <w:rFonts w:asciiTheme="majorHAnsi" w:hAnsiTheme="majorHAnsi" w:cstheme="majorHAnsi"/>
                <w:b/>
                <w:bCs/>
                <w:color w:val="000000" w:themeColor="text1"/>
                <w:sz w:val="20"/>
              </w:rPr>
              <w:t>EcoloBlue</w:t>
            </w:r>
          </w:p>
        </w:tc>
      </w:tr>
      <w:tr w:rsidR="00C172EC" w:rsidRPr="00102BE4" w14:paraId="6E31F456" w14:textId="2368529A" w:rsidTr="001739C3">
        <w:trPr>
          <w:trHeight w:val="180"/>
          <w:tblHeader/>
          <w:jc w:val="center"/>
        </w:trPr>
        <w:tc>
          <w:tcPr>
            <w:tcW w:w="1793"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bottom"/>
          </w:tcPr>
          <w:p w14:paraId="59C2B462" w14:textId="35394CB0" w:rsidR="00C172EC" w:rsidRPr="001739C3" w:rsidRDefault="00C172EC" w:rsidP="00C172EC">
            <w:pPr>
              <w:rPr>
                <w:rFonts w:asciiTheme="majorHAnsi" w:hAnsiTheme="majorHAnsi" w:cstheme="majorHAnsi"/>
                <w:b/>
                <w:sz w:val="20"/>
              </w:rPr>
            </w:pPr>
            <w:r w:rsidRPr="001739C3">
              <w:rPr>
                <w:rFonts w:ascii="Calibri" w:hAnsi="Calibri" w:cs="Calibri"/>
                <w:b/>
                <w:bCs/>
                <w:color w:val="000000"/>
                <w:sz w:val="20"/>
              </w:rPr>
              <w:t>Scale</w:t>
            </w:r>
          </w:p>
        </w:tc>
        <w:tc>
          <w:tcPr>
            <w:tcW w:w="1257"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bottom"/>
          </w:tcPr>
          <w:p w14:paraId="1D8EFEC0" w14:textId="723FD5C6" w:rsidR="00C172EC" w:rsidRPr="001739C3" w:rsidRDefault="00C172EC" w:rsidP="003F6FAC">
            <w:pPr>
              <w:jc w:val="center"/>
              <w:rPr>
                <w:rFonts w:asciiTheme="majorHAnsi" w:hAnsiTheme="majorHAnsi" w:cstheme="majorHAnsi"/>
                <w:sz w:val="20"/>
              </w:rPr>
            </w:pPr>
            <w:r w:rsidRPr="001739C3">
              <w:rPr>
                <w:rFonts w:ascii="Calibri" w:hAnsi="Calibri" w:cs="Calibri"/>
                <w:b/>
                <w:bCs/>
                <w:color w:val="000000"/>
                <w:sz w:val="20"/>
              </w:rPr>
              <w:t>Large</w:t>
            </w:r>
          </w:p>
        </w:tc>
        <w:tc>
          <w:tcPr>
            <w:tcW w:w="126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bottom"/>
          </w:tcPr>
          <w:p w14:paraId="11CFDBDA" w14:textId="15F904F8" w:rsidR="00C172EC" w:rsidRPr="001739C3" w:rsidRDefault="00C172EC" w:rsidP="003F6FAC">
            <w:pPr>
              <w:jc w:val="center"/>
              <w:rPr>
                <w:rFonts w:asciiTheme="majorHAnsi" w:hAnsiTheme="majorHAnsi" w:cstheme="majorHAnsi"/>
                <w:sz w:val="20"/>
              </w:rPr>
            </w:pPr>
            <w:r w:rsidRPr="001739C3">
              <w:rPr>
                <w:rFonts w:ascii="Calibri" w:hAnsi="Calibri" w:cs="Calibri"/>
                <w:b/>
                <w:bCs/>
                <w:color w:val="000000"/>
                <w:sz w:val="20"/>
              </w:rPr>
              <w:t>Medium</w:t>
            </w:r>
          </w:p>
        </w:tc>
        <w:tc>
          <w:tcPr>
            <w:tcW w:w="1350" w:type="dxa"/>
            <w:tcBorders>
              <w:top w:val="single" w:sz="24" w:space="0" w:color="FFFFFF"/>
              <w:left w:val="single" w:sz="8" w:space="0" w:color="FFFFFF"/>
              <w:bottom w:val="single" w:sz="8" w:space="0" w:color="FFFFFF"/>
              <w:right w:val="single" w:sz="8" w:space="0" w:color="FFFFFF"/>
            </w:tcBorders>
            <w:shd w:val="clear" w:color="auto" w:fill="E7F3F4"/>
            <w:vAlign w:val="bottom"/>
          </w:tcPr>
          <w:p w14:paraId="4F42C7EE" w14:textId="0D405146" w:rsidR="00C172EC" w:rsidRPr="001739C3" w:rsidRDefault="00C172EC" w:rsidP="003F6FAC">
            <w:pPr>
              <w:jc w:val="center"/>
              <w:rPr>
                <w:rFonts w:asciiTheme="majorHAnsi" w:hAnsiTheme="majorHAnsi" w:cstheme="majorHAnsi"/>
                <w:iCs/>
                <w:sz w:val="20"/>
              </w:rPr>
            </w:pPr>
            <w:r w:rsidRPr="001739C3">
              <w:rPr>
                <w:rFonts w:ascii="Calibri" w:hAnsi="Calibri" w:cs="Calibri"/>
                <w:b/>
                <w:bCs/>
                <w:color w:val="000000"/>
                <w:sz w:val="20"/>
              </w:rPr>
              <w:t>Small</w:t>
            </w:r>
          </w:p>
        </w:tc>
        <w:tc>
          <w:tcPr>
            <w:tcW w:w="1350" w:type="dxa"/>
            <w:tcBorders>
              <w:top w:val="single" w:sz="24" w:space="0" w:color="FFFFFF"/>
              <w:left w:val="single" w:sz="8" w:space="0" w:color="FFFFFF"/>
              <w:bottom w:val="single" w:sz="8" w:space="0" w:color="FFFFFF"/>
              <w:right w:val="single" w:sz="8" w:space="0" w:color="FFFFFF"/>
            </w:tcBorders>
            <w:shd w:val="clear" w:color="auto" w:fill="E7F3F4"/>
            <w:vAlign w:val="bottom"/>
          </w:tcPr>
          <w:p w14:paraId="3FF745BD" w14:textId="777AA03A" w:rsidR="00C172EC" w:rsidRPr="001739C3" w:rsidRDefault="00C172EC" w:rsidP="003F6FAC">
            <w:pPr>
              <w:jc w:val="center"/>
              <w:rPr>
                <w:rFonts w:asciiTheme="majorHAnsi" w:hAnsiTheme="majorHAnsi" w:cstheme="majorHAnsi"/>
                <w:iCs/>
                <w:sz w:val="20"/>
              </w:rPr>
            </w:pPr>
            <w:r w:rsidRPr="001739C3">
              <w:rPr>
                <w:rFonts w:ascii="Calibri" w:hAnsi="Calibri" w:cs="Calibri"/>
                <w:b/>
                <w:bCs/>
                <w:color w:val="000000"/>
                <w:sz w:val="20"/>
              </w:rPr>
              <w:t>Large</w:t>
            </w:r>
          </w:p>
        </w:tc>
        <w:tc>
          <w:tcPr>
            <w:tcW w:w="1282" w:type="dxa"/>
            <w:tcBorders>
              <w:top w:val="single" w:sz="24" w:space="0" w:color="FFFFFF"/>
              <w:left w:val="single" w:sz="8" w:space="0" w:color="FFFFFF"/>
              <w:bottom w:val="single" w:sz="8" w:space="0" w:color="FFFFFF"/>
              <w:right w:val="single" w:sz="8" w:space="0" w:color="FFFFFF"/>
            </w:tcBorders>
            <w:shd w:val="clear" w:color="auto" w:fill="E7F3F4"/>
            <w:vAlign w:val="bottom"/>
          </w:tcPr>
          <w:p w14:paraId="3F7ED6A8" w14:textId="3661BAF2" w:rsidR="00C172EC" w:rsidRPr="001739C3" w:rsidRDefault="00C172EC" w:rsidP="003F6FAC">
            <w:pPr>
              <w:jc w:val="center"/>
              <w:rPr>
                <w:rFonts w:asciiTheme="majorHAnsi" w:hAnsiTheme="majorHAnsi" w:cstheme="majorHAnsi"/>
                <w:iCs/>
                <w:sz w:val="20"/>
              </w:rPr>
            </w:pPr>
            <w:r w:rsidRPr="001739C3">
              <w:rPr>
                <w:rFonts w:ascii="Calibri" w:hAnsi="Calibri" w:cs="Calibri"/>
                <w:b/>
                <w:bCs/>
                <w:color w:val="000000"/>
                <w:sz w:val="20"/>
              </w:rPr>
              <w:t>Medium</w:t>
            </w:r>
          </w:p>
        </w:tc>
        <w:tc>
          <w:tcPr>
            <w:tcW w:w="1048" w:type="dxa"/>
            <w:tcBorders>
              <w:top w:val="single" w:sz="24" w:space="0" w:color="FFFFFF"/>
              <w:left w:val="single" w:sz="8" w:space="0" w:color="FFFFFF"/>
              <w:bottom w:val="single" w:sz="8" w:space="0" w:color="FFFFFF"/>
              <w:right w:val="single" w:sz="8" w:space="0" w:color="FFFFFF"/>
            </w:tcBorders>
            <w:shd w:val="clear" w:color="auto" w:fill="E7F3F4"/>
            <w:vAlign w:val="bottom"/>
          </w:tcPr>
          <w:p w14:paraId="7435A9FF" w14:textId="5E4DA2B7" w:rsidR="00C172EC" w:rsidRPr="001739C3" w:rsidRDefault="00C172EC" w:rsidP="003F6FAC">
            <w:pPr>
              <w:jc w:val="center"/>
              <w:rPr>
                <w:rFonts w:asciiTheme="majorHAnsi" w:hAnsiTheme="majorHAnsi" w:cstheme="majorHAnsi"/>
                <w:iCs/>
                <w:sz w:val="20"/>
              </w:rPr>
            </w:pPr>
            <w:r w:rsidRPr="001739C3">
              <w:rPr>
                <w:rFonts w:ascii="Calibri" w:hAnsi="Calibri" w:cs="Calibri"/>
                <w:b/>
                <w:bCs/>
                <w:color w:val="000000"/>
                <w:sz w:val="20"/>
              </w:rPr>
              <w:t>Small</w:t>
            </w:r>
          </w:p>
        </w:tc>
      </w:tr>
      <w:tr w:rsidR="00C172EC" w:rsidRPr="00102BE4" w14:paraId="1568D5DB" w14:textId="49C7837D" w:rsidTr="005866F1">
        <w:trPr>
          <w:trHeight w:val="215"/>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bottom"/>
          </w:tcPr>
          <w:p w14:paraId="0D7785A6" w14:textId="18BEA536" w:rsidR="00C172EC" w:rsidRPr="001739C3" w:rsidRDefault="00C172EC" w:rsidP="00C172EC">
            <w:pPr>
              <w:rPr>
                <w:rFonts w:asciiTheme="majorHAnsi" w:hAnsiTheme="majorHAnsi" w:cstheme="majorHAnsi"/>
                <w:b/>
                <w:sz w:val="20"/>
              </w:rPr>
            </w:pPr>
            <w:r w:rsidRPr="001739C3">
              <w:rPr>
                <w:rFonts w:ascii="Calibri" w:hAnsi="Calibri" w:cs="Calibri"/>
                <w:b/>
                <w:bCs/>
                <w:color w:val="000000"/>
                <w:sz w:val="20"/>
              </w:rPr>
              <w:t xml:space="preserve">Maximum </w:t>
            </w:r>
            <w:r w:rsidR="00EE22CC">
              <w:rPr>
                <w:rFonts w:ascii="Calibri" w:hAnsi="Calibri" w:cs="Calibri"/>
                <w:b/>
                <w:bCs/>
                <w:color w:val="000000"/>
                <w:sz w:val="20"/>
              </w:rPr>
              <w:t>W</w:t>
            </w:r>
            <w:r w:rsidRPr="001739C3">
              <w:rPr>
                <w:rFonts w:ascii="Calibri" w:hAnsi="Calibri" w:cs="Calibri"/>
                <w:b/>
                <w:bCs/>
                <w:color w:val="000000"/>
                <w:sz w:val="20"/>
              </w:rPr>
              <w:t xml:space="preserve">ater </w:t>
            </w:r>
            <w:r w:rsidR="00EE22CC">
              <w:rPr>
                <w:rFonts w:ascii="Calibri" w:hAnsi="Calibri" w:cs="Calibri"/>
                <w:b/>
                <w:bCs/>
                <w:color w:val="000000"/>
                <w:sz w:val="20"/>
              </w:rPr>
              <w:t>P</w:t>
            </w:r>
            <w:r w:rsidRPr="001739C3">
              <w:rPr>
                <w:rFonts w:ascii="Calibri" w:hAnsi="Calibri" w:cs="Calibri"/>
                <w:b/>
                <w:bCs/>
                <w:color w:val="000000"/>
                <w:sz w:val="20"/>
              </w:rPr>
              <w:t>roduced (L/day)</w:t>
            </w:r>
          </w:p>
        </w:tc>
        <w:tc>
          <w:tcPr>
            <w:tcW w:w="1257"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3D4EF544" w14:textId="4E78AFD3" w:rsidR="00C172EC" w:rsidRPr="001739C3" w:rsidRDefault="002367B1" w:rsidP="005866F1">
            <w:pPr>
              <w:jc w:val="center"/>
              <w:rPr>
                <w:rFonts w:asciiTheme="majorHAnsi" w:hAnsiTheme="majorHAnsi" w:cstheme="majorHAnsi"/>
                <w:sz w:val="20"/>
              </w:rPr>
            </w:pPr>
            <w:r>
              <w:rPr>
                <w:rFonts w:ascii="Calibri" w:hAnsi="Calibri" w:cs="Calibri"/>
                <w:color w:val="000000"/>
                <w:sz w:val="20"/>
              </w:rPr>
              <w:t>5</w:t>
            </w:r>
            <w:r w:rsidR="00914BBE">
              <w:rPr>
                <w:rFonts w:ascii="Calibri" w:hAnsi="Calibri" w:cs="Calibri"/>
                <w:color w:val="000000"/>
                <w:sz w:val="20"/>
              </w:rPr>
              <w:t>,</w:t>
            </w:r>
            <w:r w:rsidRPr="001739C3">
              <w:rPr>
                <w:rFonts w:ascii="Calibri" w:hAnsi="Calibri" w:cs="Calibri"/>
                <w:color w:val="000000"/>
                <w:sz w:val="20"/>
              </w:rPr>
              <w:t>000</w:t>
            </w:r>
          </w:p>
        </w:tc>
        <w:tc>
          <w:tcPr>
            <w:tcW w:w="12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192401E1" w14:textId="0934EF18"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578</w:t>
            </w:r>
          </w:p>
        </w:tc>
        <w:tc>
          <w:tcPr>
            <w:tcW w:w="1350"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345E23F8" w14:textId="4EC5100F"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25</w:t>
            </w:r>
          </w:p>
        </w:tc>
        <w:tc>
          <w:tcPr>
            <w:tcW w:w="1350"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57880B1C" w14:textId="36DEAD23"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4</w:t>
            </w:r>
            <w:r w:rsidR="00914BBE">
              <w:rPr>
                <w:rFonts w:ascii="Calibri" w:hAnsi="Calibri" w:cs="Calibri"/>
                <w:color w:val="000000"/>
                <w:sz w:val="20"/>
              </w:rPr>
              <w:t>,</w:t>
            </w:r>
            <w:r w:rsidRPr="001739C3">
              <w:rPr>
                <w:rFonts w:ascii="Calibri" w:hAnsi="Calibri" w:cs="Calibri"/>
                <w:color w:val="000000"/>
                <w:sz w:val="20"/>
              </w:rPr>
              <w:t>781</w:t>
            </w:r>
          </w:p>
        </w:tc>
        <w:tc>
          <w:tcPr>
            <w:tcW w:w="1282"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44821BAD" w14:textId="73606737"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962</w:t>
            </w:r>
          </w:p>
        </w:tc>
        <w:tc>
          <w:tcPr>
            <w:tcW w:w="1048"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060C22F6" w14:textId="54649EB1"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30</w:t>
            </w:r>
          </w:p>
        </w:tc>
      </w:tr>
      <w:tr w:rsidR="00C172EC" w:rsidRPr="00102BE4" w14:paraId="4429E1A1" w14:textId="1AA5F4F6" w:rsidTr="005866F1">
        <w:trPr>
          <w:trHeight w:val="210"/>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bottom"/>
          </w:tcPr>
          <w:p w14:paraId="71E0E01D" w14:textId="620A3455" w:rsidR="00C172EC" w:rsidRPr="001739C3" w:rsidRDefault="00C172EC" w:rsidP="00C172EC">
            <w:pPr>
              <w:rPr>
                <w:rFonts w:asciiTheme="majorHAnsi" w:hAnsiTheme="majorHAnsi" w:cstheme="majorHAnsi"/>
                <w:b/>
                <w:sz w:val="20"/>
              </w:rPr>
            </w:pPr>
            <w:r w:rsidRPr="001739C3">
              <w:rPr>
                <w:rFonts w:ascii="Calibri" w:hAnsi="Calibri" w:cs="Calibri"/>
                <w:b/>
                <w:bCs/>
                <w:color w:val="000000"/>
                <w:sz w:val="20"/>
              </w:rPr>
              <w:t xml:space="preserve">Minimum </w:t>
            </w:r>
            <w:r w:rsidR="00EE22CC">
              <w:rPr>
                <w:rFonts w:ascii="Calibri" w:hAnsi="Calibri" w:cs="Calibri"/>
                <w:b/>
                <w:bCs/>
                <w:color w:val="000000"/>
                <w:sz w:val="20"/>
              </w:rPr>
              <w:t>W</w:t>
            </w:r>
            <w:r w:rsidRPr="001739C3">
              <w:rPr>
                <w:rFonts w:ascii="Calibri" w:hAnsi="Calibri" w:cs="Calibri"/>
                <w:b/>
                <w:bCs/>
                <w:color w:val="000000"/>
                <w:sz w:val="20"/>
              </w:rPr>
              <w:t xml:space="preserve">ater </w:t>
            </w:r>
            <w:r w:rsidR="00EE22CC">
              <w:rPr>
                <w:rFonts w:ascii="Calibri" w:hAnsi="Calibri" w:cs="Calibri"/>
                <w:b/>
                <w:bCs/>
                <w:color w:val="000000"/>
                <w:sz w:val="20"/>
              </w:rPr>
              <w:t>P</w:t>
            </w:r>
            <w:r w:rsidRPr="001739C3">
              <w:rPr>
                <w:rFonts w:ascii="Calibri" w:hAnsi="Calibri" w:cs="Calibri"/>
                <w:b/>
                <w:bCs/>
                <w:color w:val="000000"/>
                <w:sz w:val="20"/>
              </w:rPr>
              <w:t>roduced (L/day)</w:t>
            </w:r>
          </w:p>
        </w:tc>
        <w:tc>
          <w:tcPr>
            <w:tcW w:w="1257"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5B02A328" w14:textId="1AA2FF8C"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3</w:t>
            </w:r>
            <w:r w:rsidR="00914BBE">
              <w:rPr>
                <w:rFonts w:ascii="Calibri" w:hAnsi="Calibri" w:cs="Calibri"/>
                <w:color w:val="000000"/>
                <w:sz w:val="20"/>
              </w:rPr>
              <w:t>,</w:t>
            </w:r>
            <w:r w:rsidRPr="001739C3">
              <w:rPr>
                <w:rFonts w:ascii="Calibri" w:hAnsi="Calibri" w:cs="Calibri"/>
                <w:color w:val="000000"/>
                <w:sz w:val="20"/>
              </w:rPr>
              <w:t>000</w:t>
            </w:r>
          </w:p>
        </w:tc>
        <w:tc>
          <w:tcPr>
            <w:tcW w:w="12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0F3A21A8" w14:textId="6698CF05"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38</w:t>
            </w:r>
          </w:p>
        </w:tc>
        <w:tc>
          <w:tcPr>
            <w:tcW w:w="1350"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20E7D305" w14:textId="0F4ADF9E"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15</w:t>
            </w:r>
          </w:p>
        </w:tc>
        <w:tc>
          <w:tcPr>
            <w:tcW w:w="1350"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5A68BC0F" w14:textId="467159FC"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193</w:t>
            </w:r>
          </w:p>
        </w:tc>
        <w:tc>
          <w:tcPr>
            <w:tcW w:w="1282"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37698A98" w14:textId="0595EB1F"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50</w:t>
            </w:r>
          </w:p>
        </w:tc>
        <w:tc>
          <w:tcPr>
            <w:tcW w:w="1048"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6BB340AE" w14:textId="6369BE2E"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20</w:t>
            </w:r>
          </w:p>
        </w:tc>
      </w:tr>
      <w:tr w:rsidR="00C172EC" w:rsidRPr="00102BE4" w14:paraId="2C6FB920" w14:textId="56C53FB5" w:rsidTr="005866F1">
        <w:trPr>
          <w:trHeight w:val="202"/>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bottom"/>
          </w:tcPr>
          <w:p w14:paraId="15C1AECA" w14:textId="124B05FB" w:rsidR="00C172EC" w:rsidRPr="001739C3" w:rsidRDefault="00C172EC" w:rsidP="00C172EC">
            <w:pPr>
              <w:rPr>
                <w:rFonts w:asciiTheme="majorHAnsi" w:hAnsiTheme="majorHAnsi" w:cstheme="majorHAnsi"/>
                <w:b/>
                <w:sz w:val="20"/>
              </w:rPr>
            </w:pPr>
            <w:r w:rsidRPr="001739C3">
              <w:rPr>
                <w:rFonts w:ascii="Calibri" w:hAnsi="Calibri" w:cs="Calibri"/>
                <w:b/>
                <w:bCs/>
                <w:color w:val="000000"/>
                <w:sz w:val="20"/>
              </w:rPr>
              <w:t xml:space="preserve">Modeled value </w:t>
            </w:r>
            <w:r w:rsidR="00EE22CC">
              <w:rPr>
                <w:rFonts w:ascii="Calibri" w:hAnsi="Calibri" w:cs="Calibri"/>
                <w:b/>
                <w:bCs/>
                <w:color w:val="000000"/>
                <w:sz w:val="20"/>
              </w:rPr>
              <w:t>W</w:t>
            </w:r>
            <w:r w:rsidRPr="001739C3">
              <w:rPr>
                <w:rFonts w:ascii="Calibri" w:hAnsi="Calibri" w:cs="Calibri"/>
                <w:b/>
                <w:bCs/>
                <w:color w:val="000000"/>
                <w:sz w:val="20"/>
              </w:rPr>
              <w:t xml:space="preserve">ater </w:t>
            </w:r>
            <w:r w:rsidR="00EE22CC">
              <w:rPr>
                <w:rFonts w:ascii="Calibri" w:hAnsi="Calibri" w:cs="Calibri"/>
                <w:b/>
                <w:bCs/>
                <w:color w:val="000000"/>
                <w:sz w:val="20"/>
              </w:rPr>
              <w:t>P</w:t>
            </w:r>
            <w:r w:rsidRPr="001739C3">
              <w:rPr>
                <w:rFonts w:ascii="Calibri" w:hAnsi="Calibri" w:cs="Calibri"/>
                <w:b/>
                <w:bCs/>
                <w:color w:val="000000"/>
                <w:sz w:val="20"/>
              </w:rPr>
              <w:t>roduced (L/day)</w:t>
            </w:r>
          </w:p>
        </w:tc>
        <w:tc>
          <w:tcPr>
            <w:tcW w:w="1257"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425B31EE" w14:textId="727DA434"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3</w:t>
            </w:r>
            <w:r w:rsidR="00914BBE">
              <w:rPr>
                <w:rFonts w:ascii="Calibri" w:hAnsi="Calibri" w:cs="Calibri"/>
                <w:color w:val="000000"/>
                <w:sz w:val="20"/>
              </w:rPr>
              <w:t>,</w:t>
            </w:r>
            <w:r w:rsidRPr="001739C3">
              <w:rPr>
                <w:rFonts w:ascii="Calibri" w:hAnsi="Calibri" w:cs="Calibri"/>
                <w:color w:val="000000"/>
                <w:sz w:val="20"/>
              </w:rPr>
              <w:t>000</w:t>
            </w:r>
          </w:p>
        </w:tc>
        <w:tc>
          <w:tcPr>
            <w:tcW w:w="12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3F975A4B" w14:textId="47336BBB"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400</w:t>
            </w:r>
          </w:p>
        </w:tc>
        <w:tc>
          <w:tcPr>
            <w:tcW w:w="1350"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59CCAA6A" w14:textId="1AB8B4BC"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25</w:t>
            </w:r>
          </w:p>
        </w:tc>
        <w:tc>
          <w:tcPr>
            <w:tcW w:w="1350"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405FF8E9" w14:textId="3CE9B459"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3</w:t>
            </w:r>
            <w:r w:rsidR="00914BBE">
              <w:rPr>
                <w:rFonts w:ascii="Calibri" w:hAnsi="Calibri" w:cs="Calibri"/>
                <w:color w:val="000000"/>
                <w:sz w:val="20"/>
              </w:rPr>
              <w:t>,</w:t>
            </w:r>
            <w:r w:rsidRPr="001739C3">
              <w:rPr>
                <w:rFonts w:ascii="Calibri" w:hAnsi="Calibri" w:cs="Calibri"/>
                <w:color w:val="000000"/>
                <w:sz w:val="20"/>
              </w:rPr>
              <w:t>000</w:t>
            </w:r>
          </w:p>
        </w:tc>
        <w:tc>
          <w:tcPr>
            <w:tcW w:w="1282"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1FC9149D" w14:textId="309916FD"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600</w:t>
            </w:r>
          </w:p>
        </w:tc>
        <w:tc>
          <w:tcPr>
            <w:tcW w:w="1048"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6829DD31" w14:textId="7C13AA4B"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30</w:t>
            </w:r>
          </w:p>
        </w:tc>
      </w:tr>
      <w:tr w:rsidR="00C172EC" w:rsidRPr="00102BE4" w14:paraId="1B6C2224" w14:textId="291783DC" w:rsidTr="005866F1">
        <w:trPr>
          <w:trHeight w:val="188"/>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bottom"/>
          </w:tcPr>
          <w:p w14:paraId="551DDE36" w14:textId="5DCA3127" w:rsidR="00C172EC" w:rsidRPr="001739C3" w:rsidRDefault="00C172EC" w:rsidP="00C172EC">
            <w:pPr>
              <w:rPr>
                <w:rFonts w:asciiTheme="majorHAnsi" w:hAnsiTheme="majorHAnsi" w:cstheme="majorHAnsi"/>
                <w:b/>
                <w:sz w:val="20"/>
              </w:rPr>
            </w:pPr>
            <w:r w:rsidRPr="001739C3">
              <w:rPr>
                <w:rFonts w:ascii="Calibri" w:hAnsi="Calibri" w:cs="Calibri"/>
                <w:b/>
                <w:bCs/>
                <w:color w:val="000000"/>
                <w:sz w:val="20"/>
              </w:rPr>
              <w:t xml:space="preserve">Relative Humidity </w:t>
            </w:r>
            <w:r w:rsidR="00EE22CC">
              <w:rPr>
                <w:rFonts w:ascii="Calibri" w:hAnsi="Calibri" w:cs="Calibri"/>
                <w:b/>
                <w:bCs/>
                <w:color w:val="000000"/>
                <w:sz w:val="20"/>
              </w:rPr>
              <w:t>R</w:t>
            </w:r>
            <w:r w:rsidRPr="001739C3">
              <w:rPr>
                <w:rFonts w:ascii="Calibri" w:hAnsi="Calibri" w:cs="Calibri"/>
                <w:b/>
                <w:bCs/>
                <w:color w:val="000000"/>
                <w:sz w:val="20"/>
              </w:rPr>
              <w:t>ange (%)</w:t>
            </w:r>
          </w:p>
        </w:tc>
        <w:tc>
          <w:tcPr>
            <w:tcW w:w="1257"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75E2926F" w14:textId="518AF4EC"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60</w:t>
            </w:r>
          </w:p>
        </w:tc>
        <w:tc>
          <w:tcPr>
            <w:tcW w:w="12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10189DD8" w14:textId="5AE2D4C1"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20-70</w:t>
            </w:r>
          </w:p>
        </w:tc>
        <w:tc>
          <w:tcPr>
            <w:tcW w:w="1350"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2B5ADA59" w14:textId="4B08D3D8"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60</w:t>
            </w:r>
          </w:p>
        </w:tc>
        <w:tc>
          <w:tcPr>
            <w:tcW w:w="1350"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7CDE76ED" w14:textId="2CB3D63E"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30-80</w:t>
            </w:r>
          </w:p>
        </w:tc>
        <w:tc>
          <w:tcPr>
            <w:tcW w:w="1282"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2C33FD25" w14:textId="0A2EDB06"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30-80</w:t>
            </w:r>
          </w:p>
        </w:tc>
        <w:tc>
          <w:tcPr>
            <w:tcW w:w="1048"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062A4759" w14:textId="42952822"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0-60</w:t>
            </w:r>
          </w:p>
        </w:tc>
      </w:tr>
      <w:tr w:rsidR="00C172EC" w:rsidRPr="00102BE4" w14:paraId="1E6AE5CB" w14:textId="1EFFCC32" w:rsidTr="005866F1">
        <w:trPr>
          <w:trHeight w:val="258"/>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bottom"/>
          </w:tcPr>
          <w:p w14:paraId="1E667B2C" w14:textId="7AD2F53D" w:rsidR="00C172EC" w:rsidRPr="001739C3" w:rsidRDefault="00C172EC" w:rsidP="00C172EC">
            <w:pPr>
              <w:rPr>
                <w:rFonts w:asciiTheme="majorHAnsi" w:hAnsiTheme="majorHAnsi" w:cstheme="majorHAnsi"/>
                <w:b/>
                <w:sz w:val="20"/>
              </w:rPr>
            </w:pPr>
            <w:r w:rsidRPr="001739C3">
              <w:rPr>
                <w:rFonts w:ascii="Calibri" w:hAnsi="Calibri" w:cs="Calibri"/>
                <w:b/>
                <w:bCs/>
                <w:color w:val="000000"/>
                <w:sz w:val="20"/>
              </w:rPr>
              <w:t xml:space="preserve">Temperature </w:t>
            </w:r>
            <w:r w:rsidR="00EE22CC">
              <w:rPr>
                <w:rFonts w:ascii="Calibri" w:hAnsi="Calibri" w:cs="Calibri"/>
                <w:b/>
                <w:bCs/>
                <w:color w:val="000000"/>
                <w:sz w:val="20"/>
              </w:rPr>
              <w:t>R</w:t>
            </w:r>
            <w:r w:rsidRPr="001739C3">
              <w:rPr>
                <w:rFonts w:ascii="Calibri" w:hAnsi="Calibri" w:cs="Calibri"/>
                <w:b/>
                <w:bCs/>
                <w:color w:val="000000"/>
                <w:sz w:val="20"/>
              </w:rPr>
              <w:t>ange (°C)</w:t>
            </w:r>
          </w:p>
        </w:tc>
        <w:tc>
          <w:tcPr>
            <w:tcW w:w="1257"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0E12182C" w14:textId="55609B8B" w:rsidR="00C172EC" w:rsidRPr="001739C3" w:rsidRDefault="00C172EC" w:rsidP="005866F1">
            <w:pPr>
              <w:jc w:val="center"/>
              <w:rPr>
                <w:rFonts w:asciiTheme="majorHAnsi" w:hAnsiTheme="majorHAnsi" w:cstheme="majorHAnsi"/>
                <w:sz w:val="20"/>
              </w:rPr>
            </w:pPr>
            <w:r w:rsidRPr="001739C3">
              <w:rPr>
                <w:rFonts w:ascii="Calibri" w:hAnsi="Calibri" w:cs="Calibri"/>
                <w:color w:val="000000"/>
                <w:sz w:val="20"/>
              </w:rPr>
              <w:t>26.7</w:t>
            </w:r>
          </w:p>
        </w:tc>
        <w:tc>
          <w:tcPr>
            <w:tcW w:w="1260"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5C901462" w14:textId="763C159C" w:rsidR="00C172EC" w:rsidRPr="001739C3" w:rsidRDefault="00C172EC" w:rsidP="005866F1">
            <w:pPr>
              <w:ind w:left="89"/>
              <w:jc w:val="center"/>
              <w:rPr>
                <w:rFonts w:asciiTheme="majorHAnsi" w:hAnsiTheme="majorHAnsi" w:cstheme="majorHAnsi"/>
                <w:sz w:val="20"/>
              </w:rPr>
            </w:pPr>
            <w:r w:rsidRPr="001739C3">
              <w:rPr>
                <w:rFonts w:ascii="Calibri" w:hAnsi="Calibri" w:cs="Calibri"/>
                <w:color w:val="000000"/>
                <w:sz w:val="20"/>
              </w:rPr>
              <w:t>15-40</w:t>
            </w:r>
          </w:p>
        </w:tc>
        <w:tc>
          <w:tcPr>
            <w:tcW w:w="1350"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1809DA29" w14:textId="7A15F402" w:rsidR="00C172EC" w:rsidRPr="001739C3" w:rsidRDefault="00C172EC" w:rsidP="005866F1">
            <w:pPr>
              <w:ind w:left="89"/>
              <w:jc w:val="center"/>
              <w:rPr>
                <w:rFonts w:asciiTheme="majorHAnsi" w:hAnsiTheme="majorHAnsi" w:cstheme="majorHAnsi"/>
                <w:sz w:val="20"/>
              </w:rPr>
            </w:pPr>
            <w:r w:rsidRPr="001739C3">
              <w:rPr>
                <w:rFonts w:ascii="Calibri" w:hAnsi="Calibri" w:cs="Calibri"/>
                <w:color w:val="000000"/>
                <w:sz w:val="20"/>
              </w:rPr>
              <w:t>26.7</w:t>
            </w:r>
          </w:p>
        </w:tc>
        <w:tc>
          <w:tcPr>
            <w:tcW w:w="1350"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017AB154" w14:textId="373EF81F" w:rsidR="00C172EC" w:rsidRPr="001739C3" w:rsidRDefault="00C172EC" w:rsidP="005866F1">
            <w:pPr>
              <w:ind w:left="89"/>
              <w:jc w:val="center"/>
              <w:rPr>
                <w:rFonts w:asciiTheme="majorHAnsi" w:hAnsiTheme="majorHAnsi" w:cstheme="majorHAnsi"/>
                <w:sz w:val="20"/>
              </w:rPr>
            </w:pPr>
            <w:r w:rsidRPr="001739C3">
              <w:rPr>
                <w:rFonts w:ascii="Calibri" w:hAnsi="Calibri" w:cs="Calibri"/>
                <w:color w:val="000000"/>
                <w:sz w:val="20"/>
              </w:rPr>
              <w:t>0-55</w:t>
            </w:r>
          </w:p>
        </w:tc>
        <w:tc>
          <w:tcPr>
            <w:tcW w:w="1282"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00D5B477" w14:textId="05C19FCC" w:rsidR="00C172EC" w:rsidRPr="001739C3" w:rsidRDefault="00C172EC" w:rsidP="005866F1">
            <w:pPr>
              <w:ind w:left="89"/>
              <w:jc w:val="center"/>
              <w:rPr>
                <w:rFonts w:asciiTheme="majorHAnsi" w:hAnsiTheme="majorHAnsi" w:cstheme="majorHAnsi"/>
                <w:sz w:val="20"/>
              </w:rPr>
            </w:pPr>
            <w:r w:rsidRPr="001739C3">
              <w:rPr>
                <w:rFonts w:ascii="Calibri" w:hAnsi="Calibri" w:cs="Calibri"/>
                <w:color w:val="000000"/>
                <w:sz w:val="20"/>
              </w:rPr>
              <w:t>0-55</w:t>
            </w:r>
          </w:p>
        </w:tc>
        <w:tc>
          <w:tcPr>
            <w:tcW w:w="1048"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564949BE" w14:textId="701C031D" w:rsidR="00C172EC" w:rsidRPr="001739C3" w:rsidRDefault="00C172EC" w:rsidP="005866F1">
            <w:pPr>
              <w:ind w:left="89"/>
              <w:jc w:val="center"/>
              <w:rPr>
                <w:rFonts w:asciiTheme="majorHAnsi" w:hAnsiTheme="majorHAnsi" w:cstheme="majorHAnsi"/>
                <w:sz w:val="20"/>
              </w:rPr>
            </w:pPr>
            <w:r w:rsidRPr="001739C3">
              <w:rPr>
                <w:rFonts w:ascii="Calibri" w:hAnsi="Calibri" w:cs="Calibri"/>
                <w:color w:val="000000"/>
                <w:sz w:val="20"/>
              </w:rPr>
              <w:t>25-100</w:t>
            </w:r>
          </w:p>
        </w:tc>
      </w:tr>
    </w:tbl>
    <w:p w14:paraId="13941FF6" w14:textId="0E748AB7" w:rsidR="000B531C" w:rsidRDefault="000B531C" w:rsidP="00854D34"/>
    <w:p w14:paraId="27FA35AB" w14:textId="77777777" w:rsidR="00526D80" w:rsidRPr="00854D34" w:rsidRDefault="00526D80" w:rsidP="00854D34"/>
    <w:p w14:paraId="39BEF08F" w14:textId="0B02C1AE" w:rsidR="00A925BA" w:rsidRDefault="001922DE" w:rsidP="005866F1">
      <w:pPr>
        <w:pStyle w:val="BodyText"/>
      </w:pPr>
      <w:r>
        <w:t>For the washing of the glass container, the scenarios include handwashing</w:t>
      </w:r>
      <w:r w:rsidR="00FA49B3">
        <w:t xml:space="preserve"> </w:t>
      </w:r>
      <w:r w:rsidR="00183BFC">
        <w:t>and no washing</w:t>
      </w:r>
      <w:r>
        <w:t xml:space="preserve"> of the container. </w:t>
      </w:r>
      <w:r w:rsidR="0049174A">
        <w:t xml:space="preserve">Handwashing </w:t>
      </w:r>
      <w:r w:rsidR="009C2057">
        <w:t xml:space="preserve">(baseline) </w:t>
      </w:r>
      <w:r w:rsidR="0049174A">
        <w:t xml:space="preserve">was modeled assuming 8 oz of water are required for each washing cycle of the 16 oz glass. </w:t>
      </w:r>
      <w:r>
        <w:t xml:space="preserve">The </w:t>
      </w:r>
      <w:r w:rsidR="00B3412C">
        <w:t>hand</w:t>
      </w:r>
      <w:r>
        <w:t>washing of the reusable glass is also incorporated in the scope for the multi-serve jugs.</w:t>
      </w:r>
      <w:r w:rsidR="00FF50FB">
        <w:t xml:space="preserve"> </w:t>
      </w:r>
    </w:p>
    <w:tbl>
      <w:tblPr>
        <w:tblW w:w="8810" w:type="dxa"/>
        <w:jc w:val="center"/>
        <w:tblCellMar>
          <w:left w:w="0" w:type="dxa"/>
          <w:right w:w="0" w:type="dxa"/>
        </w:tblCellMar>
        <w:tblLook w:val="04A0" w:firstRow="1" w:lastRow="0" w:firstColumn="1" w:lastColumn="0" w:noHBand="0" w:noVBand="1"/>
      </w:tblPr>
      <w:tblGrid>
        <w:gridCol w:w="4574"/>
        <w:gridCol w:w="2076"/>
        <w:gridCol w:w="2160"/>
      </w:tblGrid>
      <w:tr w:rsidR="001739C3" w:rsidRPr="00B41CC9" w14:paraId="1032B970" w14:textId="77777777" w:rsidTr="0082574F">
        <w:trPr>
          <w:trHeight w:val="347"/>
          <w:tblHeader/>
          <w:jc w:val="center"/>
        </w:trPr>
        <w:tc>
          <w:tcPr>
            <w:tcW w:w="8810" w:type="dxa"/>
            <w:gridSpan w:val="3"/>
            <w:shd w:val="clear" w:color="auto" w:fill="auto"/>
            <w:tcMar>
              <w:top w:w="15" w:type="dxa"/>
              <w:left w:w="75" w:type="dxa"/>
              <w:bottom w:w="0" w:type="dxa"/>
              <w:right w:w="75" w:type="dxa"/>
            </w:tcMar>
            <w:vAlign w:val="center"/>
          </w:tcPr>
          <w:p w14:paraId="025EF6E7" w14:textId="53E7FD8D" w:rsidR="001739C3" w:rsidRPr="001739C3" w:rsidRDefault="001739C3" w:rsidP="001739C3">
            <w:pPr>
              <w:pStyle w:val="TableTitle"/>
              <w:rPr>
                <w:rFonts w:asciiTheme="majorHAnsi" w:hAnsiTheme="majorHAnsi" w:cstheme="majorHAnsi"/>
                <w:bCs/>
                <w:color w:val="000000" w:themeColor="text1"/>
                <w:sz w:val="20"/>
              </w:rPr>
            </w:pPr>
            <w:bookmarkStart w:id="269" w:name="_Ref524355299"/>
            <w:bookmarkStart w:id="270" w:name="_Toc524636927"/>
            <w:bookmarkStart w:id="271" w:name="_Toc533009187"/>
            <w:r>
              <w:lastRenderedPageBreak/>
              <w:t xml:space="preserve">Table </w:t>
            </w:r>
            <w:r>
              <w:rPr>
                <w:noProof/>
              </w:rPr>
              <w:fldChar w:fldCharType="begin"/>
            </w:r>
            <w:r>
              <w:rPr>
                <w:noProof/>
              </w:rPr>
              <w:instrText xml:space="preserve"> SEQ Table \* ARABIC </w:instrText>
            </w:r>
            <w:r>
              <w:rPr>
                <w:noProof/>
              </w:rPr>
              <w:fldChar w:fldCharType="separate"/>
            </w:r>
            <w:r w:rsidR="008072BC">
              <w:rPr>
                <w:noProof/>
              </w:rPr>
              <w:t>7</w:t>
            </w:r>
            <w:r>
              <w:rPr>
                <w:noProof/>
              </w:rPr>
              <w:fldChar w:fldCharType="end"/>
            </w:r>
            <w:bookmarkEnd w:id="269"/>
            <w:r>
              <w:t>. Summary of AWG Scenarios</w:t>
            </w:r>
            <w:bookmarkEnd w:id="270"/>
            <w:bookmarkEnd w:id="271"/>
          </w:p>
        </w:tc>
      </w:tr>
      <w:tr w:rsidR="00B41CC9" w:rsidRPr="00B41CC9" w14:paraId="6FE22C25" w14:textId="77777777" w:rsidTr="0082574F">
        <w:trPr>
          <w:trHeight w:val="347"/>
          <w:tblHeader/>
          <w:jc w:val="center"/>
        </w:trPr>
        <w:tc>
          <w:tcPr>
            <w:tcW w:w="4574" w:type="dxa"/>
            <w:tcBorders>
              <w:left w:val="single" w:sz="8" w:space="0" w:color="FFFFFF"/>
              <w:bottom w:val="single" w:sz="24" w:space="0" w:color="FFFFFF"/>
              <w:right w:val="single" w:sz="8" w:space="0" w:color="FFFFFF"/>
            </w:tcBorders>
            <w:shd w:val="clear" w:color="auto" w:fill="BBE0E3"/>
            <w:tcMar>
              <w:top w:w="15" w:type="dxa"/>
              <w:left w:w="75" w:type="dxa"/>
              <w:bottom w:w="0" w:type="dxa"/>
              <w:right w:w="75" w:type="dxa"/>
            </w:tcMar>
            <w:vAlign w:val="center"/>
            <w:hideMark/>
          </w:tcPr>
          <w:p w14:paraId="0024F2EC" w14:textId="77777777" w:rsidR="00B41CC9" w:rsidRPr="001739C3" w:rsidRDefault="00B41CC9" w:rsidP="00B41CC9">
            <w:pPr>
              <w:rPr>
                <w:rFonts w:asciiTheme="majorHAnsi" w:hAnsiTheme="majorHAnsi" w:cstheme="majorHAnsi"/>
                <w:sz w:val="20"/>
              </w:rPr>
            </w:pPr>
            <w:r w:rsidRPr="001739C3">
              <w:rPr>
                <w:rFonts w:asciiTheme="majorHAnsi" w:hAnsiTheme="majorHAnsi" w:cstheme="majorHAnsi"/>
                <w:b/>
                <w:bCs/>
                <w:sz w:val="20"/>
              </w:rPr>
              <w:t> </w:t>
            </w:r>
          </w:p>
        </w:tc>
        <w:tc>
          <w:tcPr>
            <w:tcW w:w="2076" w:type="dxa"/>
            <w:tcBorders>
              <w:left w:val="single" w:sz="8" w:space="0" w:color="FFFFFF"/>
              <w:bottom w:val="single" w:sz="24" w:space="0" w:color="FFFFFF"/>
              <w:right w:val="single" w:sz="8" w:space="0" w:color="FFFFFF"/>
            </w:tcBorders>
            <w:shd w:val="clear" w:color="auto" w:fill="BBE0E3"/>
            <w:tcMar>
              <w:top w:w="15" w:type="dxa"/>
              <w:left w:w="75" w:type="dxa"/>
              <w:bottom w:w="0" w:type="dxa"/>
              <w:right w:w="75" w:type="dxa"/>
            </w:tcMar>
            <w:vAlign w:val="center"/>
            <w:hideMark/>
          </w:tcPr>
          <w:p w14:paraId="24880687" w14:textId="77777777" w:rsidR="00B41CC9" w:rsidRPr="001739C3" w:rsidRDefault="00B41CC9" w:rsidP="005866F1">
            <w:pPr>
              <w:jc w:val="center"/>
              <w:rPr>
                <w:rFonts w:asciiTheme="majorHAnsi" w:hAnsiTheme="majorHAnsi" w:cstheme="majorHAnsi"/>
                <w:color w:val="000000" w:themeColor="text1"/>
                <w:sz w:val="20"/>
              </w:rPr>
            </w:pPr>
            <w:r w:rsidRPr="001739C3">
              <w:rPr>
                <w:rFonts w:asciiTheme="majorHAnsi" w:hAnsiTheme="majorHAnsi" w:cstheme="majorHAnsi"/>
                <w:b/>
                <w:bCs/>
                <w:color w:val="000000" w:themeColor="text1"/>
                <w:sz w:val="20"/>
              </w:rPr>
              <w:t>WaterGen</w:t>
            </w:r>
          </w:p>
        </w:tc>
        <w:tc>
          <w:tcPr>
            <w:tcW w:w="2160" w:type="dxa"/>
            <w:tcBorders>
              <w:left w:val="single" w:sz="8" w:space="0" w:color="FFFFFF"/>
              <w:bottom w:val="single" w:sz="24" w:space="0" w:color="FFFFFF"/>
              <w:right w:val="single" w:sz="8" w:space="0" w:color="FFFFFF"/>
            </w:tcBorders>
            <w:shd w:val="clear" w:color="auto" w:fill="BBE0E3"/>
            <w:tcMar>
              <w:top w:w="15" w:type="dxa"/>
              <w:left w:w="75" w:type="dxa"/>
              <w:bottom w:w="0" w:type="dxa"/>
              <w:right w:w="75" w:type="dxa"/>
            </w:tcMar>
            <w:vAlign w:val="center"/>
            <w:hideMark/>
          </w:tcPr>
          <w:p w14:paraId="116F24C4" w14:textId="77777777" w:rsidR="00B41CC9" w:rsidRPr="001739C3" w:rsidRDefault="00B41CC9" w:rsidP="005866F1">
            <w:pPr>
              <w:jc w:val="center"/>
              <w:rPr>
                <w:rFonts w:asciiTheme="majorHAnsi" w:hAnsiTheme="majorHAnsi" w:cstheme="majorHAnsi"/>
                <w:color w:val="000000" w:themeColor="text1"/>
                <w:sz w:val="20"/>
              </w:rPr>
            </w:pPr>
            <w:r w:rsidRPr="001739C3">
              <w:rPr>
                <w:rFonts w:asciiTheme="majorHAnsi" w:hAnsiTheme="majorHAnsi" w:cstheme="majorHAnsi"/>
                <w:b/>
                <w:bCs/>
                <w:color w:val="000000" w:themeColor="text1"/>
                <w:sz w:val="20"/>
              </w:rPr>
              <w:t>EcoloBlue</w:t>
            </w:r>
          </w:p>
        </w:tc>
      </w:tr>
      <w:tr w:rsidR="00B41CC9" w:rsidRPr="00B41CC9" w14:paraId="4469B894" w14:textId="77777777" w:rsidTr="005866F1">
        <w:trPr>
          <w:trHeight w:val="259"/>
          <w:jc w:val="center"/>
        </w:trPr>
        <w:tc>
          <w:tcPr>
            <w:tcW w:w="4574" w:type="dxa"/>
            <w:tcBorders>
              <w:top w:val="single" w:sz="24"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52C48971" w14:textId="77777777" w:rsidR="00B41CC9" w:rsidRPr="001739C3" w:rsidRDefault="00B41CC9" w:rsidP="00B41CC9">
            <w:pPr>
              <w:rPr>
                <w:rFonts w:asciiTheme="majorHAnsi" w:hAnsiTheme="majorHAnsi" w:cstheme="majorHAnsi"/>
                <w:sz w:val="20"/>
              </w:rPr>
            </w:pPr>
            <w:r w:rsidRPr="001739C3">
              <w:rPr>
                <w:rFonts w:asciiTheme="majorHAnsi" w:hAnsiTheme="majorHAnsi" w:cstheme="majorHAnsi"/>
                <w:b/>
                <w:bCs/>
                <w:sz w:val="20"/>
              </w:rPr>
              <w:t>Scale</w:t>
            </w:r>
          </w:p>
        </w:tc>
        <w:tc>
          <w:tcPr>
            <w:tcW w:w="2076" w:type="dxa"/>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58D99395" w14:textId="52B527A2" w:rsidR="00B41CC9" w:rsidRPr="001739C3" w:rsidRDefault="00B41CC9" w:rsidP="005866F1">
            <w:pPr>
              <w:jc w:val="center"/>
              <w:rPr>
                <w:rFonts w:asciiTheme="majorHAnsi" w:hAnsiTheme="majorHAnsi" w:cstheme="majorHAnsi"/>
                <w:b/>
                <w:sz w:val="20"/>
              </w:rPr>
            </w:pPr>
          </w:p>
        </w:tc>
        <w:tc>
          <w:tcPr>
            <w:tcW w:w="216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2DFFABAC" w14:textId="0ABE54E9" w:rsidR="00B41CC9" w:rsidRPr="001739C3" w:rsidRDefault="00B41CC9" w:rsidP="005866F1">
            <w:pPr>
              <w:jc w:val="center"/>
              <w:rPr>
                <w:rFonts w:asciiTheme="majorHAnsi" w:hAnsiTheme="majorHAnsi" w:cstheme="majorHAnsi"/>
                <w:b/>
                <w:sz w:val="20"/>
              </w:rPr>
            </w:pPr>
          </w:p>
        </w:tc>
      </w:tr>
      <w:tr w:rsidR="00B41CC9" w:rsidRPr="00B41CC9" w14:paraId="0DF82F41" w14:textId="77777777" w:rsidTr="005866F1">
        <w:trPr>
          <w:trHeight w:val="259"/>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26DAF077" w14:textId="75543A00" w:rsidR="00B41CC9" w:rsidRPr="001739C3" w:rsidRDefault="004728C4" w:rsidP="00B41CC9">
            <w:pPr>
              <w:rPr>
                <w:rFonts w:asciiTheme="majorHAnsi" w:hAnsiTheme="majorHAnsi" w:cstheme="majorHAnsi"/>
                <w:sz w:val="20"/>
              </w:rPr>
            </w:pPr>
            <w:r w:rsidRPr="001739C3">
              <w:rPr>
                <w:rFonts w:asciiTheme="majorHAnsi" w:hAnsiTheme="majorHAnsi" w:cstheme="majorHAnsi"/>
                <w:sz w:val="20"/>
              </w:rPr>
              <w:t>Large</w:t>
            </w:r>
          </w:p>
        </w:tc>
        <w:tc>
          <w:tcPr>
            <w:tcW w:w="2076"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3847D1E2"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364B9DF9"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2E2C55D2" w14:textId="77777777" w:rsidTr="005866F1">
        <w:trPr>
          <w:trHeight w:val="259"/>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05398345" w14:textId="3091EFC2"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Medium</w:t>
            </w:r>
          </w:p>
        </w:tc>
        <w:tc>
          <w:tcPr>
            <w:tcW w:w="2076"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0A6D9974"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29A4B123"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08418E16" w14:textId="77777777" w:rsidTr="005866F1">
        <w:trPr>
          <w:trHeight w:val="259"/>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75E5256A" w14:textId="77777777"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Home/office</w:t>
            </w:r>
          </w:p>
        </w:tc>
        <w:tc>
          <w:tcPr>
            <w:tcW w:w="2076"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72D94253"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13D25CDF"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40D70B76"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55F4A8E0" w14:textId="3F4029A3" w:rsidR="00B41CC9" w:rsidRPr="001739C3" w:rsidRDefault="00EE22CC" w:rsidP="00B41CC9">
            <w:pPr>
              <w:rPr>
                <w:rFonts w:asciiTheme="majorHAnsi" w:hAnsiTheme="majorHAnsi" w:cstheme="majorHAnsi"/>
                <w:sz w:val="20"/>
              </w:rPr>
            </w:pPr>
            <w:r>
              <w:rPr>
                <w:rFonts w:asciiTheme="majorHAnsi" w:hAnsiTheme="majorHAnsi" w:cstheme="majorHAnsi"/>
                <w:b/>
                <w:bCs/>
                <w:sz w:val="20"/>
              </w:rPr>
              <w:t xml:space="preserve">Electrical </w:t>
            </w:r>
            <w:r w:rsidR="00B41CC9" w:rsidRPr="001739C3">
              <w:rPr>
                <w:rFonts w:asciiTheme="majorHAnsi" w:hAnsiTheme="majorHAnsi" w:cstheme="majorHAnsi"/>
                <w:b/>
                <w:bCs/>
                <w:sz w:val="20"/>
              </w:rPr>
              <w:t xml:space="preserve">Grid </w:t>
            </w:r>
            <w:r>
              <w:rPr>
                <w:rFonts w:asciiTheme="majorHAnsi" w:hAnsiTheme="majorHAnsi" w:cstheme="majorHAnsi"/>
                <w:b/>
                <w:bCs/>
                <w:sz w:val="20"/>
              </w:rPr>
              <w:t>M</w:t>
            </w:r>
            <w:r w:rsidR="00B41CC9" w:rsidRPr="001739C3">
              <w:rPr>
                <w:rFonts w:asciiTheme="majorHAnsi" w:hAnsiTheme="majorHAnsi" w:cstheme="majorHAnsi"/>
                <w:b/>
                <w:bCs/>
                <w:sz w:val="20"/>
              </w:rPr>
              <w:t>ix</w:t>
            </w:r>
          </w:p>
        </w:tc>
        <w:tc>
          <w:tcPr>
            <w:tcW w:w="2076"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25FF6CC6" w14:textId="42CC2711" w:rsidR="00B41CC9" w:rsidRPr="001739C3" w:rsidRDefault="00B41CC9" w:rsidP="005866F1">
            <w:pPr>
              <w:jc w:val="center"/>
              <w:rPr>
                <w:rFonts w:asciiTheme="majorHAnsi" w:hAnsiTheme="majorHAnsi" w:cstheme="majorHAnsi"/>
                <w:b/>
                <w:sz w:val="20"/>
              </w:rPr>
            </w:pP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52FCA1C6" w14:textId="2D038866" w:rsidR="00B41CC9" w:rsidRPr="001739C3" w:rsidRDefault="00B41CC9" w:rsidP="005866F1">
            <w:pPr>
              <w:jc w:val="center"/>
              <w:rPr>
                <w:rFonts w:asciiTheme="majorHAnsi" w:hAnsiTheme="majorHAnsi" w:cstheme="majorHAnsi"/>
                <w:b/>
                <w:sz w:val="20"/>
              </w:rPr>
            </w:pPr>
          </w:p>
        </w:tc>
      </w:tr>
      <w:tr w:rsidR="00B41CC9" w:rsidRPr="00B41CC9" w14:paraId="45FC6B55"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14DF823D" w14:textId="77777777"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U.S. Average</w:t>
            </w:r>
          </w:p>
        </w:tc>
        <w:tc>
          <w:tcPr>
            <w:tcW w:w="2076"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5D9425DD"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177D88F9" w14:textId="7B9486FE"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7B31BABC"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7FAE8287" w14:textId="77777777"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FRCC</w:t>
            </w:r>
          </w:p>
        </w:tc>
        <w:tc>
          <w:tcPr>
            <w:tcW w:w="2076"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64D26F66"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78088DB8"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57B8CC25"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3DD5B7E8" w14:textId="77777777"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RFCW</w:t>
            </w:r>
          </w:p>
        </w:tc>
        <w:tc>
          <w:tcPr>
            <w:tcW w:w="2076"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4AFD11A1" w14:textId="0C0BCB9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699A18DD"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062B9732"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tcPr>
          <w:p w14:paraId="2C2E1416" w14:textId="6ABD4FE6"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CAMX</w:t>
            </w:r>
          </w:p>
        </w:tc>
        <w:tc>
          <w:tcPr>
            <w:tcW w:w="2076"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EC558BE" w14:textId="3B8E2983"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3EA7F89" w14:textId="2F234256"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4FF39CD4"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677C9CED" w14:textId="77777777" w:rsidR="00B41CC9" w:rsidRPr="001739C3" w:rsidRDefault="00B41CC9" w:rsidP="00B41CC9">
            <w:pPr>
              <w:rPr>
                <w:rFonts w:asciiTheme="majorHAnsi" w:hAnsiTheme="majorHAnsi" w:cstheme="majorHAnsi"/>
                <w:sz w:val="20"/>
              </w:rPr>
            </w:pPr>
            <w:r w:rsidRPr="001739C3">
              <w:rPr>
                <w:rFonts w:asciiTheme="majorHAnsi" w:hAnsiTheme="majorHAnsi" w:cstheme="majorHAnsi"/>
                <w:b/>
                <w:bCs/>
                <w:sz w:val="20"/>
              </w:rPr>
              <w:t xml:space="preserve">Water Production </w:t>
            </w:r>
            <w:r w:rsidRPr="001739C3">
              <w:rPr>
                <w:rFonts w:asciiTheme="majorHAnsi" w:hAnsiTheme="majorHAnsi" w:cstheme="majorHAnsi"/>
                <w:sz w:val="20"/>
              </w:rPr>
              <w:t>(function of relative humidity and temperature)</w:t>
            </w:r>
          </w:p>
        </w:tc>
        <w:tc>
          <w:tcPr>
            <w:tcW w:w="2076"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329D291C" w14:textId="77777777" w:rsidR="00B41CC9" w:rsidRPr="001739C3" w:rsidRDefault="00B41CC9" w:rsidP="005866F1">
            <w:pPr>
              <w:jc w:val="center"/>
              <w:rPr>
                <w:rFonts w:asciiTheme="majorHAnsi" w:hAnsiTheme="majorHAnsi" w:cstheme="majorHAnsi"/>
                <w:b/>
                <w:sz w:val="20"/>
              </w:rPr>
            </w:pP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523ED80F" w14:textId="77777777" w:rsidR="00B41CC9" w:rsidRPr="001739C3" w:rsidRDefault="00B41CC9" w:rsidP="005866F1">
            <w:pPr>
              <w:jc w:val="center"/>
              <w:rPr>
                <w:rFonts w:asciiTheme="majorHAnsi" w:hAnsiTheme="majorHAnsi" w:cstheme="majorHAnsi"/>
                <w:b/>
                <w:sz w:val="20"/>
              </w:rPr>
            </w:pPr>
          </w:p>
        </w:tc>
      </w:tr>
      <w:tr w:rsidR="00B41CC9" w:rsidRPr="00B41CC9" w14:paraId="20A440F0"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4FD441A3" w14:textId="78694391"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Minimum</w:t>
            </w:r>
            <w:r w:rsidR="002A1A26" w:rsidRPr="001739C3">
              <w:rPr>
                <w:rFonts w:asciiTheme="majorHAnsi" w:hAnsiTheme="majorHAnsi" w:cstheme="majorHAnsi"/>
                <w:sz w:val="20"/>
              </w:rPr>
              <w:t>*</w:t>
            </w:r>
          </w:p>
        </w:tc>
        <w:tc>
          <w:tcPr>
            <w:tcW w:w="2076"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1CE6F524"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63572145"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596BD0D4"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585C0E1A" w14:textId="16A269F3"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Average</w:t>
            </w:r>
            <w:r w:rsidR="002A1A26" w:rsidRPr="001739C3">
              <w:rPr>
                <w:rFonts w:asciiTheme="majorHAnsi" w:hAnsiTheme="majorHAnsi" w:cstheme="majorHAnsi"/>
                <w:sz w:val="20"/>
              </w:rPr>
              <w:t>*</w:t>
            </w:r>
          </w:p>
        </w:tc>
        <w:tc>
          <w:tcPr>
            <w:tcW w:w="2076"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5E95F042"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392EF4A3"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35DB63FB"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18373706" w14:textId="0DD20578"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Maximum</w:t>
            </w:r>
            <w:r w:rsidR="002A1A26" w:rsidRPr="001739C3">
              <w:rPr>
                <w:rFonts w:asciiTheme="majorHAnsi" w:hAnsiTheme="majorHAnsi" w:cstheme="majorHAnsi"/>
                <w:sz w:val="20"/>
              </w:rPr>
              <w:t>*</w:t>
            </w:r>
          </w:p>
        </w:tc>
        <w:tc>
          <w:tcPr>
            <w:tcW w:w="2076"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1946AB23"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47201BE8"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B41CC9" w:rsidRPr="00B41CC9" w14:paraId="54193AFD"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3C975FB6" w14:textId="77777777" w:rsidR="00B41CC9" w:rsidRPr="001739C3" w:rsidRDefault="00B41CC9" w:rsidP="00B41CC9">
            <w:pPr>
              <w:rPr>
                <w:rFonts w:asciiTheme="majorHAnsi" w:hAnsiTheme="majorHAnsi" w:cstheme="majorHAnsi"/>
                <w:sz w:val="20"/>
              </w:rPr>
            </w:pPr>
            <w:r w:rsidRPr="001739C3">
              <w:rPr>
                <w:rFonts w:asciiTheme="majorHAnsi" w:hAnsiTheme="majorHAnsi" w:cstheme="majorHAnsi"/>
                <w:b/>
                <w:bCs/>
                <w:sz w:val="20"/>
              </w:rPr>
              <w:t>Reusable Container Washing Method</w:t>
            </w:r>
          </w:p>
        </w:tc>
        <w:tc>
          <w:tcPr>
            <w:tcW w:w="2076"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163FA68E" w14:textId="77777777" w:rsidR="00B41CC9" w:rsidRPr="001739C3" w:rsidRDefault="00B41CC9" w:rsidP="005866F1">
            <w:pPr>
              <w:jc w:val="center"/>
              <w:rPr>
                <w:rFonts w:asciiTheme="majorHAnsi" w:hAnsiTheme="majorHAnsi" w:cstheme="majorHAnsi"/>
                <w:b/>
                <w:sz w:val="20"/>
              </w:rPr>
            </w:pP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22E55C78" w14:textId="77777777" w:rsidR="00B41CC9" w:rsidRPr="001739C3" w:rsidRDefault="00B41CC9" w:rsidP="005866F1">
            <w:pPr>
              <w:jc w:val="center"/>
              <w:rPr>
                <w:rFonts w:asciiTheme="majorHAnsi" w:hAnsiTheme="majorHAnsi" w:cstheme="majorHAnsi"/>
                <w:b/>
                <w:sz w:val="20"/>
              </w:rPr>
            </w:pPr>
          </w:p>
        </w:tc>
      </w:tr>
      <w:tr w:rsidR="00B41CC9" w:rsidRPr="00B41CC9" w14:paraId="2FC60F5C"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hideMark/>
          </w:tcPr>
          <w:p w14:paraId="1AE8528E" w14:textId="3FAADDEE" w:rsidR="00B41CC9" w:rsidRPr="001739C3" w:rsidRDefault="00B41CC9" w:rsidP="00B41CC9">
            <w:pPr>
              <w:rPr>
                <w:rFonts w:asciiTheme="majorHAnsi" w:hAnsiTheme="majorHAnsi" w:cstheme="majorHAnsi"/>
                <w:sz w:val="20"/>
              </w:rPr>
            </w:pPr>
            <w:r w:rsidRPr="001739C3">
              <w:rPr>
                <w:rFonts w:asciiTheme="majorHAnsi" w:hAnsiTheme="majorHAnsi" w:cstheme="majorHAnsi"/>
                <w:sz w:val="20"/>
              </w:rPr>
              <w:t>Handwash</w:t>
            </w:r>
            <w:r w:rsidR="00FF029C" w:rsidRPr="001739C3">
              <w:rPr>
                <w:rFonts w:asciiTheme="majorHAnsi" w:hAnsiTheme="majorHAnsi" w:cstheme="majorHAnsi"/>
                <w:sz w:val="20"/>
                <w:vertAlign w:val="superscript"/>
              </w:rPr>
              <w:t>§</w:t>
            </w:r>
          </w:p>
        </w:tc>
        <w:tc>
          <w:tcPr>
            <w:tcW w:w="2076"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5DB3E295"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59085587" w14:textId="77777777" w:rsidR="00B41CC9" w:rsidRPr="001739C3" w:rsidRDefault="00B41CC9" w:rsidP="005866F1">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r w:rsidR="002161E4" w:rsidRPr="00B41CC9" w14:paraId="52924C8A" w14:textId="77777777" w:rsidTr="005866F1">
        <w:trPr>
          <w:trHeight w:val="266"/>
          <w:jc w:val="center"/>
        </w:trPr>
        <w:tc>
          <w:tcPr>
            <w:tcW w:w="4574" w:type="dxa"/>
            <w:tcBorders>
              <w:top w:val="single" w:sz="8" w:space="0" w:color="FFFFFF"/>
              <w:left w:val="single" w:sz="8" w:space="0" w:color="FFFFFF"/>
              <w:bottom w:val="single" w:sz="8" w:space="0" w:color="FFFFFF"/>
              <w:right w:val="single" w:sz="8" w:space="0" w:color="FFFFFF"/>
            </w:tcBorders>
            <w:shd w:val="clear" w:color="auto" w:fill="BBE0E3"/>
            <w:tcMar>
              <w:top w:w="15" w:type="dxa"/>
              <w:left w:w="75" w:type="dxa"/>
              <w:bottom w:w="0" w:type="dxa"/>
              <w:right w:w="75" w:type="dxa"/>
            </w:tcMar>
          </w:tcPr>
          <w:p w14:paraId="71638886" w14:textId="1F8E3461" w:rsidR="002161E4" w:rsidRPr="001739C3" w:rsidRDefault="002161E4" w:rsidP="002161E4">
            <w:pPr>
              <w:rPr>
                <w:rFonts w:asciiTheme="majorHAnsi" w:hAnsiTheme="majorHAnsi" w:cstheme="majorHAnsi"/>
                <w:sz w:val="20"/>
              </w:rPr>
            </w:pPr>
            <w:r>
              <w:rPr>
                <w:rFonts w:asciiTheme="majorHAnsi" w:hAnsiTheme="majorHAnsi" w:cstheme="majorHAnsi"/>
                <w:sz w:val="20"/>
              </w:rPr>
              <w:t>No washing</w:t>
            </w:r>
          </w:p>
        </w:tc>
        <w:tc>
          <w:tcPr>
            <w:tcW w:w="2076"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12797039" w14:textId="4885CC30" w:rsidR="002161E4" w:rsidRPr="001739C3" w:rsidRDefault="002161E4" w:rsidP="002161E4">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57D2F1C7" w14:textId="4FF72374" w:rsidR="002161E4" w:rsidRPr="001739C3" w:rsidRDefault="002161E4" w:rsidP="002161E4">
            <w:pPr>
              <w:jc w:val="center"/>
              <w:rPr>
                <w:rFonts w:asciiTheme="majorHAnsi" w:hAnsiTheme="majorHAnsi" w:cstheme="majorHAnsi"/>
                <w:b/>
                <w:sz w:val="20"/>
              </w:rPr>
            </w:pPr>
            <w:r w:rsidRPr="001739C3">
              <w:rPr>
                <w:rFonts w:asciiTheme="majorHAnsi" w:hAnsiTheme="majorHAnsi" w:cstheme="majorHAnsi"/>
                <w:b/>
                <w:sz w:val="20"/>
              </w:rPr>
              <w:sym w:font="Wingdings 2" w:char="F050"/>
            </w:r>
          </w:p>
        </w:tc>
      </w:tr>
    </w:tbl>
    <w:p w14:paraId="32334DE4" w14:textId="0129B06C" w:rsidR="002A1A26" w:rsidRPr="001505AD" w:rsidRDefault="002A1A26" w:rsidP="001739C3">
      <w:pPr>
        <w:pStyle w:val="Tablefootnotes"/>
        <w:tabs>
          <w:tab w:val="clear" w:pos="360"/>
        </w:tabs>
        <w:ind w:left="630"/>
      </w:pPr>
      <w:r w:rsidRPr="002A1A26">
        <w:t>*</w:t>
      </w:r>
      <w:r w:rsidRPr="001505AD">
        <w:t xml:space="preserve">The values of minimum, maximum and average values included in the model are shown in </w:t>
      </w:r>
      <w:r w:rsidRPr="001505AD">
        <w:fldChar w:fldCharType="begin"/>
      </w:r>
      <w:r w:rsidRPr="001505AD">
        <w:instrText xml:space="preserve"> REF _Ref524356079 \h  \* MERGEFORMAT </w:instrText>
      </w:r>
      <w:r w:rsidRPr="001505AD">
        <w:fldChar w:fldCharType="separate"/>
      </w:r>
      <w:r w:rsidR="008072BC">
        <w:t>Table 6</w:t>
      </w:r>
      <w:r w:rsidRPr="001505AD">
        <w:fldChar w:fldCharType="end"/>
      </w:r>
      <w:r w:rsidR="001505AD" w:rsidRPr="001505AD">
        <w:t>.</w:t>
      </w:r>
    </w:p>
    <w:p w14:paraId="5411BA91" w14:textId="39980744" w:rsidR="002A1A26" w:rsidRDefault="00FF029C" w:rsidP="001739C3">
      <w:pPr>
        <w:pStyle w:val="Tablefootnotes"/>
        <w:tabs>
          <w:tab w:val="clear" w:pos="360"/>
        </w:tabs>
        <w:ind w:left="270" w:firstLine="0"/>
      </w:pPr>
      <w:r w:rsidRPr="001505AD">
        <w:rPr>
          <w:vertAlign w:val="superscript"/>
        </w:rPr>
        <w:t>§</w:t>
      </w:r>
      <w:r w:rsidRPr="001505AD">
        <w:t xml:space="preserve">Handwashing is modeled as using half the volume of the reusable glass for input water </w:t>
      </w:r>
    </w:p>
    <w:p w14:paraId="5FB2EC2E" w14:textId="77777777" w:rsidR="001739C3" w:rsidRPr="001739C3" w:rsidRDefault="001739C3" w:rsidP="001739C3"/>
    <w:p w14:paraId="6DF8FE59" w14:textId="25BF2D23" w:rsidR="00D563AA" w:rsidRDefault="00D563AA" w:rsidP="00CA3B58">
      <w:pPr>
        <w:pStyle w:val="Heading2"/>
      </w:pPr>
      <w:bookmarkStart w:id="272" w:name="_Toc525246212"/>
      <w:bookmarkStart w:id="273" w:name="_Toc533009170"/>
      <w:r>
        <w:t>Bottled Water S</w:t>
      </w:r>
      <w:r w:rsidR="00CA3B58">
        <w:t>cenarios Evaluated</w:t>
      </w:r>
      <w:bookmarkEnd w:id="272"/>
      <w:bookmarkEnd w:id="273"/>
    </w:p>
    <w:p w14:paraId="1CA9BDFC" w14:textId="7950DD2A" w:rsidR="00CA6971" w:rsidRDefault="0054794F" w:rsidP="00CA6971">
      <w:pPr>
        <w:pStyle w:val="BodyText"/>
      </w:pPr>
      <w:r>
        <w:t xml:space="preserve">We </w:t>
      </w:r>
      <w:r w:rsidR="00976DC9">
        <w:t xml:space="preserve">have </w:t>
      </w:r>
      <w:r w:rsidR="00B035F7">
        <w:t>studied</w:t>
      </w:r>
      <w:r w:rsidR="00976DC9">
        <w:t xml:space="preserve"> several scenarios around</w:t>
      </w:r>
      <w:r>
        <w:t xml:space="preserve"> key assumptions in the bottled water analysis. All </w:t>
      </w:r>
      <w:r w:rsidR="00976DC9">
        <w:t>scenario</w:t>
      </w:r>
      <w:r>
        <w:t xml:space="preserve"> results </w:t>
      </w:r>
      <w:r w:rsidR="00976DC9">
        <w:t>are</w:t>
      </w:r>
      <w:r>
        <w:t xml:space="preserve"> compared to the AWG findings. </w:t>
      </w:r>
      <w:r w:rsidR="00976DC9">
        <w:t xml:space="preserve">The bottled water scenarios are shown in </w:t>
      </w:r>
      <w:r w:rsidR="00B035F7">
        <w:fldChar w:fldCharType="begin"/>
      </w:r>
      <w:r w:rsidR="00B035F7">
        <w:instrText xml:space="preserve"> REF _Ref524357298 \h </w:instrText>
      </w:r>
      <w:r w:rsidR="00B035F7">
        <w:fldChar w:fldCharType="separate"/>
      </w:r>
      <w:r w:rsidR="00F17892">
        <w:t xml:space="preserve">Table </w:t>
      </w:r>
      <w:r w:rsidR="00F17892">
        <w:rPr>
          <w:noProof/>
        </w:rPr>
        <w:t>8</w:t>
      </w:r>
      <w:r w:rsidR="00B035F7">
        <w:fldChar w:fldCharType="end"/>
      </w:r>
      <w:r w:rsidR="00B035F7">
        <w:t>.</w:t>
      </w:r>
      <w:r w:rsidR="00846C54">
        <w:t xml:space="preserve"> The scenarios</w:t>
      </w:r>
      <w:r w:rsidR="00642721">
        <w:t xml:space="preserve"> evaluated</w:t>
      </w:r>
      <w:r w:rsidR="00846C54">
        <w:t xml:space="preserve"> include washing methods of the reusable container (</w:t>
      </w:r>
      <w:r w:rsidR="00A14F6B">
        <w:t>handwash</w:t>
      </w:r>
      <w:r w:rsidR="00FA49B3">
        <w:t xml:space="preserve"> </w:t>
      </w:r>
      <w:r w:rsidR="00642721">
        <w:t xml:space="preserve">versus </w:t>
      </w:r>
      <w:r w:rsidR="00A14F6B">
        <w:t xml:space="preserve">no </w:t>
      </w:r>
      <w:r w:rsidR="00642721">
        <w:t>wash</w:t>
      </w:r>
      <w:r w:rsidR="00846C54">
        <w:t xml:space="preserve">) for the multi-serve option, transport distances for delivering multi-serve water bottles, weights of the single-serve </w:t>
      </w:r>
      <w:r w:rsidR="00642721">
        <w:t>lightweight</w:t>
      </w:r>
      <w:r w:rsidR="00CA6971">
        <w:t xml:space="preserve"> bottle</w:t>
      </w:r>
      <w:r w:rsidR="00846C54">
        <w:t>, recycl</w:t>
      </w:r>
      <w:r w:rsidR="00FF50FB">
        <w:t>ed</w:t>
      </w:r>
      <w:r w:rsidR="00846C54">
        <w:t xml:space="preserve"> content of the single-serve bottle</w:t>
      </w:r>
      <w:r w:rsidR="00642721">
        <w:t xml:space="preserve"> (virgin versus </w:t>
      </w:r>
      <w:r w:rsidR="009C2057">
        <w:t xml:space="preserve">ten </w:t>
      </w:r>
      <w:r w:rsidR="00642721">
        <w:t>percent)</w:t>
      </w:r>
      <w:r w:rsidR="00846C54">
        <w:t>, the recycling allocation methods</w:t>
      </w:r>
      <w:r w:rsidR="00642721">
        <w:t xml:space="preserve"> (cut-off versus system expansion)</w:t>
      </w:r>
      <w:r w:rsidR="00846C54">
        <w:t xml:space="preserve"> and the source of water</w:t>
      </w:r>
      <w:r w:rsidR="00642721">
        <w:t xml:space="preserve"> (spring water or treated municipal water)</w:t>
      </w:r>
      <w:r w:rsidR="00846C54">
        <w:t xml:space="preserve"> for filling the bottles.</w:t>
      </w:r>
      <w:r w:rsidR="00CA6971">
        <w:t xml:space="preserve"> </w:t>
      </w:r>
    </w:p>
    <w:p w14:paraId="3C9B76F8" w14:textId="0E507775" w:rsidR="00976DC9" w:rsidRDefault="00CA6971" w:rsidP="00CA6971">
      <w:pPr>
        <w:pStyle w:val="BodyText"/>
      </w:pPr>
      <w:r>
        <w:t xml:space="preserve">The baseline scenario </w:t>
      </w:r>
      <w:r w:rsidR="00BC24E3">
        <w:t>models</w:t>
      </w:r>
      <w:r>
        <w:t xml:space="preserve"> lightweigh</w:t>
      </w:r>
      <w:r w:rsidR="00BC24E3">
        <w:t>t</w:t>
      </w:r>
      <w:r>
        <w:t xml:space="preserve"> </w:t>
      </w:r>
      <w:r w:rsidR="009B2365">
        <w:t>single-serve</w:t>
      </w:r>
      <w:r w:rsidR="00BC24E3">
        <w:t xml:space="preserve"> </w:t>
      </w:r>
      <w:r>
        <w:t>bottles (9.</w:t>
      </w:r>
      <w:r w:rsidR="00C10176">
        <w:t>3</w:t>
      </w:r>
      <w:r>
        <w:t xml:space="preserve"> grams </w:t>
      </w:r>
      <w:r w:rsidR="00F07D55">
        <w:t>and</w:t>
      </w:r>
      <w:r>
        <w:t xml:space="preserve"> 10.9 grams)</w:t>
      </w:r>
      <w:r w:rsidR="00BC24E3">
        <w:t xml:space="preserve"> with virgin PET or zero recycled content. </w:t>
      </w:r>
      <w:r>
        <w:t xml:space="preserve">All recycled content or material recycling are modeled </w:t>
      </w:r>
      <w:r w:rsidR="00C10176">
        <w:t xml:space="preserve">using the </w:t>
      </w:r>
      <w:r>
        <w:t>cut-off</w:t>
      </w:r>
      <w:r w:rsidR="00C10176">
        <w:t xml:space="preserve"> recycling allocation method (described below)</w:t>
      </w:r>
      <w:r>
        <w:t xml:space="preserve">. </w:t>
      </w:r>
      <w:r w:rsidRPr="009F48C3">
        <w:t>The baseline analysis</w:t>
      </w:r>
      <w:r>
        <w:t xml:space="preserve"> </w:t>
      </w:r>
      <w:r w:rsidRPr="009F48C3">
        <w:t>include</w:t>
      </w:r>
      <w:r>
        <w:t>s</w:t>
      </w:r>
      <w:r w:rsidRPr="009F48C3">
        <w:t xml:space="preserve"> a 24-count multipack </w:t>
      </w:r>
      <w:r w:rsidR="00BC24E3">
        <w:t xml:space="preserve">of </w:t>
      </w:r>
      <w:r w:rsidR="009B2365">
        <w:t>single-serve</w:t>
      </w:r>
      <w:r w:rsidR="00BC24E3">
        <w:t xml:space="preserve"> bottles </w:t>
      </w:r>
      <w:r w:rsidRPr="009F48C3">
        <w:t>configured with shrink wrap</w:t>
      </w:r>
      <w:r w:rsidR="00F07D55">
        <w:t xml:space="preserve"> and </w:t>
      </w:r>
      <w:r w:rsidR="00F72403" w:rsidRPr="006F4337">
        <w:t>assume</w:t>
      </w:r>
      <w:r w:rsidR="00F72403">
        <w:t>s</w:t>
      </w:r>
      <w:r w:rsidR="00F72403" w:rsidRPr="006F4337">
        <w:t xml:space="preserve"> </w:t>
      </w:r>
      <w:r w:rsidR="00BC24E3">
        <w:t>the</w:t>
      </w:r>
      <w:r w:rsidR="00F72403" w:rsidRPr="006F4337">
        <w:t xml:space="preserve"> </w:t>
      </w:r>
      <w:r w:rsidR="00F72403">
        <w:t xml:space="preserve">transport distance </w:t>
      </w:r>
      <w:r w:rsidR="00F72403" w:rsidRPr="006F4337">
        <w:t xml:space="preserve">of the filled bottle to the consumer </w:t>
      </w:r>
      <w:r w:rsidR="00BC24E3">
        <w:t>as</w:t>
      </w:r>
      <w:r w:rsidR="002B6759">
        <w:t xml:space="preserve"> an estimated</w:t>
      </w:r>
      <w:r w:rsidR="00F72403" w:rsidRPr="006F4337">
        <w:t xml:space="preserve"> 100 miles</w:t>
      </w:r>
      <w:r w:rsidR="00F72403">
        <w:t xml:space="preserve"> for the </w:t>
      </w:r>
      <w:r w:rsidR="009B2365">
        <w:t>single-serve</w:t>
      </w:r>
      <w:r w:rsidR="00F72403">
        <w:t xml:space="preserve"> bottle and 75 miles for the multi-serve bottle</w:t>
      </w:r>
      <w:r w:rsidR="00C10176">
        <w:t xml:space="preserve"> </w:t>
      </w:r>
      <w:r w:rsidR="00076177">
        <w:t xml:space="preserve">based on the assumptions made in a life cycle assessment study by the State of Oregon Department of Environmental Quality, on drinking water systems </w:t>
      </w:r>
      <w:r w:rsidR="00C10176">
        <w:t>(ORDEQ, 2009)</w:t>
      </w:r>
      <w:r w:rsidR="00F72403">
        <w:t>.</w:t>
      </w:r>
      <w:r w:rsidR="00BC24E3">
        <w:t xml:space="preserve"> T</w:t>
      </w:r>
      <w:r w:rsidR="00BC24E3" w:rsidRPr="00372429">
        <w:t xml:space="preserve">he baseline </w:t>
      </w:r>
      <w:r w:rsidR="00BC24E3">
        <w:t>analysis</w:t>
      </w:r>
      <w:r w:rsidR="00BC24E3" w:rsidRPr="00372429">
        <w:t xml:space="preserve"> </w:t>
      </w:r>
      <w:r w:rsidR="00BC24E3">
        <w:t>assumes that</w:t>
      </w:r>
      <w:r w:rsidR="00BC24E3" w:rsidRPr="00372429">
        <w:t xml:space="preserve"> the water is derived from </w:t>
      </w:r>
      <w:r w:rsidR="00F07D55">
        <w:t>a spring</w:t>
      </w:r>
      <w:r w:rsidR="00BC24E3" w:rsidRPr="00372429">
        <w:t xml:space="preserve"> </w:t>
      </w:r>
      <w:r w:rsidR="00C10176">
        <w:t>and</w:t>
      </w:r>
      <w:r w:rsidR="00C10176" w:rsidRPr="00372429">
        <w:t xml:space="preserve"> </w:t>
      </w:r>
      <w:r w:rsidR="00BC24E3" w:rsidRPr="00372429">
        <w:t>include</w:t>
      </w:r>
      <w:r w:rsidR="00C10176">
        <w:t>s</w:t>
      </w:r>
      <w:r w:rsidR="00BC24E3" w:rsidRPr="00372429">
        <w:t xml:space="preserve"> additional water treatment steps at the filling location</w:t>
      </w:r>
      <w:r w:rsidR="00BC24E3">
        <w:t xml:space="preserve"> such as </w:t>
      </w:r>
      <w:r w:rsidR="00F07D55">
        <w:t>ultrafiltration</w:t>
      </w:r>
      <w:r w:rsidR="00BC24E3">
        <w:t>, ozone treatment, and UV treatment</w:t>
      </w:r>
      <w:r w:rsidR="00BC24E3" w:rsidRPr="00372429">
        <w:t>.</w:t>
      </w:r>
      <w:r w:rsidR="00BC24E3">
        <w:t xml:space="preserve"> The baseline analysis assumes 40 reuses of the HOD jug and </w:t>
      </w:r>
      <w:r w:rsidR="00BC24E3">
        <w:lastRenderedPageBreak/>
        <w:t xml:space="preserve">that the reusable glass used in combination with the HOD jug is washed </w:t>
      </w:r>
      <w:r w:rsidR="00F07D55">
        <w:t>in</w:t>
      </w:r>
      <w:r w:rsidR="00BC24E3">
        <w:t xml:space="preserve"> </w:t>
      </w:r>
      <w:r w:rsidR="00A14F6B">
        <w:t>by hand</w:t>
      </w:r>
      <w:r w:rsidR="00B00A35">
        <w:t xml:space="preserve"> after use</w:t>
      </w:r>
      <w:r w:rsidR="00C10176">
        <w:t xml:space="preserve"> (ORDEQ, 2009)</w:t>
      </w:r>
      <w:r w:rsidR="00BC24E3">
        <w:t>.</w:t>
      </w:r>
    </w:p>
    <w:tbl>
      <w:tblPr>
        <w:tblW w:w="9350" w:type="dxa"/>
        <w:tblCellMar>
          <w:left w:w="0" w:type="dxa"/>
          <w:right w:w="0" w:type="dxa"/>
        </w:tblCellMar>
        <w:tblLook w:val="04A0" w:firstRow="1" w:lastRow="0" w:firstColumn="1" w:lastColumn="0" w:noHBand="0" w:noVBand="1"/>
      </w:tblPr>
      <w:tblGrid>
        <w:gridCol w:w="3770"/>
        <w:gridCol w:w="2610"/>
        <w:gridCol w:w="2970"/>
      </w:tblGrid>
      <w:tr w:rsidR="001739C3" w:rsidRPr="00B035F7" w14:paraId="709BAF03" w14:textId="77777777" w:rsidTr="001739C3">
        <w:trPr>
          <w:trHeight w:val="354"/>
        </w:trPr>
        <w:tc>
          <w:tcPr>
            <w:tcW w:w="9350" w:type="dxa"/>
            <w:gridSpan w:val="3"/>
            <w:tcBorders>
              <w:bottom w:val="single" w:sz="24" w:space="0" w:color="FFFFFF"/>
              <w:right w:val="single" w:sz="8" w:space="0" w:color="FFFFFF"/>
            </w:tcBorders>
            <w:shd w:val="clear" w:color="auto" w:fill="auto"/>
            <w:tcMar>
              <w:top w:w="15" w:type="dxa"/>
              <w:left w:w="75" w:type="dxa"/>
              <w:bottom w:w="0" w:type="dxa"/>
              <w:right w:w="75" w:type="dxa"/>
            </w:tcMar>
            <w:vAlign w:val="center"/>
          </w:tcPr>
          <w:p w14:paraId="58F9576C" w14:textId="4AACA0BE" w:rsidR="001739C3" w:rsidRPr="00D24293" w:rsidRDefault="001739C3" w:rsidP="001739C3">
            <w:pPr>
              <w:pStyle w:val="TableTitle"/>
              <w:rPr>
                <w:rFonts w:asciiTheme="majorHAnsi" w:hAnsiTheme="majorHAnsi" w:cstheme="majorHAnsi"/>
                <w:bCs/>
                <w:color w:val="000000" w:themeColor="text1"/>
                <w:kern w:val="24"/>
                <w:sz w:val="22"/>
                <w:szCs w:val="22"/>
              </w:rPr>
            </w:pPr>
            <w:bookmarkStart w:id="274" w:name="_Ref524357298"/>
            <w:bookmarkStart w:id="275" w:name="_Toc524636928"/>
            <w:bookmarkStart w:id="276" w:name="_Toc533009188"/>
            <w:r>
              <w:t xml:space="preserve">Table </w:t>
            </w:r>
            <w:r>
              <w:rPr>
                <w:noProof/>
              </w:rPr>
              <w:fldChar w:fldCharType="begin"/>
            </w:r>
            <w:r>
              <w:rPr>
                <w:noProof/>
              </w:rPr>
              <w:instrText xml:space="preserve"> SEQ Table \* ARABIC </w:instrText>
            </w:r>
            <w:r>
              <w:rPr>
                <w:noProof/>
              </w:rPr>
              <w:fldChar w:fldCharType="separate"/>
            </w:r>
            <w:r w:rsidR="008072BC">
              <w:rPr>
                <w:noProof/>
              </w:rPr>
              <w:t>8</w:t>
            </w:r>
            <w:r>
              <w:rPr>
                <w:noProof/>
              </w:rPr>
              <w:fldChar w:fldCharType="end"/>
            </w:r>
            <w:bookmarkEnd w:id="274"/>
            <w:r>
              <w:t>. Bottled Water Scenarios</w:t>
            </w:r>
            <w:bookmarkEnd w:id="275"/>
            <w:bookmarkEnd w:id="276"/>
          </w:p>
        </w:tc>
      </w:tr>
      <w:tr w:rsidR="00B035F7" w:rsidRPr="00B035F7" w14:paraId="672DBE75" w14:textId="77777777" w:rsidTr="00500803">
        <w:trPr>
          <w:trHeight w:val="354"/>
        </w:trPr>
        <w:tc>
          <w:tcPr>
            <w:tcW w:w="377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75" w:type="dxa"/>
              <w:bottom w:w="0" w:type="dxa"/>
              <w:right w:w="75" w:type="dxa"/>
            </w:tcMar>
            <w:vAlign w:val="center"/>
            <w:hideMark/>
          </w:tcPr>
          <w:p w14:paraId="61240CD5" w14:textId="77777777" w:rsidR="00B035F7" w:rsidRPr="008622DB" w:rsidRDefault="00B035F7" w:rsidP="00B035F7">
            <w:pPr>
              <w:spacing w:after="240"/>
              <w:jc w:val="center"/>
              <w:rPr>
                <w:rFonts w:asciiTheme="majorHAnsi" w:hAnsiTheme="majorHAnsi" w:cstheme="majorHAnsi"/>
                <w:sz w:val="20"/>
              </w:rPr>
            </w:pPr>
            <w:r w:rsidRPr="008622DB">
              <w:rPr>
                <w:rFonts w:asciiTheme="majorHAnsi" w:hAnsiTheme="majorHAnsi" w:cstheme="majorHAnsi"/>
                <w:b/>
                <w:bCs/>
                <w:color w:val="000000"/>
                <w:kern w:val="24"/>
                <w:sz w:val="20"/>
              </w:rPr>
              <w:t> </w:t>
            </w:r>
          </w:p>
        </w:tc>
        <w:tc>
          <w:tcPr>
            <w:tcW w:w="261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14:paraId="3F0D2D22" w14:textId="77777777" w:rsidR="00B035F7" w:rsidRPr="008622DB" w:rsidRDefault="00B035F7" w:rsidP="00162B90">
            <w:pPr>
              <w:jc w:val="center"/>
              <w:rPr>
                <w:rFonts w:asciiTheme="majorHAnsi" w:hAnsiTheme="majorHAnsi" w:cstheme="majorHAnsi"/>
                <w:color w:val="000000" w:themeColor="text1"/>
                <w:sz w:val="20"/>
              </w:rPr>
            </w:pPr>
            <w:r w:rsidRPr="008622DB">
              <w:rPr>
                <w:rFonts w:asciiTheme="majorHAnsi" w:hAnsiTheme="majorHAnsi" w:cstheme="majorHAnsi"/>
                <w:b/>
                <w:bCs/>
                <w:color w:val="000000" w:themeColor="text1"/>
                <w:kern w:val="24"/>
                <w:sz w:val="20"/>
              </w:rPr>
              <w:t>Single-Serve Water Bottle</w:t>
            </w:r>
          </w:p>
        </w:tc>
        <w:tc>
          <w:tcPr>
            <w:tcW w:w="297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hideMark/>
          </w:tcPr>
          <w:p w14:paraId="77893E73" w14:textId="77777777" w:rsidR="00B035F7" w:rsidRPr="008622DB" w:rsidRDefault="00B035F7" w:rsidP="00162B90">
            <w:pPr>
              <w:jc w:val="center"/>
              <w:rPr>
                <w:rFonts w:asciiTheme="majorHAnsi" w:hAnsiTheme="majorHAnsi" w:cstheme="majorHAnsi"/>
                <w:color w:val="000000" w:themeColor="text1"/>
                <w:sz w:val="20"/>
              </w:rPr>
            </w:pPr>
            <w:r w:rsidRPr="008622DB">
              <w:rPr>
                <w:rFonts w:asciiTheme="majorHAnsi" w:hAnsiTheme="majorHAnsi" w:cstheme="majorHAnsi"/>
                <w:b/>
                <w:bCs/>
                <w:color w:val="000000" w:themeColor="text1"/>
                <w:kern w:val="24"/>
                <w:sz w:val="20"/>
              </w:rPr>
              <w:t>Multi-Serve Water Bottle</w:t>
            </w:r>
          </w:p>
        </w:tc>
      </w:tr>
      <w:tr w:rsidR="00B035F7" w:rsidRPr="00B035F7" w14:paraId="53141F46" w14:textId="77777777" w:rsidTr="005866F1">
        <w:trPr>
          <w:trHeight w:val="265"/>
        </w:trPr>
        <w:tc>
          <w:tcPr>
            <w:tcW w:w="3770"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60F071EF"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b/>
                <w:bCs/>
                <w:color w:val="000000"/>
                <w:kern w:val="24"/>
                <w:sz w:val="20"/>
              </w:rPr>
              <w:t>Reusable Container Washing Method</w:t>
            </w:r>
          </w:p>
        </w:tc>
        <w:tc>
          <w:tcPr>
            <w:tcW w:w="261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034FB917" w14:textId="454F2AD4" w:rsidR="00B035F7" w:rsidRPr="008622DB" w:rsidRDefault="00B035F7" w:rsidP="005866F1">
            <w:pPr>
              <w:jc w:val="center"/>
              <w:rPr>
                <w:rFonts w:asciiTheme="majorHAnsi" w:hAnsiTheme="majorHAnsi" w:cstheme="majorHAnsi"/>
                <w:b/>
                <w:sz w:val="20"/>
              </w:rPr>
            </w:pPr>
          </w:p>
        </w:tc>
        <w:tc>
          <w:tcPr>
            <w:tcW w:w="297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247C63F9" w14:textId="092AE0B5" w:rsidR="00B035F7" w:rsidRPr="008622DB" w:rsidRDefault="00B035F7" w:rsidP="005866F1">
            <w:pPr>
              <w:jc w:val="center"/>
              <w:rPr>
                <w:rFonts w:asciiTheme="majorHAnsi" w:hAnsiTheme="majorHAnsi" w:cstheme="majorHAnsi"/>
                <w:b/>
                <w:sz w:val="20"/>
              </w:rPr>
            </w:pPr>
          </w:p>
        </w:tc>
      </w:tr>
      <w:tr w:rsidR="00B035F7" w:rsidRPr="00B035F7" w14:paraId="6337F812"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4D33D02C" w14:textId="3AA558C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Handwash</w:t>
            </w:r>
            <w:r w:rsidR="0011229F">
              <w:rPr>
                <w:rFonts w:asciiTheme="majorHAnsi" w:hAnsiTheme="majorHAnsi" w:cstheme="majorHAnsi"/>
                <w:color w:val="000000"/>
                <w:kern w:val="24"/>
                <w:sz w:val="20"/>
              </w:rPr>
              <w:t>*</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57C600C6" w14:textId="77777777" w:rsidR="00B035F7" w:rsidRPr="008622DB" w:rsidRDefault="00B035F7" w:rsidP="005866F1">
            <w:pPr>
              <w:tabs>
                <w:tab w:val="clear" w:pos="720"/>
              </w:tabs>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62188F22"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r>
      <w:tr w:rsidR="00943F5A" w:rsidRPr="00B035F7" w14:paraId="3933DC6B"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3BCD1435" w14:textId="3B34E5BF" w:rsidR="00943F5A" w:rsidRPr="008622DB" w:rsidRDefault="00943F5A" w:rsidP="00B035F7">
            <w:pPr>
              <w:tabs>
                <w:tab w:val="clear" w:pos="720"/>
              </w:tabs>
              <w:textAlignment w:val="bottom"/>
              <w:rPr>
                <w:rFonts w:asciiTheme="majorHAnsi" w:hAnsiTheme="majorHAnsi" w:cstheme="majorHAnsi"/>
                <w:color w:val="000000"/>
                <w:kern w:val="24"/>
                <w:sz w:val="20"/>
              </w:rPr>
            </w:pPr>
            <w:r>
              <w:rPr>
                <w:rFonts w:asciiTheme="majorHAnsi" w:hAnsiTheme="majorHAnsi" w:cstheme="majorHAnsi"/>
                <w:color w:val="000000"/>
                <w:kern w:val="24"/>
                <w:sz w:val="20"/>
              </w:rPr>
              <w:t>No Washing</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458D0713" w14:textId="77777777" w:rsidR="00943F5A" w:rsidRPr="008622DB" w:rsidRDefault="00943F5A" w:rsidP="005866F1">
            <w:pPr>
              <w:tabs>
                <w:tab w:val="clear" w:pos="720"/>
              </w:tabs>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4E554B3A" w14:textId="1549EAF9" w:rsidR="00943F5A" w:rsidRPr="008622DB" w:rsidRDefault="00943F5A" w:rsidP="005866F1">
            <w:pPr>
              <w:jc w:val="center"/>
              <w:rPr>
                <w:rFonts w:asciiTheme="majorHAnsi" w:hAnsiTheme="majorHAnsi" w:cstheme="majorHAnsi"/>
                <w:b/>
                <w:color w:val="000000"/>
                <w:kern w:val="24"/>
                <w:sz w:val="20"/>
              </w:rPr>
            </w:pPr>
            <w:r w:rsidRPr="008622DB">
              <w:rPr>
                <w:rFonts w:asciiTheme="majorHAnsi" w:hAnsiTheme="majorHAnsi" w:cstheme="majorHAnsi"/>
                <w:b/>
                <w:color w:val="000000"/>
                <w:kern w:val="24"/>
                <w:sz w:val="20"/>
              </w:rPr>
              <w:sym w:font="Wingdings 2" w:char="F050"/>
            </w:r>
          </w:p>
        </w:tc>
      </w:tr>
      <w:tr w:rsidR="00B035F7" w:rsidRPr="00B035F7" w14:paraId="7B24038F"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7534B9E1" w14:textId="54169FEC"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b/>
                <w:bCs/>
                <w:color w:val="000000"/>
                <w:kern w:val="24"/>
                <w:sz w:val="20"/>
              </w:rPr>
              <w:t>Transport Distance</w:t>
            </w:r>
            <w:r w:rsidR="003D36F1" w:rsidRPr="008622DB">
              <w:rPr>
                <w:rFonts w:asciiTheme="majorHAnsi" w:hAnsiTheme="majorHAnsi" w:cstheme="majorHAnsi"/>
                <w:b/>
                <w:bCs/>
                <w:color w:val="000000"/>
                <w:kern w:val="24"/>
                <w:sz w:val="20"/>
                <w:vertAlign w:val="superscript"/>
              </w:rPr>
              <w:t>§</w:t>
            </w:r>
          </w:p>
        </w:tc>
        <w:tc>
          <w:tcPr>
            <w:tcW w:w="261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02CBE9CC" w14:textId="77777777" w:rsidR="00B035F7" w:rsidRPr="008622DB" w:rsidRDefault="00B035F7" w:rsidP="005866F1">
            <w:pPr>
              <w:tabs>
                <w:tab w:val="clear" w:pos="720"/>
              </w:tabs>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63D4F0BA" w14:textId="77777777" w:rsidR="00B035F7" w:rsidRPr="008622DB" w:rsidRDefault="00B035F7" w:rsidP="005866F1">
            <w:pPr>
              <w:tabs>
                <w:tab w:val="clear" w:pos="720"/>
              </w:tabs>
              <w:jc w:val="center"/>
              <w:rPr>
                <w:rFonts w:asciiTheme="majorHAnsi" w:hAnsiTheme="majorHAnsi" w:cstheme="majorHAnsi"/>
                <w:b/>
                <w:sz w:val="20"/>
              </w:rPr>
            </w:pPr>
          </w:p>
        </w:tc>
      </w:tr>
      <w:tr w:rsidR="00B035F7" w:rsidRPr="00B035F7" w14:paraId="2F85BA3B"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2FA97CB0"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Maximum (125 mi)</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1421299B" w14:textId="77777777" w:rsidR="00B035F7" w:rsidRPr="008622DB" w:rsidRDefault="00B035F7" w:rsidP="005866F1">
            <w:pPr>
              <w:tabs>
                <w:tab w:val="clear" w:pos="720"/>
              </w:tabs>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5745E597"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r>
      <w:tr w:rsidR="00B035F7" w:rsidRPr="00B035F7" w14:paraId="39AD4EC1"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3846443F" w14:textId="7B04A73A"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Average (75 mi)</w:t>
            </w:r>
            <w:r w:rsidR="00642721" w:rsidRPr="008622DB">
              <w:rPr>
                <w:rFonts w:asciiTheme="majorHAnsi" w:hAnsiTheme="majorHAnsi" w:cstheme="majorHAnsi"/>
                <w:color w:val="000000"/>
                <w:kern w:val="24"/>
                <w:sz w:val="20"/>
              </w:rPr>
              <w:t>*</w:t>
            </w:r>
          </w:p>
        </w:tc>
        <w:tc>
          <w:tcPr>
            <w:tcW w:w="261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7AB5046B" w14:textId="77777777" w:rsidR="00B035F7" w:rsidRPr="008622DB" w:rsidRDefault="00B035F7" w:rsidP="005866F1">
            <w:pPr>
              <w:tabs>
                <w:tab w:val="clear" w:pos="720"/>
              </w:tabs>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0D776D6B"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r>
      <w:tr w:rsidR="00B035F7" w:rsidRPr="00B035F7" w14:paraId="5C83C2E3"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48B31462"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Minimum (25 mi)</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1921DE61" w14:textId="77777777" w:rsidR="00B035F7" w:rsidRPr="008622DB" w:rsidRDefault="00B035F7" w:rsidP="005866F1">
            <w:pPr>
              <w:tabs>
                <w:tab w:val="clear" w:pos="720"/>
              </w:tabs>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435CDC7F"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r>
      <w:tr w:rsidR="00B035F7" w:rsidRPr="00B035F7" w14:paraId="07128B31"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45D854A2"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b/>
                <w:bCs/>
                <w:color w:val="000000"/>
                <w:kern w:val="24"/>
                <w:sz w:val="20"/>
              </w:rPr>
              <w:t>Bottle Weight (lightweight)</w:t>
            </w:r>
          </w:p>
        </w:tc>
        <w:tc>
          <w:tcPr>
            <w:tcW w:w="261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1733A059" w14:textId="77777777" w:rsidR="00B035F7" w:rsidRPr="008622DB" w:rsidRDefault="00B035F7" w:rsidP="005866F1">
            <w:pPr>
              <w:tabs>
                <w:tab w:val="clear" w:pos="720"/>
              </w:tabs>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329B337A" w14:textId="77777777" w:rsidR="00B035F7" w:rsidRPr="008622DB" w:rsidRDefault="00B035F7" w:rsidP="005866F1">
            <w:pPr>
              <w:tabs>
                <w:tab w:val="clear" w:pos="720"/>
              </w:tabs>
              <w:jc w:val="center"/>
              <w:rPr>
                <w:rFonts w:asciiTheme="majorHAnsi" w:hAnsiTheme="majorHAnsi" w:cstheme="majorHAnsi"/>
                <w:b/>
                <w:sz w:val="20"/>
              </w:rPr>
            </w:pPr>
          </w:p>
        </w:tc>
      </w:tr>
      <w:tr w:rsidR="00B035F7" w:rsidRPr="00B035F7" w14:paraId="1EF24472"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6D728F4B" w14:textId="7C67CC98"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Minimum (9.3</w:t>
            </w:r>
            <w:r w:rsidR="0082574F">
              <w:rPr>
                <w:rFonts w:asciiTheme="majorHAnsi" w:hAnsiTheme="majorHAnsi" w:cstheme="majorHAnsi"/>
                <w:color w:val="000000"/>
                <w:kern w:val="24"/>
                <w:sz w:val="20"/>
              </w:rPr>
              <w:t xml:space="preserve"> </w:t>
            </w:r>
            <w:r w:rsidRPr="008622DB">
              <w:rPr>
                <w:rFonts w:asciiTheme="majorHAnsi" w:hAnsiTheme="majorHAnsi" w:cstheme="majorHAnsi"/>
                <w:color w:val="000000"/>
                <w:kern w:val="24"/>
                <w:sz w:val="20"/>
              </w:rPr>
              <w:t>g)</w:t>
            </w:r>
            <w:r w:rsidR="00642721" w:rsidRPr="008622DB">
              <w:rPr>
                <w:rFonts w:asciiTheme="majorHAnsi" w:hAnsiTheme="majorHAnsi" w:cstheme="majorHAnsi"/>
                <w:color w:val="000000"/>
                <w:kern w:val="24"/>
                <w:sz w:val="20"/>
              </w:rPr>
              <w:t>*</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5EF02ECC"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3F40405F" w14:textId="77777777" w:rsidR="00B035F7" w:rsidRPr="008622DB" w:rsidRDefault="00B035F7" w:rsidP="005866F1">
            <w:pPr>
              <w:tabs>
                <w:tab w:val="clear" w:pos="720"/>
              </w:tabs>
              <w:jc w:val="center"/>
              <w:rPr>
                <w:rFonts w:asciiTheme="majorHAnsi" w:hAnsiTheme="majorHAnsi" w:cstheme="majorHAnsi"/>
                <w:b/>
                <w:sz w:val="20"/>
              </w:rPr>
            </w:pPr>
          </w:p>
        </w:tc>
      </w:tr>
      <w:tr w:rsidR="00B035F7" w:rsidRPr="00B035F7" w14:paraId="1D01F2FD"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4F388B47"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Maximum (10.9g)</w:t>
            </w:r>
          </w:p>
        </w:tc>
        <w:tc>
          <w:tcPr>
            <w:tcW w:w="261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4743EFAB"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c>
          <w:tcPr>
            <w:tcW w:w="297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144E5AE6" w14:textId="77777777" w:rsidR="00B035F7" w:rsidRPr="008622DB" w:rsidRDefault="00B035F7" w:rsidP="005866F1">
            <w:pPr>
              <w:tabs>
                <w:tab w:val="clear" w:pos="720"/>
              </w:tabs>
              <w:jc w:val="center"/>
              <w:rPr>
                <w:rFonts w:asciiTheme="majorHAnsi" w:hAnsiTheme="majorHAnsi" w:cstheme="majorHAnsi"/>
                <w:b/>
                <w:sz w:val="20"/>
              </w:rPr>
            </w:pPr>
          </w:p>
        </w:tc>
      </w:tr>
      <w:tr w:rsidR="00B035F7" w:rsidRPr="00B035F7" w14:paraId="09E43917"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6ED387AF"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b/>
                <w:bCs/>
                <w:color w:val="000000"/>
                <w:kern w:val="24"/>
                <w:sz w:val="20"/>
              </w:rPr>
              <w:t>Bottle Recycled Content</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4409321F" w14:textId="77777777" w:rsidR="00B035F7" w:rsidRPr="008622DB" w:rsidRDefault="00B035F7" w:rsidP="005866F1">
            <w:pPr>
              <w:tabs>
                <w:tab w:val="clear" w:pos="720"/>
              </w:tabs>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2FD49851" w14:textId="77777777" w:rsidR="00B035F7" w:rsidRPr="008622DB" w:rsidRDefault="00B035F7" w:rsidP="005866F1">
            <w:pPr>
              <w:tabs>
                <w:tab w:val="clear" w:pos="720"/>
              </w:tabs>
              <w:jc w:val="center"/>
              <w:rPr>
                <w:rFonts w:asciiTheme="majorHAnsi" w:hAnsiTheme="majorHAnsi" w:cstheme="majorHAnsi"/>
                <w:b/>
                <w:sz w:val="20"/>
              </w:rPr>
            </w:pPr>
          </w:p>
        </w:tc>
      </w:tr>
      <w:tr w:rsidR="00B035F7" w:rsidRPr="00B035F7" w14:paraId="019D0F09"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136EDCC8" w14:textId="4A8613BA"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0%</w:t>
            </w:r>
            <w:r w:rsidR="00642721" w:rsidRPr="008622DB">
              <w:rPr>
                <w:rFonts w:asciiTheme="majorHAnsi" w:hAnsiTheme="majorHAnsi" w:cstheme="majorHAnsi"/>
                <w:color w:val="000000"/>
                <w:kern w:val="24"/>
                <w:sz w:val="20"/>
              </w:rPr>
              <w:t>*</w:t>
            </w:r>
          </w:p>
        </w:tc>
        <w:tc>
          <w:tcPr>
            <w:tcW w:w="261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1F18ABB1"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c>
          <w:tcPr>
            <w:tcW w:w="297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107F6046" w14:textId="77777777" w:rsidR="00B035F7" w:rsidRPr="008622DB" w:rsidRDefault="00B035F7" w:rsidP="005866F1">
            <w:pPr>
              <w:tabs>
                <w:tab w:val="clear" w:pos="720"/>
              </w:tabs>
              <w:jc w:val="center"/>
              <w:rPr>
                <w:rFonts w:asciiTheme="majorHAnsi" w:hAnsiTheme="majorHAnsi" w:cstheme="majorHAnsi"/>
                <w:b/>
                <w:sz w:val="20"/>
              </w:rPr>
            </w:pPr>
          </w:p>
        </w:tc>
      </w:tr>
      <w:tr w:rsidR="00B035F7" w:rsidRPr="00B035F7" w14:paraId="50609110" w14:textId="77777777" w:rsidTr="005866F1">
        <w:trPr>
          <w:trHeight w:val="265"/>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01568931"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10%</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6FD9C3C3"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10380691" w14:textId="77777777" w:rsidR="00B035F7" w:rsidRPr="008622DB" w:rsidRDefault="00B035F7" w:rsidP="005866F1">
            <w:pPr>
              <w:tabs>
                <w:tab w:val="clear" w:pos="720"/>
              </w:tabs>
              <w:jc w:val="center"/>
              <w:rPr>
                <w:rFonts w:asciiTheme="majorHAnsi" w:hAnsiTheme="majorHAnsi" w:cstheme="majorHAnsi"/>
                <w:b/>
                <w:sz w:val="20"/>
              </w:rPr>
            </w:pPr>
          </w:p>
        </w:tc>
      </w:tr>
      <w:tr w:rsidR="00B035F7" w:rsidRPr="00B035F7" w14:paraId="096AF8EE" w14:textId="77777777" w:rsidTr="005866F1">
        <w:trPr>
          <w:trHeight w:val="271"/>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23A9E8FB"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b/>
                <w:bCs/>
                <w:color w:val="000000"/>
                <w:kern w:val="24"/>
                <w:sz w:val="20"/>
              </w:rPr>
              <w:t>Recycling Allocation Method</w:t>
            </w:r>
          </w:p>
        </w:tc>
        <w:tc>
          <w:tcPr>
            <w:tcW w:w="261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485BBAAD" w14:textId="4CFB437D" w:rsidR="00B035F7" w:rsidRPr="008622DB" w:rsidRDefault="00B035F7" w:rsidP="005866F1">
            <w:pPr>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0215625B" w14:textId="5E58F40A" w:rsidR="00B035F7" w:rsidRPr="008622DB" w:rsidRDefault="00B035F7" w:rsidP="005866F1">
            <w:pPr>
              <w:jc w:val="center"/>
              <w:rPr>
                <w:rFonts w:asciiTheme="majorHAnsi" w:hAnsiTheme="majorHAnsi" w:cstheme="majorHAnsi"/>
                <w:b/>
                <w:sz w:val="20"/>
              </w:rPr>
            </w:pPr>
          </w:p>
        </w:tc>
      </w:tr>
      <w:tr w:rsidR="00B035F7" w:rsidRPr="00B035F7" w14:paraId="1C0F221F" w14:textId="77777777" w:rsidTr="005866F1">
        <w:trPr>
          <w:trHeight w:val="271"/>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67DC7AF5" w14:textId="71373E9A"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Cut-off</w:t>
            </w:r>
            <w:r w:rsidR="00642721" w:rsidRPr="008622DB">
              <w:rPr>
                <w:rFonts w:asciiTheme="majorHAnsi" w:hAnsiTheme="majorHAnsi" w:cstheme="majorHAnsi"/>
                <w:color w:val="000000"/>
                <w:kern w:val="24"/>
                <w:sz w:val="20"/>
              </w:rPr>
              <w:t>*</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1065F831"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32EF2946" w14:textId="1597177A"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r>
      <w:tr w:rsidR="00B035F7" w:rsidRPr="00B035F7" w14:paraId="43DEAA40" w14:textId="77777777" w:rsidTr="005866F1">
        <w:trPr>
          <w:trHeight w:val="271"/>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0B9CC1E0"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System Expansion</w:t>
            </w:r>
          </w:p>
        </w:tc>
        <w:tc>
          <w:tcPr>
            <w:tcW w:w="261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17C67436"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c>
          <w:tcPr>
            <w:tcW w:w="297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3364FA2F" w14:textId="606C4FC0"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r>
      <w:tr w:rsidR="00B035F7" w:rsidRPr="00B035F7" w14:paraId="06D19C61" w14:textId="77777777" w:rsidTr="005866F1">
        <w:trPr>
          <w:trHeight w:val="271"/>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50363689"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b/>
                <w:bCs/>
                <w:color w:val="000000"/>
                <w:kern w:val="24"/>
                <w:sz w:val="20"/>
              </w:rPr>
              <w:t>Bottled Water Source</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4AD70514" w14:textId="77777777" w:rsidR="00B035F7" w:rsidRPr="008622DB" w:rsidRDefault="00B035F7" w:rsidP="005866F1">
            <w:pPr>
              <w:tabs>
                <w:tab w:val="clear" w:pos="720"/>
              </w:tabs>
              <w:jc w:val="center"/>
              <w:rPr>
                <w:rFonts w:asciiTheme="majorHAnsi" w:hAnsiTheme="majorHAnsi" w:cstheme="majorHAnsi"/>
                <w:b/>
                <w:sz w:val="20"/>
              </w:rPr>
            </w:pP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35EAABE7" w14:textId="77777777" w:rsidR="00B035F7" w:rsidRPr="008622DB" w:rsidRDefault="00B035F7" w:rsidP="005866F1">
            <w:pPr>
              <w:tabs>
                <w:tab w:val="clear" w:pos="720"/>
              </w:tabs>
              <w:jc w:val="center"/>
              <w:rPr>
                <w:rFonts w:asciiTheme="majorHAnsi" w:hAnsiTheme="majorHAnsi" w:cstheme="majorHAnsi"/>
                <w:b/>
                <w:sz w:val="20"/>
              </w:rPr>
            </w:pPr>
          </w:p>
        </w:tc>
      </w:tr>
      <w:tr w:rsidR="00B035F7" w:rsidRPr="00B035F7" w14:paraId="5F7789C1" w14:textId="77777777" w:rsidTr="005866F1">
        <w:trPr>
          <w:trHeight w:val="271"/>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3268F873" w14:textId="21986FA1"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Spring Water</w:t>
            </w:r>
            <w:r w:rsidR="00642721" w:rsidRPr="008622DB">
              <w:rPr>
                <w:rFonts w:asciiTheme="majorHAnsi" w:hAnsiTheme="majorHAnsi" w:cstheme="majorHAnsi"/>
                <w:color w:val="000000"/>
                <w:kern w:val="24"/>
                <w:sz w:val="20"/>
              </w:rPr>
              <w:t>*</w:t>
            </w:r>
          </w:p>
        </w:tc>
        <w:tc>
          <w:tcPr>
            <w:tcW w:w="261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00102B00"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c>
          <w:tcPr>
            <w:tcW w:w="2970" w:type="dxa"/>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hideMark/>
          </w:tcPr>
          <w:p w14:paraId="074E3C9A" w14:textId="363C6DF0"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r>
      <w:tr w:rsidR="00B035F7" w:rsidRPr="00B035F7" w14:paraId="773A15BF" w14:textId="77777777" w:rsidTr="005866F1">
        <w:trPr>
          <w:trHeight w:val="271"/>
        </w:trPr>
        <w:tc>
          <w:tcPr>
            <w:tcW w:w="377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hideMark/>
          </w:tcPr>
          <w:p w14:paraId="07ECA640" w14:textId="77777777" w:rsidR="00B035F7" w:rsidRPr="008622DB" w:rsidRDefault="00B035F7" w:rsidP="00B035F7">
            <w:pPr>
              <w:tabs>
                <w:tab w:val="clear" w:pos="720"/>
              </w:tabs>
              <w:textAlignment w:val="bottom"/>
              <w:rPr>
                <w:rFonts w:asciiTheme="majorHAnsi" w:hAnsiTheme="majorHAnsi" w:cstheme="majorHAnsi"/>
                <w:sz w:val="20"/>
              </w:rPr>
            </w:pPr>
            <w:r w:rsidRPr="008622DB">
              <w:rPr>
                <w:rFonts w:asciiTheme="majorHAnsi" w:hAnsiTheme="majorHAnsi" w:cstheme="majorHAnsi"/>
                <w:color w:val="000000"/>
                <w:kern w:val="24"/>
                <w:sz w:val="20"/>
              </w:rPr>
              <w:t>Treated Municipal Water</w:t>
            </w:r>
          </w:p>
        </w:tc>
        <w:tc>
          <w:tcPr>
            <w:tcW w:w="261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1CB28D30" w14:textId="77777777"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c>
          <w:tcPr>
            <w:tcW w:w="2970" w:type="dxa"/>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hideMark/>
          </w:tcPr>
          <w:p w14:paraId="08DF3D29" w14:textId="47526D53" w:rsidR="00B035F7" w:rsidRPr="008622DB" w:rsidRDefault="00B035F7" w:rsidP="005866F1">
            <w:pPr>
              <w:jc w:val="center"/>
              <w:rPr>
                <w:rFonts w:asciiTheme="majorHAnsi" w:hAnsiTheme="majorHAnsi" w:cstheme="majorHAnsi"/>
                <w:b/>
                <w:sz w:val="20"/>
              </w:rPr>
            </w:pPr>
            <w:r w:rsidRPr="008622DB">
              <w:rPr>
                <w:rFonts w:asciiTheme="majorHAnsi" w:hAnsiTheme="majorHAnsi" w:cstheme="majorHAnsi"/>
                <w:b/>
                <w:color w:val="000000"/>
                <w:kern w:val="24"/>
                <w:sz w:val="20"/>
              </w:rPr>
              <w:sym w:font="Wingdings 2" w:char="F050"/>
            </w:r>
          </w:p>
        </w:tc>
      </w:tr>
    </w:tbl>
    <w:p w14:paraId="6A1C9E43" w14:textId="508A5B6F" w:rsidR="00B035F7" w:rsidRDefault="00642721" w:rsidP="005866F1">
      <w:pPr>
        <w:pStyle w:val="Tablefootnotes"/>
      </w:pPr>
      <w:r w:rsidRPr="00932080">
        <w:rPr>
          <w:sz w:val="20"/>
          <w:szCs w:val="20"/>
        </w:rPr>
        <w:t>*</w:t>
      </w:r>
      <w:r w:rsidR="007144ED">
        <w:t>B</w:t>
      </w:r>
      <w:r>
        <w:t>aseline scenario</w:t>
      </w:r>
      <w:r w:rsidR="003D36F1">
        <w:t xml:space="preserve">, </w:t>
      </w:r>
      <w:r w:rsidR="003D36F1" w:rsidRPr="00932080">
        <w:rPr>
          <w:rFonts w:ascii="Calibri" w:hAnsi="Calibri" w:cs="Calibri"/>
          <w:sz w:val="20"/>
          <w:szCs w:val="20"/>
          <w:vertAlign w:val="superscript"/>
        </w:rPr>
        <w:t>§</w:t>
      </w:r>
      <w:r w:rsidR="003D36F1">
        <w:t>ORDEQ, 2009</w:t>
      </w:r>
    </w:p>
    <w:p w14:paraId="33A93E25" w14:textId="6E88D25E" w:rsidR="005866F1" w:rsidRPr="008622DB" w:rsidRDefault="005866F1" w:rsidP="008622DB"/>
    <w:p w14:paraId="11FB5A49" w14:textId="77777777" w:rsidR="008622DB" w:rsidRPr="008622DB" w:rsidRDefault="008622DB" w:rsidP="008622DB"/>
    <w:p w14:paraId="2E3FA1D2" w14:textId="3F3C3E14" w:rsidR="0054794F" w:rsidRDefault="00C10176" w:rsidP="0054794F">
      <w:pPr>
        <w:pStyle w:val="BodyText"/>
        <w:ind w:firstLine="0"/>
      </w:pPr>
      <w:r>
        <w:t xml:space="preserve">The details of the </w:t>
      </w:r>
      <w:r w:rsidR="00976DC9">
        <w:t xml:space="preserve">bottled water </w:t>
      </w:r>
      <w:r>
        <w:t>baseline and sensitivity analyses</w:t>
      </w:r>
      <w:r w:rsidR="0054794F">
        <w:t xml:space="preserve"> are listed below</w:t>
      </w:r>
      <w:r w:rsidR="00B035F7">
        <w:t>:</w:t>
      </w:r>
    </w:p>
    <w:p w14:paraId="5A2FC204" w14:textId="1096BCCF" w:rsidR="0054794F" w:rsidRDefault="0054794F" w:rsidP="005866F1">
      <w:pPr>
        <w:pStyle w:val="ListBullet"/>
        <w:rPr>
          <w:b/>
        </w:rPr>
      </w:pPr>
      <w:r w:rsidRPr="00A13172">
        <w:rPr>
          <w:b/>
        </w:rPr>
        <w:t>Bottle weight</w:t>
      </w:r>
      <w:r>
        <w:rPr>
          <w:b/>
        </w:rPr>
        <w:t>:</w:t>
      </w:r>
      <w:r>
        <w:t xml:space="preserve"> single-serve bottle weights vary by brand, with some brands lightweighting PET bottled water packaging. Sampled primary packaging weights for 500 ml bottled water range from 9.3 grams to 23.4 grams. North American brands, most likely used for emergency response conditions, are typically lightweighted in the 500 ml single-serve size. Sensitivity analyses </w:t>
      </w:r>
      <w:r w:rsidR="0063038D">
        <w:t>are</w:t>
      </w:r>
      <w:r w:rsidR="00CA6971">
        <w:t xml:space="preserve"> </w:t>
      </w:r>
      <w:r w:rsidR="007144ED">
        <w:t>not</w:t>
      </w:r>
      <w:r>
        <w:t xml:space="preserve"> conducted </w:t>
      </w:r>
      <w:r w:rsidR="00BE6B42">
        <w:t>for</w:t>
      </w:r>
      <w:r>
        <w:t xml:space="preserve"> heavier PET bottles. The heavier PET bottles sampled typically represented premium bottled water options such as international spring and artesian water. Bottle weight </w:t>
      </w:r>
      <w:r w:rsidR="00CA6971">
        <w:t>is not</w:t>
      </w:r>
      <w:r>
        <w:t xml:space="preserve"> varied in the multi-serve option.</w:t>
      </w:r>
    </w:p>
    <w:p w14:paraId="4347DA72" w14:textId="2DC52785" w:rsidR="00B426BA" w:rsidRPr="00B426BA" w:rsidRDefault="0054794F" w:rsidP="005866F1">
      <w:pPr>
        <w:pStyle w:val="ListBullet"/>
        <w:rPr>
          <w:b/>
          <w:color w:val="000000" w:themeColor="text1"/>
        </w:rPr>
      </w:pPr>
      <w:r w:rsidRPr="00B426BA">
        <w:rPr>
          <w:b/>
        </w:rPr>
        <w:t>Bottle recycled content and recycling allocation method:</w:t>
      </w:r>
      <w:r>
        <w:t xml:space="preserve"> A recycled content up to 10% is often seen in North American single-serve PET water bottles</w:t>
      </w:r>
      <w:r w:rsidR="00EC6FC2">
        <w:t xml:space="preserve"> (McKay, 2008)</w:t>
      </w:r>
      <w:r>
        <w:t xml:space="preserve">. We </w:t>
      </w:r>
      <w:r w:rsidR="00CA6971">
        <w:t>have included</w:t>
      </w:r>
      <w:r>
        <w:t xml:space="preserve"> a sensitivity analysis with up to 10% recycled content in the single-serve bottles. When including recycled content, multiple approaches are available to partition (or allocate) impacts between the useful lives of a material. </w:t>
      </w:r>
      <w:r w:rsidR="00C10176">
        <w:t xml:space="preserve">The cut-off </w:t>
      </w:r>
      <w:r w:rsidR="00C10176">
        <w:lastRenderedPageBreak/>
        <w:t xml:space="preserve">approach is used in the baseline analysis. </w:t>
      </w:r>
      <w:r w:rsidRPr="00353896">
        <w:t>Under this approach, distinct boundaries are drawn between the initial use of the material and subsequent uses of the material after recovery and recycling</w:t>
      </w:r>
      <w:r w:rsidR="00D55081">
        <w:t xml:space="preserve"> (U.S. EPA, 1993)</w:t>
      </w:r>
      <w:r w:rsidRPr="00353896">
        <w:t>. All virgin material production burdens are assigned to the first use of the material, and the burdens assigned to the recycled system begin with recovery of the postconsumer material. For containers that are recycled at end of life, all of the burdens for material recovery, transport, separation and sorting, and reprocessing are assigned to the next system using the recycled material. Burdens associated with the final disposal of the product are assigned to the last useful life of the product.</w:t>
      </w:r>
      <w:r>
        <w:t xml:space="preserve"> </w:t>
      </w:r>
      <w:r w:rsidRPr="00B426BA">
        <w:rPr>
          <w:color w:val="000000" w:themeColor="text1"/>
        </w:rPr>
        <w:t xml:space="preserve">We </w:t>
      </w:r>
      <w:r w:rsidR="00CA6971" w:rsidRPr="00B426BA">
        <w:rPr>
          <w:color w:val="000000" w:themeColor="text1"/>
        </w:rPr>
        <w:t>have</w:t>
      </w:r>
      <w:r w:rsidRPr="00B426BA">
        <w:rPr>
          <w:color w:val="000000" w:themeColor="text1"/>
        </w:rPr>
        <w:t xml:space="preserve"> incorporate</w:t>
      </w:r>
      <w:r w:rsidR="00CA6971" w:rsidRPr="00B426BA">
        <w:rPr>
          <w:color w:val="000000" w:themeColor="text1"/>
        </w:rPr>
        <w:t>d</w:t>
      </w:r>
      <w:r w:rsidRPr="00B426BA">
        <w:rPr>
          <w:color w:val="000000" w:themeColor="text1"/>
        </w:rPr>
        <w:t xml:space="preserve"> an alternative system expansion recycling allocation approach in </w:t>
      </w:r>
      <w:r w:rsidR="00CA6971" w:rsidRPr="00B426BA">
        <w:rPr>
          <w:color w:val="000000" w:themeColor="text1"/>
        </w:rPr>
        <w:t>the</w:t>
      </w:r>
      <w:r w:rsidRPr="00B426BA">
        <w:rPr>
          <w:color w:val="000000" w:themeColor="text1"/>
        </w:rPr>
        <w:t xml:space="preserve"> analysis. In the system expansion approach, the container system boundaries are expanded to include collection and reprocessing of postconsumer containers, as well as the net virgin material displacement or inputs required, based on the balance between the container system’s closed-loop recycled content and closed-loop recycling rate</w:t>
      </w:r>
      <w:r w:rsidR="00D55081">
        <w:rPr>
          <w:color w:val="000000" w:themeColor="text1"/>
        </w:rPr>
        <w:t xml:space="preserve"> (ISO, 2006b)</w:t>
      </w:r>
      <w:r w:rsidRPr="00B426BA">
        <w:rPr>
          <w:color w:val="000000" w:themeColor="text1"/>
        </w:rPr>
        <w:t xml:space="preserve">. The types and quantities of materials that are displaced by the recovery and secondary processing of post-consumer container material determine the types and quantities of avoided environmental burdens. Inclusion of recycled content </w:t>
      </w:r>
      <w:r w:rsidR="00CA6971" w:rsidRPr="00B426BA">
        <w:rPr>
          <w:color w:val="000000" w:themeColor="text1"/>
        </w:rPr>
        <w:t>is only</w:t>
      </w:r>
      <w:r w:rsidRPr="00B426BA">
        <w:rPr>
          <w:color w:val="000000" w:themeColor="text1"/>
        </w:rPr>
        <w:t xml:space="preserve"> modeled in a sensitivity analysis for the single-serve bottle.</w:t>
      </w:r>
      <w:r w:rsidR="00C10176">
        <w:rPr>
          <w:color w:val="000000" w:themeColor="text1"/>
        </w:rPr>
        <w:t xml:space="preserve"> Recycling allocation is incorporated as a sensitivity analysis for both the single-serve and multi-serve options.</w:t>
      </w:r>
    </w:p>
    <w:p w14:paraId="75F63BE8" w14:textId="6D841687" w:rsidR="0054794F" w:rsidRDefault="0054794F" w:rsidP="005866F1">
      <w:pPr>
        <w:pStyle w:val="ListBullet"/>
        <w:rPr>
          <w:b/>
        </w:rPr>
      </w:pPr>
      <w:r>
        <w:rPr>
          <w:b/>
        </w:rPr>
        <w:t xml:space="preserve">Filled bottle transport distance: </w:t>
      </w:r>
      <w:r w:rsidRPr="006F4337">
        <w:t xml:space="preserve">A sensitivity analysis </w:t>
      </w:r>
      <w:r w:rsidR="00F72403">
        <w:t>is</w:t>
      </w:r>
      <w:r w:rsidRPr="006F4337">
        <w:t xml:space="preserve"> conducted for the multi-serve bottle option varying the transport distance</w:t>
      </w:r>
      <w:r w:rsidR="007965F6">
        <w:t xml:space="preserve"> ± 50 miles from the baseline</w:t>
      </w:r>
      <w:r w:rsidRPr="006F4337">
        <w:t xml:space="preserve">. Both a shorter distance of </w:t>
      </w:r>
      <w:r w:rsidR="007965F6">
        <w:t>25</w:t>
      </w:r>
      <w:r w:rsidRPr="006F4337">
        <w:t xml:space="preserve"> miles, and a long</w:t>
      </w:r>
      <w:r>
        <w:t>er</w:t>
      </w:r>
      <w:r w:rsidRPr="006F4337">
        <w:t xml:space="preserve"> distance of </w:t>
      </w:r>
      <w:r w:rsidR="00F72403">
        <w:t>125</w:t>
      </w:r>
      <w:r w:rsidRPr="006F4337">
        <w:t xml:space="preserve"> miles </w:t>
      </w:r>
      <w:r w:rsidR="00F72403">
        <w:t>is</w:t>
      </w:r>
      <w:r w:rsidRPr="006F4337">
        <w:t xml:space="preserve"> modeled</w:t>
      </w:r>
      <w:r w:rsidR="00F72403">
        <w:t xml:space="preserve"> for comparison</w:t>
      </w:r>
      <w:r w:rsidRPr="006F4337">
        <w:t>.</w:t>
      </w:r>
    </w:p>
    <w:p w14:paraId="026535CF" w14:textId="2A3DB099" w:rsidR="0054794F" w:rsidRDefault="0054794F" w:rsidP="005866F1">
      <w:pPr>
        <w:pStyle w:val="ListBullet"/>
      </w:pPr>
      <w:r>
        <w:rPr>
          <w:b/>
        </w:rPr>
        <w:t xml:space="preserve">Bottle water treatment steps: </w:t>
      </w:r>
      <w:r w:rsidR="007965F6" w:rsidRPr="007965F6">
        <w:t>The baseline</w:t>
      </w:r>
      <w:r w:rsidR="007965F6" w:rsidRPr="00ED3D30">
        <w:t xml:space="preserve"> analysis</w:t>
      </w:r>
      <w:r w:rsidR="00ED3D30">
        <w:t xml:space="preserve"> models the source of the bottled water as extracted spring water with additional steps of ultrafiltration, ozone and UV treatment (ORDEQ, 2009). Many bottled water brands in the U.S. package spring water, which is from onsite underground formations and is not derived from municipal water treatment. Additionally, water purification steps at the filling plant tend to be less intensive for spring water. </w:t>
      </w:r>
      <w:r w:rsidRPr="00372429">
        <w:t xml:space="preserve">An alternative source of </w:t>
      </w:r>
      <w:r w:rsidR="00ED3D30">
        <w:t>purified municipal water</w:t>
      </w:r>
      <w:r w:rsidRPr="00372429">
        <w:t xml:space="preserve"> </w:t>
      </w:r>
      <w:r w:rsidR="00BC24E3">
        <w:t xml:space="preserve">is </w:t>
      </w:r>
      <w:r w:rsidRPr="00372429">
        <w:t>modeled in a sensitivity analysis</w:t>
      </w:r>
      <w:r w:rsidR="00ED3D30">
        <w:t xml:space="preserve"> (Cashman et al., 2014)</w:t>
      </w:r>
      <w:r w:rsidRPr="00372429">
        <w:t>.</w:t>
      </w:r>
      <w:r>
        <w:t xml:space="preserve"> This sensitivity analysis </w:t>
      </w:r>
      <w:r w:rsidR="00BC24E3">
        <w:t>is</w:t>
      </w:r>
      <w:r>
        <w:t xml:space="preserve"> conducted for both the single-serve and multi-serve options.</w:t>
      </w:r>
    </w:p>
    <w:p w14:paraId="10B4B086" w14:textId="054F7C9F" w:rsidR="00617D3F" w:rsidRPr="00D62A82" w:rsidRDefault="0054794F" w:rsidP="004B1C8A">
      <w:pPr>
        <w:pStyle w:val="ListBulletLast"/>
        <w:rPr>
          <w:b/>
        </w:rPr>
      </w:pPr>
      <w:r w:rsidRPr="00E11A46">
        <w:rPr>
          <w:b/>
        </w:rPr>
        <w:t>Reusable glass washing option:</w:t>
      </w:r>
      <w:r>
        <w:t xml:space="preserve"> A sensitivity analysis </w:t>
      </w:r>
      <w:r w:rsidR="00BC24E3">
        <w:t>is</w:t>
      </w:r>
      <w:r>
        <w:t xml:space="preserve"> conducted assuming the reusable glass </w:t>
      </w:r>
      <w:r w:rsidR="00ED3D30">
        <w:t xml:space="preserve">for the multi-serve jug option </w:t>
      </w:r>
      <w:r>
        <w:t xml:space="preserve">is </w:t>
      </w:r>
      <w:r w:rsidR="00E11A46">
        <w:t xml:space="preserve">either </w:t>
      </w:r>
      <w:r>
        <w:t>hand washed after use</w:t>
      </w:r>
      <w:r w:rsidR="00E11A46">
        <w:t xml:space="preserve"> or not washed at all.</w:t>
      </w:r>
      <w:r>
        <w:t xml:space="preserve"> </w:t>
      </w:r>
    </w:p>
    <w:p w14:paraId="20FAA82B" w14:textId="77777777" w:rsidR="00500803" w:rsidRDefault="00500803" w:rsidP="005866F1">
      <w:pPr>
        <w:pStyle w:val="ListBulletLast"/>
        <w:sectPr w:rsidR="00500803" w:rsidSect="005F12CD">
          <w:headerReference w:type="default" r:id="rId33"/>
          <w:footerReference w:type="default" r:id="rId34"/>
          <w:headerReference w:type="first" r:id="rId35"/>
          <w:footerReference w:type="first" r:id="rId36"/>
          <w:pgSz w:w="12240" w:h="15840" w:code="1"/>
          <w:pgMar w:top="1440" w:right="1440" w:bottom="1440" w:left="1440" w:header="720" w:footer="720" w:gutter="0"/>
          <w:pgNumType w:start="1" w:chapStyle="1"/>
          <w:cols w:space="720"/>
          <w:docGrid w:linePitch="360"/>
        </w:sectPr>
      </w:pPr>
    </w:p>
    <w:p w14:paraId="1CA2F135" w14:textId="141F8508" w:rsidR="00DF7587" w:rsidRDefault="00DF7587" w:rsidP="00D93ED6">
      <w:pPr>
        <w:pStyle w:val="Heading1"/>
      </w:pPr>
      <w:bookmarkStart w:id="277" w:name="_Toc525246213"/>
      <w:bookmarkStart w:id="278" w:name="_Toc533009171"/>
      <w:bookmarkStart w:id="279" w:name="_Ref454187344"/>
      <w:r>
        <w:lastRenderedPageBreak/>
        <w:t>LCA Results</w:t>
      </w:r>
      <w:bookmarkEnd w:id="277"/>
      <w:bookmarkEnd w:id="278"/>
    </w:p>
    <w:p w14:paraId="781FC289" w14:textId="69686988" w:rsidR="00DF7587" w:rsidRDefault="00DF7587" w:rsidP="00DA7DEC">
      <w:pPr>
        <w:pStyle w:val="BodyText"/>
      </w:pPr>
      <w:r>
        <w:t>LCA results for this study are provided in a companion Excel results calculator (</w:t>
      </w:r>
      <w:r w:rsidRPr="00DF7587">
        <w:t xml:space="preserve">Appendix B). An image of the selection of input values for the results calculator is depicted in </w:t>
      </w:r>
      <w:r w:rsidRPr="00DF7587">
        <w:fldChar w:fldCharType="begin"/>
      </w:r>
      <w:r w:rsidRPr="00DF7587">
        <w:instrText xml:space="preserve"> REF _Ref524962444 \h  \* MERGEFORMAT </w:instrText>
      </w:r>
      <w:r w:rsidRPr="00DF7587">
        <w:fldChar w:fldCharType="separate"/>
      </w:r>
      <w:r w:rsidR="008072BC">
        <w:t>Figure 7</w:t>
      </w:r>
      <w:r w:rsidRPr="00DF7587">
        <w:fldChar w:fldCharType="end"/>
      </w:r>
      <w:r w:rsidRPr="00DF7587">
        <w:t>.</w:t>
      </w:r>
      <w:r>
        <w:t xml:space="preserve"> Users can select from available sensitivity analysis parameter values in the green highlighted cells. </w:t>
      </w:r>
      <w:r w:rsidR="004A2998">
        <w:t>S</w:t>
      </w:r>
      <w:r>
        <w:t xml:space="preserve">ection </w:t>
      </w:r>
      <w:r w:rsidR="004A2998">
        <w:fldChar w:fldCharType="begin"/>
      </w:r>
      <w:r w:rsidR="004A2998">
        <w:instrText xml:space="preserve"> REF _Ref524965133 \r \h </w:instrText>
      </w:r>
      <w:r w:rsidR="004A2998">
        <w:fldChar w:fldCharType="separate"/>
      </w:r>
      <w:r w:rsidR="008072BC">
        <w:t>4.1</w:t>
      </w:r>
      <w:r w:rsidR="004A2998">
        <w:fldChar w:fldCharType="end"/>
      </w:r>
      <w:r w:rsidR="004A2998">
        <w:t xml:space="preserve"> through </w:t>
      </w:r>
      <w:r w:rsidR="004A2998">
        <w:fldChar w:fldCharType="begin"/>
      </w:r>
      <w:r w:rsidR="004A2998">
        <w:instrText xml:space="preserve"> REF _Ref524965156 \r \h </w:instrText>
      </w:r>
      <w:r w:rsidR="004A2998">
        <w:fldChar w:fldCharType="separate"/>
      </w:r>
      <w:r w:rsidR="008072BC">
        <w:t>4.3</w:t>
      </w:r>
      <w:r w:rsidR="004A2998">
        <w:fldChar w:fldCharType="end"/>
      </w:r>
      <w:r w:rsidR="004A2998">
        <w:t xml:space="preserve"> </w:t>
      </w:r>
      <w:r>
        <w:t>highlight analysis findings from generating results with this calculator using the default (i.e., baseline) parameter values.</w:t>
      </w:r>
      <w:r w:rsidR="004A2998">
        <w:t xml:space="preserve"> </w:t>
      </w:r>
      <w:r w:rsidR="00FF50FB">
        <w:t xml:space="preserve">Minimum and maximum impact results are also generated to understand the range of findings. </w:t>
      </w:r>
      <w:r w:rsidR="004A2998">
        <w:t xml:space="preserve">Section </w:t>
      </w:r>
      <w:r w:rsidR="004A2998">
        <w:fldChar w:fldCharType="begin"/>
      </w:r>
      <w:r w:rsidR="004A2998">
        <w:instrText xml:space="preserve"> REF _Ref524965166 \r \h </w:instrText>
      </w:r>
      <w:r w:rsidR="004A2998">
        <w:fldChar w:fldCharType="separate"/>
      </w:r>
      <w:r w:rsidR="008072BC">
        <w:t>4.4</w:t>
      </w:r>
      <w:r w:rsidR="004A2998">
        <w:fldChar w:fldCharType="end"/>
      </w:r>
      <w:r w:rsidR="004A2998">
        <w:t xml:space="preserve"> provides additional sensitivity analysis results, while Section </w:t>
      </w:r>
      <w:r w:rsidR="004A2998">
        <w:fldChar w:fldCharType="begin"/>
      </w:r>
      <w:r w:rsidR="004A2998">
        <w:instrText xml:space="preserve"> REF _Ref524965192 \r \h </w:instrText>
      </w:r>
      <w:r w:rsidR="004A2998">
        <w:fldChar w:fldCharType="separate"/>
      </w:r>
      <w:r w:rsidR="008072BC">
        <w:t>4.5</w:t>
      </w:r>
      <w:r w:rsidR="004A2998">
        <w:fldChar w:fldCharType="end"/>
      </w:r>
      <w:r w:rsidR="004A2998">
        <w:t xml:space="preserve"> provides comparative cost findings.</w:t>
      </w:r>
    </w:p>
    <w:p w14:paraId="61AEE7E4" w14:textId="302CEEC2" w:rsidR="00DF7587" w:rsidRDefault="00982EA4" w:rsidP="004A2998">
      <w:r w:rsidRPr="00982EA4">
        <w:rPr>
          <w:noProof/>
        </w:rPr>
        <w:drawing>
          <wp:inline distT="0" distB="0" distL="0" distR="0" wp14:anchorId="11D72898" wp14:editId="3BC64EDE">
            <wp:extent cx="6018028" cy="107630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2348" cy="1080650"/>
                    </a:xfrm>
                    <a:prstGeom prst="rect">
                      <a:avLst/>
                    </a:prstGeom>
                    <a:noFill/>
                    <a:ln>
                      <a:noFill/>
                    </a:ln>
                  </pic:spPr>
                </pic:pic>
              </a:graphicData>
            </a:graphic>
          </wp:inline>
        </w:drawing>
      </w:r>
    </w:p>
    <w:p w14:paraId="0E030A7F" w14:textId="5FEE7B4F" w:rsidR="00DF7587" w:rsidRDefault="00DF7587" w:rsidP="00DA7DEC">
      <w:pPr>
        <w:pStyle w:val="FigureTitle"/>
      </w:pPr>
      <w:bookmarkStart w:id="280" w:name="_Ref524962444"/>
      <w:bookmarkStart w:id="281" w:name="_Toc533009204"/>
      <w:r>
        <w:t xml:space="preserve">Figure </w:t>
      </w:r>
      <w:r w:rsidR="000C6707">
        <w:fldChar w:fldCharType="begin"/>
      </w:r>
      <w:r w:rsidR="000C6707">
        <w:instrText xml:space="preserve"> SEQ Figure \* ARABIC </w:instrText>
      </w:r>
      <w:r w:rsidR="000C6707">
        <w:fldChar w:fldCharType="separate"/>
      </w:r>
      <w:r w:rsidR="008072BC">
        <w:t>7</w:t>
      </w:r>
      <w:r w:rsidR="000C6707">
        <w:fldChar w:fldCharType="end"/>
      </w:r>
      <w:bookmarkEnd w:id="280"/>
      <w:r>
        <w:t>. Input values for the Appendix B results calculator. Available parameter values can be selected from the dropdowns in the green highlighted cells.</w:t>
      </w:r>
      <w:bookmarkEnd w:id="281"/>
    </w:p>
    <w:p w14:paraId="0D5CB95A" w14:textId="533A1B49" w:rsidR="00D26170" w:rsidRDefault="00D26170" w:rsidP="00D26170">
      <w:pPr>
        <w:pStyle w:val="Heading2"/>
      </w:pPr>
      <w:bookmarkStart w:id="282" w:name="_Ref524965133"/>
      <w:bookmarkStart w:id="283" w:name="_Toc525246214"/>
      <w:bookmarkStart w:id="284" w:name="_Toc533009172"/>
      <w:r w:rsidRPr="00D26170">
        <w:t xml:space="preserve">Summary </w:t>
      </w:r>
      <w:r>
        <w:t xml:space="preserve">Baseline </w:t>
      </w:r>
      <w:r w:rsidRPr="00D26170">
        <w:t>Comparative Results on an Equivalent Volume of Water Delivered Basis</w:t>
      </w:r>
      <w:bookmarkEnd w:id="282"/>
      <w:bookmarkEnd w:id="283"/>
      <w:bookmarkEnd w:id="284"/>
    </w:p>
    <w:p w14:paraId="0E094A77" w14:textId="16A2AE5C" w:rsidR="00A47111" w:rsidRDefault="00BE304B" w:rsidP="00DA7DEC">
      <w:pPr>
        <w:pStyle w:val="BodyText"/>
      </w:pPr>
      <w:r>
        <w:fldChar w:fldCharType="begin"/>
      </w:r>
      <w:r>
        <w:instrText xml:space="preserve"> REF _Ref524514741 \h </w:instrText>
      </w:r>
      <w:r>
        <w:fldChar w:fldCharType="separate"/>
      </w:r>
      <w:r w:rsidR="008072BC">
        <w:t xml:space="preserve">Figure </w:t>
      </w:r>
      <w:r w:rsidR="008072BC">
        <w:rPr>
          <w:noProof/>
        </w:rPr>
        <w:t>8</w:t>
      </w:r>
      <w:r>
        <w:fldChar w:fldCharType="end"/>
      </w:r>
      <w:r>
        <w:t xml:space="preserve"> and </w:t>
      </w:r>
      <w:r w:rsidR="00B11E74" w:rsidRPr="00B11E74">
        <w:fldChar w:fldCharType="begin"/>
      </w:r>
      <w:r w:rsidR="00B11E74" w:rsidRPr="00B11E74">
        <w:instrText xml:space="preserve"> REF _Ref524964504 \h </w:instrText>
      </w:r>
      <w:r w:rsidR="00B11E74">
        <w:instrText xml:space="preserve"> \* MERGEFORMAT </w:instrText>
      </w:r>
      <w:r w:rsidR="00B11E74" w:rsidRPr="00B11E74">
        <w:fldChar w:fldCharType="separate"/>
      </w:r>
      <w:r w:rsidR="008072BC">
        <w:t xml:space="preserve">Table </w:t>
      </w:r>
      <w:r w:rsidR="008072BC">
        <w:rPr>
          <w:noProof/>
        </w:rPr>
        <w:t>9</w:t>
      </w:r>
      <w:r w:rsidR="00B11E74" w:rsidRPr="00B11E74">
        <w:fldChar w:fldCharType="end"/>
      </w:r>
      <w:r w:rsidR="00B11E74" w:rsidRPr="00B11E74">
        <w:t xml:space="preserve"> </w:t>
      </w:r>
      <w:r w:rsidRPr="00B11E74">
        <w:t>display</w:t>
      </w:r>
      <w:r>
        <w:t xml:space="preserve"> the summary baseline LCA results</w:t>
      </w:r>
      <w:r w:rsidR="00465072">
        <w:t xml:space="preserve">. </w:t>
      </w:r>
      <w:r w:rsidR="00CD3FF3">
        <w:fldChar w:fldCharType="begin"/>
      </w:r>
      <w:r w:rsidR="00CD3FF3">
        <w:instrText xml:space="preserve"> REF _Ref533004546 \h </w:instrText>
      </w:r>
      <w:r w:rsidR="00CD3FF3">
        <w:fldChar w:fldCharType="separate"/>
      </w:r>
      <w:r w:rsidR="008072BC">
        <w:t xml:space="preserve">Table </w:t>
      </w:r>
      <w:r w:rsidR="008072BC">
        <w:rPr>
          <w:noProof/>
        </w:rPr>
        <w:t>10</w:t>
      </w:r>
      <w:r w:rsidR="00CD3FF3">
        <w:fldChar w:fldCharType="end"/>
      </w:r>
      <w:r w:rsidR="00465072">
        <w:t xml:space="preserve"> and </w:t>
      </w:r>
      <w:r w:rsidR="00CD3FF3">
        <w:fldChar w:fldCharType="begin"/>
      </w:r>
      <w:r w:rsidR="00CD3FF3">
        <w:instrText xml:space="preserve"> REF _Ref533004569 \h </w:instrText>
      </w:r>
      <w:r w:rsidR="00CD3FF3">
        <w:fldChar w:fldCharType="separate"/>
      </w:r>
      <w:r w:rsidR="008072BC">
        <w:t xml:space="preserve">Table </w:t>
      </w:r>
      <w:r w:rsidR="008072BC">
        <w:rPr>
          <w:noProof/>
        </w:rPr>
        <w:t>11</w:t>
      </w:r>
      <w:r w:rsidR="00CD3FF3">
        <w:fldChar w:fldCharType="end"/>
      </w:r>
      <w:r w:rsidR="00465072">
        <w:t xml:space="preserve"> show summary impacts under the maximum and minimum impacts scenarios</w:t>
      </w:r>
      <w:r>
        <w:t xml:space="preserve">. </w:t>
      </w:r>
      <w:r w:rsidR="006576C7">
        <w:t xml:space="preserve">The maximum scenario includes treated municipal water for the product (bottled water), </w:t>
      </w:r>
      <w:r w:rsidR="00C56222">
        <w:t>hand</w:t>
      </w:r>
      <w:r w:rsidR="003C3BE0">
        <w:t>washing</w:t>
      </w:r>
      <w:r w:rsidR="00225604">
        <w:t xml:space="preserve"> </w:t>
      </w:r>
      <w:r w:rsidR="006576C7">
        <w:t xml:space="preserve">(reusable glass), RFCW electrical grid (AWG operation), maximum bottle weight and transport distance, and virgin content (single-serve bottle). The minimum scenario includes spring water for the product (bottled water), </w:t>
      </w:r>
      <w:r w:rsidR="00225604">
        <w:t xml:space="preserve">no </w:t>
      </w:r>
      <w:r w:rsidR="006576C7">
        <w:t xml:space="preserve">washing (reusable glass), CAMX electrical grid (AWG operation), minimum bottle weight and transport distance, and ten percent recycled content (single-serve bottle). </w:t>
      </w:r>
      <w:r w:rsidR="004461D5">
        <w:t xml:space="preserve">It is clear from </w:t>
      </w:r>
      <w:r w:rsidR="00BE7009">
        <w:fldChar w:fldCharType="begin"/>
      </w:r>
      <w:r w:rsidR="00BE7009">
        <w:instrText xml:space="preserve"> REF _Ref524514741 \h </w:instrText>
      </w:r>
      <w:r w:rsidR="00BE7009">
        <w:fldChar w:fldCharType="separate"/>
      </w:r>
      <w:r w:rsidR="008072BC">
        <w:t xml:space="preserve">Figure </w:t>
      </w:r>
      <w:r w:rsidR="008072BC">
        <w:rPr>
          <w:noProof/>
        </w:rPr>
        <w:t>8</w:t>
      </w:r>
      <w:r w:rsidR="00BE7009">
        <w:fldChar w:fldCharType="end"/>
      </w:r>
      <w:r w:rsidR="00BE7009">
        <w:t xml:space="preserve"> </w:t>
      </w:r>
      <w:r w:rsidR="004461D5">
        <w:t xml:space="preserve">that across </w:t>
      </w:r>
      <w:r w:rsidR="00051296">
        <w:t>all</w:t>
      </w:r>
      <w:r w:rsidR="004461D5">
        <w:t xml:space="preserve"> impact categories</w:t>
      </w:r>
      <w:r w:rsidR="008F5570">
        <w:t xml:space="preserve"> except water consumption</w:t>
      </w:r>
      <w:r w:rsidR="004461D5">
        <w:t xml:space="preserve">, </w:t>
      </w:r>
      <w:r>
        <w:t xml:space="preserve">the </w:t>
      </w:r>
      <w:r w:rsidR="00051296">
        <w:t>multi-serve</w:t>
      </w:r>
      <w:r w:rsidR="00A47111">
        <w:t xml:space="preserve"> reusable </w:t>
      </w:r>
      <w:r>
        <w:t>jug option</w:t>
      </w:r>
      <w:r w:rsidR="004461D5">
        <w:t xml:space="preserve"> has </w:t>
      </w:r>
      <w:r w:rsidR="00027F70">
        <w:t xml:space="preserve">the </w:t>
      </w:r>
      <w:r w:rsidR="004461D5">
        <w:t>lowe</w:t>
      </w:r>
      <w:r w:rsidR="00051296">
        <w:t>st</w:t>
      </w:r>
      <w:r w:rsidR="004461D5">
        <w:t xml:space="preserve"> impacts </w:t>
      </w:r>
      <w:r w:rsidR="000929ED">
        <w:t>compared to the</w:t>
      </w:r>
      <w:r w:rsidR="004461D5">
        <w:t xml:space="preserve"> </w:t>
      </w:r>
      <w:r w:rsidR="00051296">
        <w:t>single-serve bottled water and the two AWG options studied</w:t>
      </w:r>
      <w:r w:rsidR="004461D5">
        <w:t xml:space="preserve">. </w:t>
      </w:r>
      <w:r w:rsidR="00982EA4">
        <w:t xml:space="preserve">Water consumption is higher for the multi-serve jug due to water used for the reusable glass handwashing. </w:t>
      </w:r>
      <w:r w:rsidR="000929ED">
        <w:fldChar w:fldCharType="begin"/>
      </w:r>
      <w:r w:rsidR="000929ED">
        <w:instrText xml:space="preserve"> REF _Ref524514741 \h </w:instrText>
      </w:r>
      <w:r w:rsidR="000929ED">
        <w:fldChar w:fldCharType="separate"/>
      </w:r>
      <w:r w:rsidR="008072BC">
        <w:t xml:space="preserve">Figure </w:t>
      </w:r>
      <w:r w:rsidR="008072BC">
        <w:rPr>
          <w:noProof/>
        </w:rPr>
        <w:t>8</w:t>
      </w:r>
      <w:r w:rsidR="000929ED">
        <w:fldChar w:fldCharType="end"/>
      </w:r>
      <w:r w:rsidR="000929ED">
        <w:t xml:space="preserve"> also reveals that </w:t>
      </w:r>
      <w:r>
        <w:t xml:space="preserve">under the </w:t>
      </w:r>
      <w:r w:rsidRPr="00465072">
        <w:rPr>
          <w:i/>
        </w:rPr>
        <w:t>baseline conditions</w:t>
      </w:r>
      <w:r>
        <w:t xml:space="preserve"> </w:t>
      </w:r>
      <w:r w:rsidR="000929ED">
        <w:t xml:space="preserve">the AWG systems </w:t>
      </w:r>
      <w:r>
        <w:t xml:space="preserve">generally </w:t>
      </w:r>
      <w:r w:rsidR="000929ED">
        <w:t>have higher impacts as compared with the bottled water systems</w:t>
      </w:r>
      <w:r w:rsidR="00465072">
        <w:t xml:space="preserve">. Of the two AWG vendors, Ecoloblue large scale and medium scale units show the highest impacts across all categories in the </w:t>
      </w:r>
      <w:r w:rsidR="00465072" w:rsidRPr="00465072">
        <w:rPr>
          <w:i/>
        </w:rPr>
        <w:t>baseline scenario</w:t>
      </w:r>
      <w:r w:rsidR="00465072">
        <w:t>. Only under</w:t>
      </w:r>
      <w:r w:rsidR="001A0BFE" w:rsidRPr="00B80FBA">
        <w:t xml:space="preserve"> </w:t>
      </w:r>
      <w:r w:rsidR="00432661" w:rsidRPr="00B80FBA">
        <w:t xml:space="preserve">the </w:t>
      </w:r>
      <w:r w:rsidR="00432661" w:rsidRPr="00465072">
        <w:rPr>
          <w:i/>
        </w:rPr>
        <w:t>m</w:t>
      </w:r>
      <w:r w:rsidR="00B80FBA" w:rsidRPr="00465072">
        <w:rPr>
          <w:i/>
        </w:rPr>
        <w:t>inimum</w:t>
      </w:r>
      <w:r w:rsidR="00432661" w:rsidRPr="00465072">
        <w:rPr>
          <w:i/>
        </w:rPr>
        <w:t xml:space="preserve"> impacts</w:t>
      </w:r>
      <w:r w:rsidR="00432661" w:rsidRPr="00B80FBA">
        <w:t xml:space="preserve"> scenario</w:t>
      </w:r>
      <w:r w:rsidR="00FF50FB">
        <w:t>,</w:t>
      </w:r>
      <w:r w:rsidR="00432661" w:rsidRPr="00B80FBA">
        <w:t xml:space="preserve"> </w:t>
      </w:r>
      <w:r w:rsidR="00B80FBA" w:rsidRPr="00B80FBA">
        <w:t>impacts including acidification potential, smog formation potential and solid waste by weight</w:t>
      </w:r>
      <w:r w:rsidR="00432661" w:rsidRPr="00B80FBA">
        <w:t xml:space="preserve"> </w:t>
      </w:r>
      <w:r w:rsidR="00B80FBA" w:rsidRPr="00B80FBA">
        <w:t>are</w:t>
      </w:r>
      <w:r w:rsidR="00432661" w:rsidRPr="00B80FBA">
        <w:t xml:space="preserve"> higher for the </w:t>
      </w:r>
      <w:r w:rsidR="006D2B4A">
        <w:t>single</w:t>
      </w:r>
      <w:r w:rsidR="00C05BF1">
        <w:t>-</w:t>
      </w:r>
      <w:r w:rsidR="006D2B4A">
        <w:t xml:space="preserve">serve </w:t>
      </w:r>
      <w:r w:rsidR="00432661" w:rsidRPr="00B80FBA">
        <w:t>bottled water system as compared to the AWGs</w:t>
      </w:r>
      <w:r w:rsidR="00C05BF1">
        <w:t xml:space="preserve"> and the reusable jug</w:t>
      </w:r>
      <w:r w:rsidR="006E3AC5">
        <w:t xml:space="preserve"> (see </w:t>
      </w:r>
      <w:r w:rsidR="0026143C">
        <w:fldChar w:fldCharType="begin"/>
      </w:r>
      <w:r w:rsidR="0026143C">
        <w:instrText xml:space="preserve"> REF _Ref533004569 \h </w:instrText>
      </w:r>
      <w:r w:rsidR="0026143C">
        <w:fldChar w:fldCharType="separate"/>
      </w:r>
      <w:r w:rsidR="0026143C">
        <w:t xml:space="preserve">Table </w:t>
      </w:r>
      <w:r w:rsidR="0026143C">
        <w:rPr>
          <w:noProof/>
        </w:rPr>
        <w:t>11</w:t>
      </w:r>
      <w:r w:rsidR="0026143C">
        <w:fldChar w:fldCharType="end"/>
      </w:r>
      <w:r w:rsidR="006E3AC5">
        <w:t>)</w:t>
      </w:r>
      <w:r w:rsidR="00432661" w:rsidRPr="00B80FBA">
        <w:t>.</w:t>
      </w:r>
      <w:r w:rsidR="000929ED">
        <w:t xml:space="preserve"> </w:t>
      </w:r>
      <w:r w:rsidR="00C01937">
        <w:t>The error bars</w:t>
      </w:r>
      <w:r w:rsidR="00894E1F">
        <w:t xml:space="preserve"> </w:t>
      </w:r>
      <w:r w:rsidR="00C01937">
        <w:t xml:space="preserve">in </w:t>
      </w:r>
      <w:r w:rsidR="00C01937">
        <w:fldChar w:fldCharType="begin"/>
      </w:r>
      <w:r w:rsidR="00C01937">
        <w:instrText xml:space="preserve"> REF _Ref524514741 \h </w:instrText>
      </w:r>
      <w:r w:rsidR="00C01937">
        <w:fldChar w:fldCharType="separate"/>
      </w:r>
      <w:r w:rsidR="008072BC">
        <w:t xml:space="preserve">Figure </w:t>
      </w:r>
      <w:r w:rsidR="008072BC">
        <w:rPr>
          <w:noProof/>
        </w:rPr>
        <w:t>8</w:t>
      </w:r>
      <w:r w:rsidR="00C01937">
        <w:fldChar w:fldCharType="end"/>
      </w:r>
      <w:r w:rsidR="00C01937">
        <w:t xml:space="preserve"> show the range of impacts</w:t>
      </w:r>
      <w:r w:rsidR="00894E1F">
        <w:t xml:space="preserve"> between the scenario with</w:t>
      </w:r>
      <w:r w:rsidR="000929ED">
        <w:t xml:space="preserve"> the</w:t>
      </w:r>
      <w:r w:rsidR="00894E1F">
        <w:t xml:space="preserve"> highest impacts and</w:t>
      </w:r>
      <w:r w:rsidR="000929ED">
        <w:t xml:space="preserve"> the scenario with the</w:t>
      </w:r>
      <w:r w:rsidR="00894E1F">
        <w:t xml:space="preserve"> lowest impacts</w:t>
      </w:r>
      <w:r w:rsidR="00C01937">
        <w:t>.</w:t>
      </w:r>
      <w:r w:rsidR="00894E1F">
        <w:t xml:space="preserve"> The errors are calculated as the average of the two extremes with respect to the maximum </w:t>
      </w:r>
      <w:r w:rsidR="00570819">
        <w:t>of</w:t>
      </w:r>
      <w:r w:rsidR="00027F70">
        <w:t xml:space="preserve"> each impact category in </w:t>
      </w:r>
      <w:r w:rsidR="00894E1F">
        <w:t>the default scenario.</w:t>
      </w:r>
      <w:r w:rsidR="00C01937">
        <w:t xml:space="preserve"> </w:t>
      </w:r>
      <w:r w:rsidR="000929ED">
        <w:t>The Ecoloblue large and medium scale units</w:t>
      </w:r>
      <w:r w:rsidR="00894E1F">
        <w:t xml:space="preserve"> also have the longest error bars</w:t>
      </w:r>
      <w:r w:rsidR="000929ED">
        <w:t xml:space="preserve"> showing a large variability in the highest and lowest impact scenarios</w:t>
      </w:r>
      <w:r w:rsidR="001A0BFE">
        <w:t xml:space="preserve"> primarily due to </w:t>
      </w:r>
      <w:r w:rsidR="00FF50FB">
        <w:t xml:space="preserve">the </w:t>
      </w:r>
      <w:r w:rsidR="001A0BFE">
        <w:t>electrical grid used</w:t>
      </w:r>
      <w:r w:rsidR="00894E1F">
        <w:t>.</w:t>
      </w:r>
      <w:r w:rsidR="008A057C">
        <w:t xml:space="preserve"> The scope, range and variability of data points available for medium scale Watergen and Ecoloblue units is also reflected in the length of the error bars. </w:t>
      </w:r>
      <w:r w:rsidR="00894E1F">
        <w:lastRenderedPageBreak/>
        <w:t>T</w:t>
      </w:r>
      <w:r w:rsidR="00A326AF">
        <w:t xml:space="preserve">he home/office scale units </w:t>
      </w:r>
      <w:r w:rsidR="00894E1F">
        <w:t xml:space="preserve">of the two vendors </w:t>
      </w:r>
      <w:r w:rsidR="00A326AF">
        <w:t xml:space="preserve">perform almost </w:t>
      </w:r>
      <w:r w:rsidR="00FF50FB">
        <w:t>equivalently</w:t>
      </w:r>
      <w:r w:rsidR="00A326AF">
        <w:t xml:space="preserve"> in terms of </w:t>
      </w:r>
      <w:r w:rsidR="00FF50FB">
        <w:t xml:space="preserve">assessed </w:t>
      </w:r>
      <w:r w:rsidR="00A326AF">
        <w:t>impacts.</w:t>
      </w:r>
    </w:p>
    <w:p w14:paraId="33BF3269" w14:textId="525FF0F7" w:rsidR="001B7A5A" w:rsidRDefault="001B7A5A" w:rsidP="001B7A5A">
      <w:pPr>
        <w:keepNext/>
        <w:tabs>
          <w:tab w:val="clear" w:pos="720"/>
        </w:tabs>
      </w:pPr>
    </w:p>
    <w:p w14:paraId="2862110A" w14:textId="2B2699A8" w:rsidR="006E3AC5" w:rsidRDefault="00D4704C" w:rsidP="001B7A5A">
      <w:pPr>
        <w:keepNext/>
        <w:tabs>
          <w:tab w:val="clear" w:pos="720"/>
        </w:tabs>
        <w:jc w:val="center"/>
      </w:pPr>
      <w:r>
        <w:rPr>
          <w:noProof/>
        </w:rPr>
        <w:drawing>
          <wp:inline distT="0" distB="0" distL="0" distR="0" wp14:anchorId="02E18805" wp14:editId="17B705A1">
            <wp:extent cx="6581775" cy="3238500"/>
            <wp:effectExtent l="0" t="0" r="0" b="0"/>
            <wp:docPr id="9" name="Chart 9">
              <a:extLst xmlns:a="http://schemas.openxmlformats.org/drawingml/2006/main">
                <a:ext uri="{FF2B5EF4-FFF2-40B4-BE49-F238E27FC236}">
                  <a16:creationId xmlns:a16="http://schemas.microsoft.com/office/drawing/2014/main" id="{9F3DB11D-9166-4372-8B40-1ED609ED2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8AA7DA" w14:textId="7CC5BEB9" w:rsidR="001B7A5A" w:rsidRPr="00D4704C" w:rsidRDefault="001B7A5A" w:rsidP="001B7A5A">
      <w:pPr>
        <w:keepNext/>
        <w:tabs>
          <w:tab w:val="clear" w:pos="720"/>
        </w:tabs>
        <w:rPr>
          <w:rFonts w:asciiTheme="majorHAnsi" w:hAnsiTheme="majorHAnsi" w:cstheme="majorHAnsi"/>
          <w:sz w:val="16"/>
          <w:szCs w:val="16"/>
        </w:rPr>
      </w:pPr>
      <w:r w:rsidRPr="00D4704C">
        <w:rPr>
          <w:rFonts w:asciiTheme="majorHAnsi" w:hAnsiTheme="majorHAnsi" w:cstheme="majorHAnsi"/>
          <w:sz w:val="16"/>
          <w:szCs w:val="16"/>
        </w:rPr>
        <w:t>H/O = home office scale; LS = large scale; MS = medium scale</w:t>
      </w:r>
    </w:p>
    <w:p w14:paraId="1BC1AB41" w14:textId="5DD8AD2E" w:rsidR="00432661" w:rsidRDefault="004461D5" w:rsidP="008C35F1">
      <w:pPr>
        <w:pStyle w:val="FigureTitle"/>
      </w:pPr>
      <w:bookmarkStart w:id="285" w:name="_Ref524514741"/>
      <w:bookmarkStart w:id="286" w:name="_Toc533009205"/>
      <w:r>
        <w:t xml:space="preserve">Figure </w:t>
      </w:r>
      <w:r w:rsidR="005810D9">
        <w:fldChar w:fldCharType="begin"/>
      </w:r>
      <w:r w:rsidR="005810D9">
        <w:instrText xml:space="preserve"> SEQ Figure \* ARABIC </w:instrText>
      </w:r>
      <w:r w:rsidR="005810D9">
        <w:fldChar w:fldCharType="separate"/>
      </w:r>
      <w:r w:rsidR="008072BC">
        <w:t>8</w:t>
      </w:r>
      <w:r w:rsidR="005810D9">
        <w:fldChar w:fldCharType="end"/>
      </w:r>
      <w:bookmarkEnd w:id="285"/>
      <w:r>
        <w:t>. System comparison of life cycle impacts for large, medium and home/office scale for Watergen and Ecoloblue AWG venders</w:t>
      </w:r>
      <w:r w:rsidR="00AF2021">
        <w:t xml:space="preserve"> along with the single-serve and multi-serve bottled water systems</w:t>
      </w:r>
      <w:r>
        <w:t xml:space="preserve">. </w:t>
      </w:r>
      <w:r w:rsidRPr="001C3A68">
        <w:t xml:space="preserve">Error bars </w:t>
      </w:r>
      <w:r w:rsidR="008608F6">
        <w:t>show the range of impacts between the maximum and minimum impact scenarios for all systems as compared to the default scenario.</w:t>
      </w:r>
      <w:bookmarkEnd w:id="286"/>
    </w:p>
    <w:tbl>
      <w:tblPr>
        <w:tblW w:w="5303" w:type="pct"/>
        <w:tblInd w:w="-190" w:type="dxa"/>
        <w:tblCellMar>
          <w:left w:w="0" w:type="dxa"/>
          <w:right w:w="0" w:type="dxa"/>
        </w:tblCellMar>
        <w:tblLook w:val="04A0" w:firstRow="1" w:lastRow="0" w:firstColumn="1" w:lastColumn="0" w:noHBand="0" w:noVBand="1"/>
      </w:tblPr>
      <w:tblGrid>
        <w:gridCol w:w="1376"/>
        <w:gridCol w:w="959"/>
        <w:gridCol w:w="858"/>
        <w:gridCol w:w="769"/>
        <w:gridCol w:w="787"/>
        <w:gridCol w:w="919"/>
        <w:gridCol w:w="1082"/>
        <w:gridCol w:w="860"/>
        <w:gridCol w:w="864"/>
        <w:gridCol w:w="1432"/>
      </w:tblGrid>
      <w:tr w:rsidR="00F40E75" w:rsidRPr="00E57B02" w14:paraId="4F6A73CD" w14:textId="77777777" w:rsidTr="00945E06">
        <w:trPr>
          <w:trHeight w:val="375"/>
          <w:tblHeader/>
        </w:trPr>
        <w:tc>
          <w:tcPr>
            <w:tcW w:w="5000" w:type="pct"/>
            <w:gridSpan w:val="10"/>
            <w:tcBorders>
              <w:top w:val="single" w:sz="8" w:space="0" w:color="FFFFFF"/>
              <w:left w:val="single" w:sz="8" w:space="0" w:color="FFFFFF"/>
              <w:right w:val="single" w:sz="8" w:space="0" w:color="FFFFFF"/>
            </w:tcBorders>
            <w:shd w:val="clear" w:color="auto" w:fill="auto"/>
            <w:tcMar>
              <w:top w:w="15" w:type="dxa"/>
              <w:left w:w="75" w:type="dxa"/>
              <w:bottom w:w="0" w:type="dxa"/>
              <w:right w:w="75" w:type="dxa"/>
            </w:tcMar>
            <w:vAlign w:val="bottom"/>
          </w:tcPr>
          <w:p w14:paraId="17D487CD" w14:textId="60404E9A" w:rsidR="00F40E75" w:rsidRPr="00F40E75" w:rsidRDefault="00F40E75" w:rsidP="00F40E75">
            <w:pPr>
              <w:pStyle w:val="TableTitle"/>
            </w:pPr>
            <w:bookmarkStart w:id="287" w:name="_Ref524964504"/>
            <w:bookmarkStart w:id="288" w:name="_Toc533009189"/>
            <w:r>
              <w:t xml:space="preserve">Table </w:t>
            </w:r>
            <w:r w:rsidR="003B2F04">
              <w:rPr>
                <w:noProof/>
              </w:rPr>
              <w:fldChar w:fldCharType="begin"/>
            </w:r>
            <w:r w:rsidR="003B2F04">
              <w:rPr>
                <w:noProof/>
              </w:rPr>
              <w:instrText xml:space="preserve"> SEQ Table \* ARABIC </w:instrText>
            </w:r>
            <w:r w:rsidR="003B2F04">
              <w:rPr>
                <w:noProof/>
              </w:rPr>
              <w:fldChar w:fldCharType="separate"/>
            </w:r>
            <w:r w:rsidR="008072BC">
              <w:rPr>
                <w:noProof/>
              </w:rPr>
              <w:t>9</w:t>
            </w:r>
            <w:r w:rsidR="003B2F04">
              <w:rPr>
                <w:noProof/>
              </w:rPr>
              <w:fldChar w:fldCharType="end"/>
            </w:r>
            <w:bookmarkEnd w:id="287"/>
            <w:r>
              <w:t>. Summary Baseline LCA Results</w:t>
            </w:r>
            <w:r w:rsidR="00982EA4">
              <w:t xml:space="preserve"> (per Liter Water Delivered)</w:t>
            </w:r>
            <w:bookmarkEnd w:id="288"/>
          </w:p>
        </w:tc>
      </w:tr>
      <w:tr w:rsidR="00F40E75" w:rsidRPr="00E57B02" w14:paraId="5597DA96" w14:textId="77777777" w:rsidTr="00945E06">
        <w:trPr>
          <w:trHeight w:val="375"/>
          <w:tblHeader/>
        </w:trPr>
        <w:tc>
          <w:tcPr>
            <w:tcW w:w="695" w:type="pct"/>
            <w:vMerge w:val="restart"/>
            <w:tcBorders>
              <w:top w:val="single" w:sz="8" w:space="0" w:color="FFFFFF"/>
              <w:left w:val="single" w:sz="8" w:space="0" w:color="FFFFFF"/>
              <w:right w:val="single" w:sz="8" w:space="0" w:color="FFFFFF"/>
            </w:tcBorders>
            <w:shd w:val="clear" w:color="auto" w:fill="BBE0E3"/>
            <w:tcMar>
              <w:top w:w="15" w:type="dxa"/>
              <w:left w:w="75" w:type="dxa"/>
              <w:bottom w:w="0" w:type="dxa"/>
              <w:right w:w="75" w:type="dxa"/>
            </w:tcMar>
            <w:vAlign w:val="bottom"/>
          </w:tcPr>
          <w:p w14:paraId="41E95F62" w14:textId="77777777" w:rsidR="00F40E75" w:rsidRPr="00E57B02" w:rsidRDefault="00F40E75" w:rsidP="00F40E75">
            <w:pPr>
              <w:spacing w:after="240"/>
              <w:jc w:val="center"/>
              <w:rPr>
                <w:rFonts w:asciiTheme="majorHAnsi" w:hAnsiTheme="majorHAnsi" w:cstheme="majorHAnsi"/>
                <w:b/>
                <w:color w:val="000000" w:themeColor="text1"/>
                <w:sz w:val="18"/>
                <w:szCs w:val="18"/>
              </w:rPr>
            </w:pPr>
            <w:r w:rsidRPr="00E57B02">
              <w:rPr>
                <w:rFonts w:asciiTheme="majorHAnsi" w:hAnsiTheme="majorHAnsi"/>
                <w:b/>
                <w:bCs/>
                <w:color w:val="000000"/>
                <w:sz w:val="18"/>
                <w:szCs w:val="18"/>
              </w:rPr>
              <w:t>Impact Category</w:t>
            </w:r>
          </w:p>
        </w:tc>
        <w:tc>
          <w:tcPr>
            <w:tcW w:w="484" w:type="pct"/>
            <w:vMerge w:val="restart"/>
            <w:tcBorders>
              <w:top w:val="single" w:sz="8" w:space="0" w:color="FFFFFF"/>
              <w:left w:val="single" w:sz="8" w:space="0" w:color="FFFFFF"/>
              <w:right w:val="single" w:sz="8" w:space="0" w:color="FFFFFF"/>
            </w:tcBorders>
            <w:shd w:val="clear" w:color="auto" w:fill="BBE0E3"/>
            <w:tcMar>
              <w:top w:w="15" w:type="dxa"/>
              <w:left w:w="108" w:type="dxa"/>
              <w:bottom w:w="0" w:type="dxa"/>
              <w:right w:w="108" w:type="dxa"/>
            </w:tcMar>
            <w:vAlign w:val="bottom"/>
          </w:tcPr>
          <w:p w14:paraId="30FCF943" w14:textId="77777777" w:rsidR="00F40E75" w:rsidRPr="00E57B02" w:rsidRDefault="00F40E75" w:rsidP="00F40E75">
            <w:pPr>
              <w:spacing w:after="240"/>
              <w:jc w:val="center"/>
              <w:rPr>
                <w:rFonts w:asciiTheme="majorHAnsi" w:hAnsiTheme="majorHAnsi" w:cstheme="majorHAnsi"/>
                <w:b/>
                <w:color w:val="000000" w:themeColor="text1"/>
                <w:sz w:val="18"/>
                <w:szCs w:val="18"/>
              </w:rPr>
            </w:pPr>
            <w:r w:rsidRPr="00E57B02">
              <w:rPr>
                <w:rFonts w:asciiTheme="majorHAnsi" w:hAnsiTheme="majorHAnsi"/>
                <w:b/>
                <w:bCs/>
                <w:color w:val="000000"/>
                <w:sz w:val="18"/>
                <w:szCs w:val="18"/>
              </w:rPr>
              <w:t>Unit</w:t>
            </w:r>
          </w:p>
        </w:tc>
        <w:tc>
          <w:tcPr>
            <w:tcW w:w="3821" w:type="pct"/>
            <w:gridSpan w:val="8"/>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73F33DD4" w14:textId="77777777" w:rsidR="00F40E75" w:rsidRPr="00E57B02" w:rsidRDefault="00F40E75" w:rsidP="00F40E75">
            <w:pPr>
              <w:jc w:val="center"/>
              <w:rPr>
                <w:rFonts w:asciiTheme="majorHAnsi" w:hAnsiTheme="majorHAnsi" w:cstheme="majorHAnsi"/>
                <w:b/>
                <w:color w:val="000000" w:themeColor="text1"/>
                <w:sz w:val="18"/>
                <w:szCs w:val="18"/>
              </w:rPr>
            </w:pPr>
            <w:r w:rsidRPr="00E57B02">
              <w:rPr>
                <w:rFonts w:asciiTheme="majorHAnsi" w:hAnsiTheme="majorHAnsi" w:cstheme="majorHAnsi"/>
                <w:b/>
                <w:color w:val="000000" w:themeColor="text1"/>
                <w:sz w:val="18"/>
                <w:szCs w:val="18"/>
              </w:rPr>
              <w:t>Total Impacts Per Liter</w:t>
            </w:r>
          </w:p>
        </w:tc>
      </w:tr>
      <w:tr w:rsidR="00F40E75" w:rsidRPr="00E57B02" w14:paraId="6C483645" w14:textId="77777777" w:rsidTr="00945E06">
        <w:trPr>
          <w:trHeight w:val="375"/>
          <w:tblHeader/>
        </w:trPr>
        <w:tc>
          <w:tcPr>
            <w:tcW w:w="695" w:type="pct"/>
            <w:vMerge/>
            <w:tcBorders>
              <w:left w:val="single" w:sz="8" w:space="0" w:color="FFFFFF"/>
              <w:bottom w:val="single" w:sz="24" w:space="0" w:color="FFFFFF"/>
              <w:right w:val="single" w:sz="8" w:space="0" w:color="FFFFFF"/>
            </w:tcBorders>
            <w:shd w:val="clear" w:color="auto" w:fill="BBE0E3"/>
            <w:tcMar>
              <w:top w:w="15" w:type="dxa"/>
              <w:left w:w="75" w:type="dxa"/>
              <w:bottom w:w="0" w:type="dxa"/>
              <w:right w:w="75" w:type="dxa"/>
            </w:tcMar>
            <w:vAlign w:val="bottom"/>
          </w:tcPr>
          <w:p w14:paraId="3DA98DF9" w14:textId="77777777" w:rsidR="00F40E75" w:rsidRPr="00E57B02" w:rsidRDefault="00F40E75" w:rsidP="00F40E75">
            <w:pPr>
              <w:spacing w:after="240"/>
              <w:jc w:val="center"/>
              <w:rPr>
                <w:rFonts w:asciiTheme="majorHAnsi" w:hAnsiTheme="majorHAnsi"/>
                <w:b/>
                <w:bCs/>
                <w:color w:val="000000"/>
                <w:sz w:val="18"/>
                <w:szCs w:val="18"/>
              </w:rPr>
            </w:pPr>
          </w:p>
        </w:tc>
        <w:tc>
          <w:tcPr>
            <w:tcW w:w="484" w:type="pct"/>
            <w:vMerge/>
            <w:tcBorders>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2CB86F5C" w14:textId="77777777" w:rsidR="00F40E75" w:rsidRPr="00E57B02" w:rsidRDefault="00F40E75" w:rsidP="00F40E75">
            <w:pPr>
              <w:spacing w:after="240"/>
              <w:jc w:val="center"/>
              <w:rPr>
                <w:rFonts w:asciiTheme="majorHAnsi" w:hAnsiTheme="majorHAnsi"/>
                <w:b/>
                <w:bCs/>
                <w:color w:val="000000"/>
                <w:sz w:val="18"/>
                <w:szCs w:val="18"/>
              </w:rPr>
            </w:pPr>
          </w:p>
        </w:tc>
        <w:tc>
          <w:tcPr>
            <w:tcW w:w="433"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3A94F776"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Single-serve bottle</w:t>
            </w:r>
          </w:p>
        </w:tc>
        <w:tc>
          <w:tcPr>
            <w:tcW w:w="388"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7FE637F0"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Reusable Jug</w:t>
            </w:r>
          </w:p>
        </w:tc>
        <w:tc>
          <w:tcPr>
            <w:tcW w:w="397"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3DFCFCBB"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Watergen (Large Scale)</w:t>
            </w:r>
          </w:p>
        </w:tc>
        <w:tc>
          <w:tcPr>
            <w:tcW w:w="464"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2D78663B"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Watergen (Medium Scale)</w:t>
            </w:r>
          </w:p>
        </w:tc>
        <w:tc>
          <w:tcPr>
            <w:tcW w:w="546"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7EF6A62B"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Watergen (Home/Office Scale)</w:t>
            </w:r>
          </w:p>
        </w:tc>
        <w:tc>
          <w:tcPr>
            <w:tcW w:w="434"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5751BD6D"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EcoloBlue (Large Scale)</w:t>
            </w:r>
          </w:p>
        </w:tc>
        <w:tc>
          <w:tcPr>
            <w:tcW w:w="436"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75DCD789"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EcoloBlue (Medium Scale)</w:t>
            </w:r>
          </w:p>
        </w:tc>
        <w:tc>
          <w:tcPr>
            <w:tcW w:w="723"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344593EA"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EcoloBlue(Home/ Office Scale)</w:t>
            </w:r>
          </w:p>
        </w:tc>
      </w:tr>
      <w:tr w:rsidR="00945E06" w:rsidRPr="00E57B02" w14:paraId="26FCE6E9" w14:textId="77777777" w:rsidTr="00945E06">
        <w:trPr>
          <w:trHeight w:val="280"/>
        </w:trPr>
        <w:tc>
          <w:tcPr>
            <w:tcW w:w="695" w:type="pct"/>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2956F319" w14:textId="77777777" w:rsidR="00945E06" w:rsidRPr="00E57B02" w:rsidRDefault="00945E06" w:rsidP="00945E06">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Acidification Potential</w:t>
            </w:r>
          </w:p>
        </w:tc>
        <w:tc>
          <w:tcPr>
            <w:tcW w:w="484"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07B8CDA4" w14:textId="77777777" w:rsidR="00945E06" w:rsidRPr="00E57B02" w:rsidRDefault="00945E06" w:rsidP="00945E06">
            <w:pPr>
              <w:jc w:val="center"/>
              <w:rPr>
                <w:rFonts w:asciiTheme="majorHAnsi" w:hAnsiTheme="majorHAnsi" w:cstheme="majorHAnsi"/>
                <w:sz w:val="18"/>
                <w:szCs w:val="18"/>
              </w:rPr>
            </w:pPr>
            <w:r w:rsidRPr="00E57B02">
              <w:rPr>
                <w:rFonts w:asciiTheme="majorHAnsi" w:hAnsiTheme="majorHAnsi"/>
                <w:i/>
                <w:iCs/>
                <w:color w:val="000000"/>
                <w:sz w:val="18"/>
                <w:szCs w:val="18"/>
              </w:rPr>
              <w:t>kg SO</w:t>
            </w:r>
            <w:r w:rsidRPr="00F570E4">
              <w:rPr>
                <w:rFonts w:asciiTheme="majorHAnsi" w:hAnsiTheme="majorHAnsi"/>
                <w:i/>
                <w:iCs/>
                <w:color w:val="000000"/>
                <w:sz w:val="18"/>
                <w:szCs w:val="18"/>
                <w:vertAlign w:val="subscript"/>
              </w:rPr>
              <w:t>2</w:t>
            </w:r>
            <w:r w:rsidRPr="00E57B02">
              <w:rPr>
                <w:rFonts w:asciiTheme="majorHAnsi" w:hAnsiTheme="majorHAnsi"/>
                <w:i/>
                <w:iCs/>
                <w:color w:val="000000"/>
                <w:sz w:val="18"/>
                <w:szCs w:val="18"/>
              </w:rPr>
              <w:t xml:space="preserve"> eq</w:t>
            </w:r>
          </w:p>
        </w:tc>
        <w:tc>
          <w:tcPr>
            <w:tcW w:w="433"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57B5D1F6" w14:textId="5CEDED48"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5.08E-04</w:t>
            </w:r>
          </w:p>
        </w:tc>
        <w:tc>
          <w:tcPr>
            <w:tcW w:w="388"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7544ABD9" w14:textId="2EB4D8DF"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2.30E-04</w:t>
            </w:r>
          </w:p>
        </w:tc>
        <w:tc>
          <w:tcPr>
            <w:tcW w:w="397"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668189BC" w14:textId="6AF0A432"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2.16E-03</w:t>
            </w:r>
          </w:p>
        </w:tc>
        <w:tc>
          <w:tcPr>
            <w:tcW w:w="464"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128DCC56" w14:textId="2CD8136B"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2.05E-03</w:t>
            </w:r>
          </w:p>
        </w:tc>
        <w:tc>
          <w:tcPr>
            <w:tcW w:w="546"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64E4CD51" w14:textId="786DB015"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1.87E-03</w:t>
            </w:r>
          </w:p>
        </w:tc>
        <w:tc>
          <w:tcPr>
            <w:tcW w:w="434"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38A5809B" w14:textId="23090905"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2.59E-03</w:t>
            </w:r>
          </w:p>
        </w:tc>
        <w:tc>
          <w:tcPr>
            <w:tcW w:w="436"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40438E87" w14:textId="2CABD42B"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2.53E-03</w:t>
            </w:r>
          </w:p>
        </w:tc>
        <w:tc>
          <w:tcPr>
            <w:tcW w:w="723"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7ABFB12C" w14:textId="56F736CF"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1.86E-03</w:t>
            </w:r>
          </w:p>
        </w:tc>
      </w:tr>
      <w:tr w:rsidR="00945E06" w:rsidRPr="00E57B02" w14:paraId="008AB0AE" w14:textId="77777777" w:rsidTr="00945E06">
        <w:trPr>
          <w:trHeight w:val="280"/>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4F335149" w14:textId="77777777" w:rsidR="00945E06" w:rsidRPr="00E57B02" w:rsidRDefault="00945E06" w:rsidP="00945E06">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Cumulative Energy Demand</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EC232C9" w14:textId="77777777" w:rsidR="00945E06" w:rsidRPr="00E57B02" w:rsidRDefault="00945E06" w:rsidP="00945E06">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MJ</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B233DFB" w14:textId="64FE7E16"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2.54E+00</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20DB4DB" w14:textId="1237F87F"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9.32E-01</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2DFF3FA" w14:textId="0844E633"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5.64E+00</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49F7D0F" w14:textId="563FDFA2"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5.35E+00</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58D8DFB" w14:textId="6B733107"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4.88E+00</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28C8E62" w14:textId="3D2CB7F4"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6.75E+00</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53F01EC" w14:textId="7799E062"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6.60E+00</w:t>
            </w:r>
          </w:p>
        </w:tc>
        <w:tc>
          <w:tcPr>
            <w:tcW w:w="72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D3976AD" w14:textId="6541FA26"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4.86E+00</w:t>
            </w:r>
          </w:p>
        </w:tc>
      </w:tr>
      <w:tr w:rsidR="00945E06" w:rsidRPr="00E57B02" w14:paraId="3ED9F4E5" w14:textId="77777777" w:rsidTr="00945E06">
        <w:trPr>
          <w:trHeight w:val="280"/>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63A8B0EA" w14:textId="77777777" w:rsidR="00945E06" w:rsidRPr="00E57B02" w:rsidRDefault="00945E06" w:rsidP="00945E06">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Eutrophication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5997F991" w14:textId="77777777" w:rsidR="00945E06" w:rsidRPr="00E57B02" w:rsidRDefault="00945E06" w:rsidP="00945E06">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N eq</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364E1EF2" w14:textId="2F266909"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1.83E-05</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E05F9A3" w14:textId="6F9840F4"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1.21E-05</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646C63E" w14:textId="3F00C3CE"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4.11E-05</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430253F" w14:textId="1B6496B9"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4.64E-05</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611AAF2" w14:textId="7CF6E55C"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4.40E-05</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ED7BD36" w14:textId="26C9F66E"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4.58E-05</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5829C67" w14:textId="2CFFA51E"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4.66E-05</w:t>
            </w:r>
          </w:p>
        </w:tc>
        <w:tc>
          <w:tcPr>
            <w:tcW w:w="72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EB708D1" w14:textId="666E2A7E"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3.76E-05</w:t>
            </w:r>
          </w:p>
        </w:tc>
      </w:tr>
      <w:tr w:rsidR="00945E06" w:rsidRPr="00E57B02" w14:paraId="04ED1C0B" w14:textId="77777777" w:rsidTr="00945E06">
        <w:trPr>
          <w:trHeight w:val="280"/>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4A94CD28" w14:textId="77777777" w:rsidR="00945E06" w:rsidRPr="00E57B02" w:rsidRDefault="00945E06" w:rsidP="00945E06">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 xml:space="preserve">Fossil </w:t>
            </w:r>
            <w:r>
              <w:rPr>
                <w:rFonts w:asciiTheme="majorHAnsi" w:hAnsiTheme="majorHAnsi"/>
                <w:color w:val="000000"/>
                <w:sz w:val="18"/>
                <w:szCs w:val="18"/>
              </w:rPr>
              <w:t xml:space="preserve">Fuel </w:t>
            </w:r>
            <w:r w:rsidRPr="00E57B02">
              <w:rPr>
                <w:rFonts w:asciiTheme="majorHAnsi" w:hAnsiTheme="majorHAnsi"/>
                <w:color w:val="000000"/>
                <w:sz w:val="18"/>
                <w:szCs w:val="18"/>
              </w:rPr>
              <w:t>Depletion</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498F5AD0" w14:textId="77777777" w:rsidR="00945E06" w:rsidRPr="00E57B02" w:rsidRDefault="00945E06" w:rsidP="00945E06">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oil eq</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1B9BAAE4" w14:textId="2B60FF43"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5.40E-02</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DF7B1B0" w14:textId="432D7ED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2.01E-02</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2688401" w14:textId="4368AFB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1.06E-01</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E9CF6C0" w14:textId="222ABC21"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1.01E-01</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6B2FC2A" w14:textId="5C8008F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9.17E-02</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B80BDFC" w14:textId="36E5CB4B"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1.27E-01</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5054782" w14:textId="28B4DFFA"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1.24E-01</w:t>
            </w:r>
          </w:p>
        </w:tc>
        <w:tc>
          <w:tcPr>
            <w:tcW w:w="72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69533B2" w14:textId="3E014A98"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9.13E-02</w:t>
            </w:r>
          </w:p>
        </w:tc>
      </w:tr>
      <w:tr w:rsidR="00945E06" w:rsidRPr="00E57B02" w14:paraId="2680699F" w14:textId="77777777" w:rsidTr="00945E06">
        <w:trPr>
          <w:trHeight w:val="280"/>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17598673" w14:textId="77777777" w:rsidR="00945E06" w:rsidRPr="00E57B02" w:rsidRDefault="00945E06" w:rsidP="00945E06">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Global Warming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6087A2F2" w14:textId="77777777" w:rsidR="00945E06" w:rsidRPr="00E57B02" w:rsidRDefault="00945E06" w:rsidP="00945E06">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CO</w:t>
            </w:r>
            <w:r w:rsidRPr="00F570E4">
              <w:rPr>
                <w:rFonts w:asciiTheme="majorHAnsi" w:hAnsiTheme="majorHAnsi"/>
                <w:i/>
                <w:iCs/>
                <w:color w:val="000000"/>
                <w:sz w:val="18"/>
                <w:szCs w:val="18"/>
                <w:vertAlign w:val="subscript"/>
              </w:rPr>
              <w:t>2</w:t>
            </w:r>
            <w:r w:rsidRPr="00E57B02">
              <w:rPr>
                <w:rFonts w:asciiTheme="majorHAnsi" w:hAnsiTheme="majorHAnsi"/>
                <w:i/>
                <w:iCs/>
                <w:color w:val="000000"/>
                <w:sz w:val="18"/>
                <w:szCs w:val="18"/>
              </w:rPr>
              <w:t xml:space="preserve"> eq</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4E830E75" w14:textId="52977BB7"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1.18E-01</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4CE719A" w14:textId="1871F4CC"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6.06E-02</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EE8E548" w14:textId="66C8FD5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3.52E-01</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7B0C7CF" w14:textId="47ACCF06"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3.34E-01</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3EE2312" w14:textId="4B8EE4C8"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3.06E-01</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1C43F55" w14:textId="43EBB10F"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4.20E-01</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0BE78E4" w14:textId="43F47593"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4.11E-01</w:t>
            </w:r>
          </w:p>
        </w:tc>
        <w:tc>
          <w:tcPr>
            <w:tcW w:w="72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630BAF0" w14:textId="144F5C2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3.03E-01</w:t>
            </w:r>
          </w:p>
        </w:tc>
      </w:tr>
      <w:tr w:rsidR="00945E06" w:rsidRPr="00E57B02" w14:paraId="1D4EEC70" w14:textId="77777777" w:rsidTr="00945E06">
        <w:trPr>
          <w:trHeight w:val="280"/>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2760C9D6" w14:textId="77777777" w:rsidR="00945E06" w:rsidRPr="00E57B02" w:rsidRDefault="00945E06" w:rsidP="00945E06">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Particulate Matter Formation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472BDEC0" w14:textId="77777777" w:rsidR="00945E06" w:rsidRPr="00E57B02" w:rsidRDefault="00945E06" w:rsidP="00945E06">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PM2.5 eq</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90D3494" w14:textId="438FE0AC"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2.98E-05</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AA700E3" w14:textId="01AAF46A"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1.64E-05</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3D9C654" w14:textId="166F3664"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1.17E-04</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49A5165" w14:textId="4386506E"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1.15E-04</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F31511A" w14:textId="12C85BF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1.06E-04</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201423E" w14:textId="2B7DAC16"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1.38E-04</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556F84D" w14:textId="0F3FA428"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1.36E-04</w:t>
            </w:r>
          </w:p>
        </w:tc>
        <w:tc>
          <w:tcPr>
            <w:tcW w:w="72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4806928" w14:textId="1789560B"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1.01E-04</w:t>
            </w:r>
          </w:p>
        </w:tc>
      </w:tr>
      <w:tr w:rsidR="00945E06" w:rsidRPr="00E57B02" w14:paraId="41D7AB7C" w14:textId="77777777" w:rsidTr="00945E06">
        <w:trPr>
          <w:trHeight w:val="280"/>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77D15468" w14:textId="77777777" w:rsidR="00945E06" w:rsidRPr="00E57B02" w:rsidRDefault="00945E06" w:rsidP="00945E06">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lastRenderedPageBreak/>
              <w:t>Smog Formation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34A0242D" w14:textId="77777777" w:rsidR="00945E06" w:rsidRPr="00E57B02" w:rsidRDefault="00945E06" w:rsidP="00945E06">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O</w:t>
            </w:r>
            <w:r w:rsidRPr="00F570E4">
              <w:rPr>
                <w:rFonts w:asciiTheme="majorHAnsi" w:hAnsiTheme="majorHAnsi"/>
                <w:i/>
                <w:iCs/>
                <w:color w:val="000000"/>
                <w:sz w:val="18"/>
                <w:szCs w:val="18"/>
                <w:vertAlign w:val="subscript"/>
              </w:rPr>
              <w:t>3</w:t>
            </w:r>
            <w:r w:rsidRPr="00E57B02">
              <w:rPr>
                <w:rFonts w:asciiTheme="majorHAnsi" w:hAnsiTheme="majorHAnsi"/>
                <w:i/>
                <w:iCs/>
                <w:color w:val="000000"/>
                <w:sz w:val="18"/>
                <w:szCs w:val="18"/>
              </w:rPr>
              <w:t xml:space="preserve"> eq</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7E9898B4" w14:textId="0AB6B0BA"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7.87E-03</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F2720BC" w14:textId="1DA6830C"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4.91E-03</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B1FA323" w14:textId="17FE3509"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1.94E-02</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7C2638F" w14:textId="0E454D4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1.85E-02</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77249BB" w14:textId="13B32AD6"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1.69E-02</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6834A2C" w14:textId="5B7F1F7E"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2.32E-02</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5C15F83" w14:textId="36E8171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2.27E-02</w:t>
            </w:r>
          </w:p>
        </w:tc>
        <w:tc>
          <w:tcPr>
            <w:tcW w:w="72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67A0325" w14:textId="00CB946C"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1.67E-02</w:t>
            </w:r>
          </w:p>
        </w:tc>
      </w:tr>
      <w:tr w:rsidR="00945E06" w:rsidRPr="00E57B02" w14:paraId="549B98A4" w14:textId="77777777" w:rsidTr="00DE4121">
        <w:trPr>
          <w:trHeight w:val="280"/>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09DA966E" w14:textId="77777777" w:rsidR="00945E06" w:rsidRPr="00E57B02" w:rsidRDefault="00945E06" w:rsidP="00945E06">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Solid Waste by Weight</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21C9C065" w14:textId="77777777" w:rsidR="00945E06" w:rsidRPr="00E57B02" w:rsidRDefault="00945E06" w:rsidP="00DE4121">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SW eq</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53E6B2A4" w14:textId="1D09A165"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2.18E-02</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4601026" w14:textId="15814EFA"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1.58E-03</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4586217" w14:textId="1CBF7D0A"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3.98E-02</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DB7CF7E" w14:textId="792CAAE7"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3.75E-02</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F9FE506" w14:textId="41A5664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3.41E-02</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421DF43" w14:textId="01527C4E"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4.78E-02</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27EDD24" w14:textId="54777821"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4.66E-02</w:t>
            </w:r>
          </w:p>
        </w:tc>
        <w:tc>
          <w:tcPr>
            <w:tcW w:w="72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7F672B6" w14:textId="064861E2"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3.41E-02</w:t>
            </w:r>
          </w:p>
        </w:tc>
      </w:tr>
      <w:tr w:rsidR="00945E06" w:rsidRPr="00E57B02" w14:paraId="4E62021D" w14:textId="77777777" w:rsidTr="00DE4121">
        <w:trPr>
          <w:trHeight w:val="280"/>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703BB453" w14:textId="77777777" w:rsidR="00945E06" w:rsidRPr="00E57B02" w:rsidRDefault="00945E06" w:rsidP="00945E06">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Water Consumption</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3D81D1CF" w14:textId="77777777" w:rsidR="00945E06" w:rsidRPr="00E57B02" w:rsidRDefault="00945E06" w:rsidP="00DE4121">
            <w:pPr>
              <w:jc w:val="center"/>
              <w:rPr>
                <w:rFonts w:asciiTheme="majorHAnsi" w:hAnsiTheme="majorHAnsi" w:cstheme="majorHAnsi"/>
                <w:sz w:val="18"/>
                <w:szCs w:val="18"/>
              </w:rPr>
            </w:pPr>
            <w:r w:rsidRPr="00E57B02">
              <w:rPr>
                <w:rFonts w:asciiTheme="majorHAnsi" w:hAnsiTheme="majorHAnsi"/>
                <w:i/>
                <w:iCs/>
                <w:color w:val="000000"/>
                <w:sz w:val="18"/>
                <w:szCs w:val="18"/>
              </w:rPr>
              <w:t>liter H</w:t>
            </w:r>
            <w:r w:rsidRPr="00DE4121">
              <w:rPr>
                <w:rFonts w:asciiTheme="majorHAnsi" w:hAnsiTheme="majorHAnsi"/>
                <w:i/>
                <w:iCs/>
                <w:color w:val="000000"/>
                <w:sz w:val="18"/>
                <w:szCs w:val="18"/>
                <w:vertAlign w:val="subscript"/>
              </w:rPr>
              <w:t>2</w:t>
            </w:r>
            <w:r w:rsidRPr="00E57B02">
              <w:rPr>
                <w:rFonts w:asciiTheme="majorHAnsi" w:hAnsiTheme="majorHAnsi"/>
                <w:i/>
                <w:iCs/>
                <w:color w:val="000000"/>
                <w:sz w:val="18"/>
                <w:szCs w:val="18"/>
              </w:rPr>
              <w:t>O</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385ABD34" w14:textId="21DFDC84"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1.62E+00</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C1946EA" w14:textId="241B7D63"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2.03E+00</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0C23C60" w14:textId="4DA5F2B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3.66E+00</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692FFA5" w14:textId="725E2A34"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3.55E+00</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06655CE" w14:textId="2185FC29"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3.38E+00</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0F672DC" w14:textId="2C2780B2"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4.09E+00</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9A15683" w14:textId="0280F14D"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4.03E+00</w:t>
            </w:r>
          </w:p>
        </w:tc>
        <w:tc>
          <w:tcPr>
            <w:tcW w:w="72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D80B9BA" w14:textId="27B5D923" w:rsidR="00945E06" w:rsidRPr="00945E06" w:rsidRDefault="00945E06" w:rsidP="00945E06">
            <w:pPr>
              <w:jc w:val="center"/>
              <w:rPr>
                <w:rFonts w:asciiTheme="majorHAnsi" w:hAnsiTheme="majorHAnsi"/>
                <w:iCs/>
                <w:color w:val="000000"/>
                <w:sz w:val="18"/>
                <w:szCs w:val="18"/>
              </w:rPr>
            </w:pPr>
            <w:r w:rsidRPr="00945E06">
              <w:rPr>
                <w:rFonts w:asciiTheme="majorHAnsi" w:hAnsiTheme="majorHAnsi"/>
                <w:iCs/>
                <w:color w:val="000000"/>
                <w:sz w:val="18"/>
                <w:szCs w:val="18"/>
              </w:rPr>
              <w:t>3.36E+00</w:t>
            </w:r>
          </w:p>
        </w:tc>
      </w:tr>
    </w:tbl>
    <w:p w14:paraId="081C9197" w14:textId="77777777" w:rsidR="00F40E75" w:rsidRDefault="00F40E75" w:rsidP="0060034E"/>
    <w:p w14:paraId="562F9F5A" w14:textId="078CB046" w:rsidR="00CD3FF3" w:rsidRDefault="00CD3FF3" w:rsidP="00CD3FF3">
      <w:pPr>
        <w:pStyle w:val="Caption"/>
        <w:keepNext/>
      </w:pPr>
    </w:p>
    <w:tbl>
      <w:tblPr>
        <w:tblW w:w="5304" w:type="pct"/>
        <w:tblInd w:w="-190" w:type="dxa"/>
        <w:tblCellMar>
          <w:left w:w="0" w:type="dxa"/>
          <w:right w:w="0" w:type="dxa"/>
        </w:tblCellMar>
        <w:tblLook w:val="04A0" w:firstRow="1" w:lastRow="0" w:firstColumn="1" w:lastColumn="0" w:noHBand="0" w:noVBand="1"/>
      </w:tblPr>
      <w:tblGrid>
        <w:gridCol w:w="1375"/>
        <w:gridCol w:w="959"/>
        <w:gridCol w:w="858"/>
        <w:gridCol w:w="769"/>
        <w:gridCol w:w="787"/>
        <w:gridCol w:w="919"/>
        <w:gridCol w:w="1082"/>
        <w:gridCol w:w="860"/>
        <w:gridCol w:w="864"/>
        <w:gridCol w:w="1435"/>
      </w:tblGrid>
      <w:tr w:rsidR="00F40E75" w:rsidRPr="00E57B02" w14:paraId="1B243FB6" w14:textId="77777777" w:rsidTr="00BA1DE8">
        <w:trPr>
          <w:trHeight w:val="372"/>
          <w:tblHeader/>
        </w:trPr>
        <w:tc>
          <w:tcPr>
            <w:tcW w:w="5000" w:type="pct"/>
            <w:gridSpan w:val="10"/>
            <w:tcBorders>
              <w:top w:val="single" w:sz="8" w:space="0" w:color="FFFFFF"/>
              <w:left w:val="single" w:sz="8" w:space="0" w:color="FFFFFF"/>
              <w:right w:val="single" w:sz="8" w:space="0" w:color="FFFFFF"/>
            </w:tcBorders>
            <w:shd w:val="clear" w:color="auto" w:fill="auto"/>
            <w:tcMar>
              <w:top w:w="15" w:type="dxa"/>
              <w:left w:w="75" w:type="dxa"/>
              <w:bottom w:w="0" w:type="dxa"/>
              <w:right w:w="75" w:type="dxa"/>
            </w:tcMar>
            <w:vAlign w:val="bottom"/>
          </w:tcPr>
          <w:p w14:paraId="6D2AB9BB" w14:textId="56F0EA54" w:rsidR="00F40E75" w:rsidRPr="00F40E75" w:rsidRDefault="00CD3FF3" w:rsidP="00F40E75">
            <w:pPr>
              <w:pStyle w:val="TableTitle"/>
            </w:pPr>
            <w:bookmarkStart w:id="289" w:name="_Ref533004546"/>
            <w:bookmarkStart w:id="290" w:name="_Toc533009190"/>
            <w:r>
              <w:t xml:space="preserve">Table </w:t>
            </w:r>
            <w:r w:rsidR="003B2F04">
              <w:rPr>
                <w:noProof/>
              </w:rPr>
              <w:fldChar w:fldCharType="begin"/>
            </w:r>
            <w:r w:rsidR="003B2F04">
              <w:rPr>
                <w:noProof/>
              </w:rPr>
              <w:instrText xml:space="preserve"> SEQ Table \* ARABIC </w:instrText>
            </w:r>
            <w:r w:rsidR="003B2F04">
              <w:rPr>
                <w:noProof/>
              </w:rPr>
              <w:fldChar w:fldCharType="separate"/>
            </w:r>
            <w:r w:rsidR="008072BC">
              <w:rPr>
                <w:noProof/>
              </w:rPr>
              <w:t>10</w:t>
            </w:r>
            <w:r w:rsidR="003B2F04">
              <w:rPr>
                <w:noProof/>
              </w:rPr>
              <w:fldChar w:fldCharType="end"/>
            </w:r>
            <w:bookmarkEnd w:id="289"/>
            <w:r>
              <w:t>.</w:t>
            </w:r>
            <w:r w:rsidRPr="00CD3FF3">
              <w:t xml:space="preserve"> </w:t>
            </w:r>
            <w:r>
              <w:t>Summary of Maximum Impact Scenario Results (per Liter Water Delivered)</w:t>
            </w:r>
            <w:bookmarkEnd w:id="290"/>
          </w:p>
        </w:tc>
      </w:tr>
      <w:tr w:rsidR="00F40E75" w:rsidRPr="00E57B02" w14:paraId="2EE6FCDB" w14:textId="77777777" w:rsidTr="00CD3FF3">
        <w:trPr>
          <w:trHeight w:val="372"/>
          <w:tblHeader/>
        </w:trPr>
        <w:tc>
          <w:tcPr>
            <w:tcW w:w="694" w:type="pct"/>
            <w:vMerge w:val="restart"/>
            <w:tcBorders>
              <w:top w:val="single" w:sz="8" w:space="0" w:color="FFFFFF"/>
              <w:left w:val="single" w:sz="8" w:space="0" w:color="FFFFFF"/>
              <w:right w:val="single" w:sz="8" w:space="0" w:color="FFFFFF"/>
            </w:tcBorders>
            <w:shd w:val="clear" w:color="auto" w:fill="BBE0E3"/>
            <w:tcMar>
              <w:top w:w="15" w:type="dxa"/>
              <w:left w:w="75" w:type="dxa"/>
              <w:bottom w:w="0" w:type="dxa"/>
              <w:right w:w="75" w:type="dxa"/>
            </w:tcMar>
            <w:vAlign w:val="bottom"/>
          </w:tcPr>
          <w:p w14:paraId="58ACD77F" w14:textId="77777777" w:rsidR="00F40E75" w:rsidRPr="00E57B02" w:rsidRDefault="00F40E75" w:rsidP="00F40E75">
            <w:pPr>
              <w:spacing w:after="240"/>
              <w:jc w:val="center"/>
              <w:rPr>
                <w:rFonts w:asciiTheme="majorHAnsi" w:hAnsiTheme="majorHAnsi" w:cstheme="majorHAnsi"/>
                <w:b/>
                <w:color w:val="000000" w:themeColor="text1"/>
                <w:sz w:val="18"/>
                <w:szCs w:val="18"/>
              </w:rPr>
            </w:pPr>
            <w:r w:rsidRPr="00E57B02">
              <w:rPr>
                <w:rFonts w:asciiTheme="majorHAnsi" w:hAnsiTheme="majorHAnsi"/>
                <w:b/>
                <w:bCs/>
                <w:color w:val="000000"/>
                <w:sz w:val="18"/>
                <w:szCs w:val="18"/>
              </w:rPr>
              <w:t>Impact Category</w:t>
            </w:r>
          </w:p>
        </w:tc>
        <w:tc>
          <w:tcPr>
            <w:tcW w:w="484" w:type="pct"/>
            <w:vMerge w:val="restart"/>
            <w:tcBorders>
              <w:top w:val="single" w:sz="8" w:space="0" w:color="FFFFFF"/>
              <w:left w:val="single" w:sz="8" w:space="0" w:color="FFFFFF"/>
              <w:right w:val="single" w:sz="8" w:space="0" w:color="FFFFFF"/>
            </w:tcBorders>
            <w:shd w:val="clear" w:color="auto" w:fill="BBE0E3"/>
            <w:tcMar>
              <w:top w:w="15" w:type="dxa"/>
              <w:left w:w="108" w:type="dxa"/>
              <w:bottom w:w="0" w:type="dxa"/>
              <w:right w:w="108" w:type="dxa"/>
            </w:tcMar>
            <w:vAlign w:val="bottom"/>
          </w:tcPr>
          <w:p w14:paraId="79D40DAE" w14:textId="77777777" w:rsidR="00F40E75" w:rsidRPr="00E57B02" w:rsidRDefault="00F40E75" w:rsidP="00F40E75">
            <w:pPr>
              <w:spacing w:after="240"/>
              <w:jc w:val="center"/>
              <w:rPr>
                <w:rFonts w:asciiTheme="majorHAnsi" w:hAnsiTheme="majorHAnsi" w:cstheme="majorHAnsi"/>
                <w:b/>
                <w:color w:val="000000" w:themeColor="text1"/>
                <w:sz w:val="18"/>
                <w:szCs w:val="18"/>
              </w:rPr>
            </w:pPr>
            <w:r w:rsidRPr="00E57B02">
              <w:rPr>
                <w:rFonts w:asciiTheme="majorHAnsi" w:hAnsiTheme="majorHAnsi"/>
                <w:b/>
                <w:bCs/>
                <w:color w:val="000000"/>
                <w:sz w:val="18"/>
                <w:szCs w:val="18"/>
              </w:rPr>
              <w:t>Unit</w:t>
            </w:r>
          </w:p>
        </w:tc>
        <w:tc>
          <w:tcPr>
            <w:tcW w:w="3822" w:type="pct"/>
            <w:gridSpan w:val="8"/>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571DD7A7" w14:textId="77777777" w:rsidR="00F40E75" w:rsidRPr="00E57B02" w:rsidRDefault="00F40E75" w:rsidP="00F40E75">
            <w:pPr>
              <w:jc w:val="center"/>
              <w:rPr>
                <w:rFonts w:asciiTheme="majorHAnsi" w:hAnsiTheme="majorHAnsi" w:cstheme="majorHAnsi"/>
                <w:b/>
                <w:color w:val="000000" w:themeColor="text1"/>
                <w:sz w:val="18"/>
                <w:szCs w:val="18"/>
              </w:rPr>
            </w:pPr>
            <w:r w:rsidRPr="00E57B02">
              <w:rPr>
                <w:rFonts w:asciiTheme="majorHAnsi" w:hAnsiTheme="majorHAnsi" w:cstheme="majorHAnsi"/>
                <w:b/>
                <w:color w:val="000000" w:themeColor="text1"/>
                <w:sz w:val="18"/>
                <w:szCs w:val="18"/>
              </w:rPr>
              <w:t>Total Impacts Per Liter</w:t>
            </w:r>
          </w:p>
        </w:tc>
      </w:tr>
      <w:tr w:rsidR="00F40E75" w:rsidRPr="00E57B02" w14:paraId="4827B085" w14:textId="77777777" w:rsidTr="00CD3FF3">
        <w:trPr>
          <w:trHeight w:val="372"/>
          <w:tblHeader/>
        </w:trPr>
        <w:tc>
          <w:tcPr>
            <w:tcW w:w="694" w:type="pct"/>
            <w:vMerge/>
            <w:tcBorders>
              <w:left w:val="single" w:sz="8" w:space="0" w:color="FFFFFF"/>
              <w:bottom w:val="single" w:sz="24" w:space="0" w:color="FFFFFF"/>
              <w:right w:val="single" w:sz="8" w:space="0" w:color="FFFFFF"/>
            </w:tcBorders>
            <w:shd w:val="clear" w:color="auto" w:fill="BBE0E3"/>
            <w:tcMar>
              <w:top w:w="15" w:type="dxa"/>
              <w:left w:w="75" w:type="dxa"/>
              <w:bottom w:w="0" w:type="dxa"/>
              <w:right w:w="75" w:type="dxa"/>
            </w:tcMar>
            <w:vAlign w:val="bottom"/>
          </w:tcPr>
          <w:p w14:paraId="6E7F3991" w14:textId="77777777" w:rsidR="00F40E75" w:rsidRPr="00E57B02" w:rsidRDefault="00F40E75" w:rsidP="00F40E75">
            <w:pPr>
              <w:spacing w:after="240"/>
              <w:jc w:val="center"/>
              <w:rPr>
                <w:rFonts w:asciiTheme="majorHAnsi" w:hAnsiTheme="majorHAnsi"/>
                <w:b/>
                <w:bCs/>
                <w:color w:val="000000"/>
                <w:sz w:val="18"/>
                <w:szCs w:val="18"/>
              </w:rPr>
            </w:pPr>
          </w:p>
        </w:tc>
        <w:tc>
          <w:tcPr>
            <w:tcW w:w="484" w:type="pct"/>
            <w:vMerge/>
            <w:tcBorders>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21D071FA" w14:textId="77777777" w:rsidR="00F40E75" w:rsidRPr="00E57B02" w:rsidRDefault="00F40E75" w:rsidP="00F40E75">
            <w:pPr>
              <w:spacing w:after="240"/>
              <w:jc w:val="center"/>
              <w:rPr>
                <w:rFonts w:asciiTheme="majorHAnsi" w:hAnsiTheme="majorHAnsi"/>
                <w:b/>
                <w:bCs/>
                <w:color w:val="000000"/>
                <w:sz w:val="18"/>
                <w:szCs w:val="18"/>
              </w:rPr>
            </w:pPr>
          </w:p>
        </w:tc>
        <w:tc>
          <w:tcPr>
            <w:tcW w:w="433"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54B158DD"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Single-serve bottle</w:t>
            </w:r>
          </w:p>
        </w:tc>
        <w:tc>
          <w:tcPr>
            <w:tcW w:w="388"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32AAF658"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Reusable Jug</w:t>
            </w:r>
          </w:p>
        </w:tc>
        <w:tc>
          <w:tcPr>
            <w:tcW w:w="397"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63B96290"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Watergen (Large Scale)</w:t>
            </w:r>
          </w:p>
        </w:tc>
        <w:tc>
          <w:tcPr>
            <w:tcW w:w="464"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5A070AEC"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Watergen (Medium Scale)</w:t>
            </w:r>
          </w:p>
        </w:tc>
        <w:tc>
          <w:tcPr>
            <w:tcW w:w="546"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5B3AED0E"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Watergen (Home/Office Scale)</w:t>
            </w:r>
          </w:p>
        </w:tc>
        <w:tc>
          <w:tcPr>
            <w:tcW w:w="434"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7EA50C72"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EcoloBlue (Large Scale)</w:t>
            </w:r>
          </w:p>
        </w:tc>
        <w:tc>
          <w:tcPr>
            <w:tcW w:w="436"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1CDB73DE"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EcoloBlue (Medium Scale)</w:t>
            </w:r>
          </w:p>
        </w:tc>
        <w:tc>
          <w:tcPr>
            <w:tcW w:w="724"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29F8C844"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EcoloBlue(Home/ Office Scale)</w:t>
            </w:r>
          </w:p>
        </w:tc>
      </w:tr>
      <w:tr w:rsidR="00BA1DE8" w:rsidRPr="00BA1DE8" w14:paraId="67FD31C7" w14:textId="77777777" w:rsidTr="00CD3FF3">
        <w:trPr>
          <w:trHeight w:val="278"/>
        </w:trPr>
        <w:tc>
          <w:tcPr>
            <w:tcW w:w="694" w:type="pct"/>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35ABB3A9"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Acidification Potential</w:t>
            </w:r>
          </w:p>
        </w:tc>
        <w:tc>
          <w:tcPr>
            <w:tcW w:w="484"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17182FF7" w14:textId="77777777" w:rsidR="00BA1DE8" w:rsidRPr="00E57B02" w:rsidRDefault="00BA1DE8" w:rsidP="00BA1DE8">
            <w:pPr>
              <w:jc w:val="center"/>
              <w:rPr>
                <w:rFonts w:asciiTheme="majorHAnsi" w:hAnsiTheme="majorHAnsi" w:cstheme="majorHAnsi"/>
                <w:sz w:val="18"/>
                <w:szCs w:val="18"/>
              </w:rPr>
            </w:pPr>
            <w:r w:rsidRPr="00E57B02">
              <w:rPr>
                <w:rFonts w:asciiTheme="majorHAnsi" w:hAnsiTheme="majorHAnsi"/>
                <w:i/>
                <w:iCs/>
                <w:color w:val="000000"/>
                <w:sz w:val="18"/>
                <w:szCs w:val="18"/>
              </w:rPr>
              <w:t>kg SO</w:t>
            </w:r>
            <w:r w:rsidRPr="00F570E4">
              <w:rPr>
                <w:rFonts w:asciiTheme="majorHAnsi" w:hAnsiTheme="majorHAnsi"/>
                <w:i/>
                <w:iCs/>
                <w:color w:val="000000"/>
                <w:sz w:val="18"/>
                <w:szCs w:val="18"/>
                <w:vertAlign w:val="subscript"/>
              </w:rPr>
              <w:t>2</w:t>
            </w:r>
            <w:r w:rsidRPr="00E57B02">
              <w:rPr>
                <w:rFonts w:asciiTheme="majorHAnsi" w:hAnsiTheme="majorHAnsi"/>
                <w:i/>
                <w:iCs/>
                <w:color w:val="000000"/>
                <w:sz w:val="18"/>
                <w:szCs w:val="18"/>
              </w:rPr>
              <w:t xml:space="preserve"> eq</w:t>
            </w:r>
          </w:p>
        </w:tc>
        <w:tc>
          <w:tcPr>
            <w:tcW w:w="433"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15F4DAD8" w14:textId="00B183F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5.53E-04</w:t>
            </w:r>
          </w:p>
        </w:tc>
        <w:tc>
          <w:tcPr>
            <w:tcW w:w="388"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6D7C4837" w14:textId="3520909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2.84E-04</w:t>
            </w:r>
          </w:p>
        </w:tc>
        <w:tc>
          <w:tcPr>
            <w:tcW w:w="397"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53EB4537" w14:textId="3D57E65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3.54E-03</w:t>
            </w:r>
          </w:p>
        </w:tc>
        <w:tc>
          <w:tcPr>
            <w:tcW w:w="464"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03CB23BA" w14:textId="702C9C1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3.35E-03</w:t>
            </w:r>
          </w:p>
        </w:tc>
        <w:tc>
          <w:tcPr>
            <w:tcW w:w="546"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23265AC2" w14:textId="7A6DFA7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3.05E-03</w:t>
            </w:r>
          </w:p>
        </w:tc>
        <w:tc>
          <w:tcPr>
            <w:tcW w:w="434"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11748332" w14:textId="682ECA33"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4.25E-03</w:t>
            </w:r>
          </w:p>
        </w:tc>
        <w:tc>
          <w:tcPr>
            <w:tcW w:w="436"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3DD9C9EA" w14:textId="660FE31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4.15E-03</w:t>
            </w:r>
          </w:p>
        </w:tc>
        <w:tc>
          <w:tcPr>
            <w:tcW w:w="724"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6723EB0D" w14:textId="0A86C32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3.04E-03</w:t>
            </w:r>
          </w:p>
        </w:tc>
      </w:tr>
      <w:tr w:rsidR="00BA1DE8" w:rsidRPr="00BA1DE8" w14:paraId="0FA0592A" w14:textId="77777777" w:rsidTr="00CD3FF3">
        <w:trPr>
          <w:trHeight w:val="278"/>
        </w:trPr>
        <w:tc>
          <w:tcPr>
            <w:tcW w:w="694"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776B9A3F"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Cumulative Energy Demand</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60965DC"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MJ</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6195963E" w14:textId="6EFA00B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2.44E+00</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2B1A2F6" w14:textId="07FB54B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1.05E+00</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3C59A6C" w14:textId="4FEE96B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6.33E+00</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EC20005" w14:textId="0F191CAA"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5.99E+00</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387910A" w14:textId="516D56F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5.48E+00</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2D40293" w14:textId="6AAEE85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7.59E+00</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A73A85B" w14:textId="53148043"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7.41E+00</w:t>
            </w:r>
          </w:p>
        </w:tc>
        <w:tc>
          <w:tcPr>
            <w:tcW w:w="72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20E74B6" w14:textId="548973B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5.46E+00</w:t>
            </w:r>
          </w:p>
        </w:tc>
      </w:tr>
      <w:tr w:rsidR="00BA1DE8" w:rsidRPr="00BA1DE8" w14:paraId="2D255899" w14:textId="77777777" w:rsidTr="00CD3FF3">
        <w:trPr>
          <w:trHeight w:val="278"/>
        </w:trPr>
        <w:tc>
          <w:tcPr>
            <w:tcW w:w="694"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15895B14"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Eutrophication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5177D84B"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N eq</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7DB1A0C4" w14:textId="38280F9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2.07E-05</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2717225" w14:textId="73EBCA5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1.57E-05</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534C17E" w14:textId="37BEFA7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5.70E-05</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3EFE6A1" w14:textId="349BBFB6"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5.96E-05</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56F58AD" w14:textId="5616751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5.99E-05</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BA9A270" w14:textId="3696FA9A"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6.64E-05</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5C9885D" w14:textId="5918BA77"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6.60E-05</w:t>
            </w:r>
          </w:p>
        </w:tc>
        <w:tc>
          <w:tcPr>
            <w:tcW w:w="72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F814448" w14:textId="24B63CE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5.35E-05</w:t>
            </w:r>
          </w:p>
        </w:tc>
      </w:tr>
      <w:tr w:rsidR="00BA1DE8" w:rsidRPr="00BA1DE8" w14:paraId="2137D2E7" w14:textId="77777777" w:rsidTr="00CD3FF3">
        <w:trPr>
          <w:trHeight w:val="278"/>
        </w:trPr>
        <w:tc>
          <w:tcPr>
            <w:tcW w:w="694"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0CC4A247"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 xml:space="preserve">Fossil </w:t>
            </w:r>
            <w:r>
              <w:rPr>
                <w:rFonts w:asciiTheme="majorHAnsi" w:hAnsiTheme="majorHAnsi"/>
                <w:color w:val="000000"/>
                <w:sz w:val="18"/>
                <w:szCs w:val="18"/>
              </w:rPr>
              <w:t xml:space="preserve">Fuel </w:t>
            </w:r>
            <w:r w:rsidRPr="00E57B02">
              <w:rPr>
                <w:rFonts w:asciiTheme="majorHAnsi" w:hAnsiTheme="majorHAnsi"/>
                <w:color w:val="000000"/>
                <w:sz w:val="18"/>
                <w:szCs w:val="18"/>
              </w:rPr>
              <w:t>Depletion</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6E923636"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oil eq</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A36AD33" w14:textId="7E4A2873"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5.14E-02</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E9F79D6" w14:textId="7DFEC42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2.32E-02</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711C767" w14:textId="31B705A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1.31E-01</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01BB141" w14:textId="55616FA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1.24E-01</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16BE79A" w14:textId="160611A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1.13E-01</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3A0C262" w14:textId="01E0B474"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1.57E-01</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94DEF5D" w14:textId="247765C3"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1.53E-01</w:t>
            </w:r>
          </w:p>
        </w:tc>
        <w:tc>
          <w:tcPr>
            <w:tcW w:w="72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DE47A61" w14:textId="1387B65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1.13E-01</w:t>
            </w:r>
          </w:p>
        </w:tc>
      </w:tr>
      <w:tr w:rsidR="00BA1DE8" w:rsidRPr="00BA1DE8" w14:paraId="0DA250B9" w14:textId="77777777" w:rsidTr="00CD3FF3">
        <w:trPr>
          <w:trHeight w:val="278"/>
        </w:trPr>
        <w:tc>
          <w:tcPr>
            <w:tcW w:w="694"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75A29E76"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Global Warming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7AA61E0F"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CO</w:t>
            </w:r>
            <w:r w:rsidRPr="00DE4121">
              <w:rPr>
                <w:rFonts w:asciiTheme="majorHAnsi" w:hAnsiTheme="majorHAnsi"/>
                <w:i/>
                <w:iCs/>
                <w:color w:val="000000"/>
                <w:sz w:val="18"/>
                <w:szCs w:val="18"/>
                <w:vertAlign w:val="subscript"/>
              </w:rPr>
              <w:t>2</w:t>
            </w:r>
            <w:r w:rsidRPr="00E57B02">
              <w:rPr>
                <w:rFonts w:asciiTheme="majorHAnsi" w:hAnsiTheme="majorHAnsi"/>
                <w:i/>
                <w:iCs/>
                <w:color w:val="000000"/>
                <w:sz w:val="18"/>
                <w:szCs w:val="18"/>
              </w:rPr>
              <w:t xml:space="preserve"> eq</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51DC15C4" w14:textId="586B29E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1.22E-01</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33BE4D6" w14:textId="22337E41"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7.20E-02</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BC6970C" w14:textId="2C7F3657"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4.62E-01</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C9D6EC4" w14:textId="27548053"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4.38E-01</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EAF4A04" w14:textId="6FCBA606"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4.01E-01</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5B75C2F" w14:textId="72AD2505"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5.53E-01</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6586405" w14:textId="77721FEF"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5.40E-01</w:t>
            </w:r>
          </w:p>
        </w:tc>
        <w:tc>
          <w:tcPr>
            <w:tcW w:w="72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801F1B4" w14:textId="703FFC0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3.99E-01</w:t>
            </w:r>
          </w:p>
        </w:tc>
      </w:tr>
      <w:tr w:rsidR="00BA1DE8" w:rsidRPr="00BA1DE8" w14:paraId="2483A64D" w14:textId="77777777" w:rsidTr="00CD3FF3">
        <w:trPr>
          <w:trHeight w:val="278"/>
        </w:trPr>
        <w:tc>
          <w:tcPr>
            <w:tcW w:w="694"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26FF83E1"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Particulate Matter Formation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33730AD5"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PM2.5 eq</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5F735AC7" w14:textId="61B54BA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3.20E-05</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76E767B" w14:textId="0324F44F"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1.51E-05</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3C445FF" w14:textId="3BBD209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1.82E-04</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BBDFE08" w14:textId="6198FD6E"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1.75E-04</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2C77429" w14:textId="453F400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1.63E-04</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8C04174" w14:textId="26870E14"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2.17E-04</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29BE305" w14:textId="2633D315"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2.12E-04</w:t>
            </w:r>
          </w:p>
        </w:tc>
        <w:tc>
          <w:tcPr>
            <w:tcW w:w="72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1611587" w14:textId="2D35A0DA"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1.58E-04</w:t>
            </w:r>
          </w:p>
        </w:tc>
      </w:tr>
      <w:tr w:rsidR="00BA1DE8" w:rsidRPr="00BA1DE8" w14:paraId="60C3B105" w14:textId="77777777" w:rsidTr="00CD3FF3">
        <w:trPr>
          <w:trHeight w:val="278"/>
        </w:trPr>
        <w:tc>
          <w:tcPr>
            <w:tcW w:w="694"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698F8BAC"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Smog Formation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42EE2C10"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O3 eq</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461D2ED7" w14:textId="7D6884F6"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8.32E-03</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89ABD74" w14:textId="2DC1D34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7.01E-03</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362F2B2" w14:textId="7FD3BCE2"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2.97E-02</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6054B30" w14:textId="790225B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2.81E-02</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42256F1" w14:textId="626E6C0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2.57E-02</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46E219C" w14:textId="4133DE9A"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3.56E-02</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00C3125" w14:textId="7DEF9667"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3.48E-02</w:t>
            </w:r>
          </w:p>
        </w:tc>
        <w:tc>
          <w:tcPr>
            <w:tcW w:w="72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EC61942" w14:textId="6B69F32A"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2.56E-02</w:t>
            </w:r>
          </w:p>
        </w:tc>
      </w:tr>
      <w:tr w:rsidR="00BA1DE8" w:rsidRPr="00BA1DE8" w14:paraId="4E60298C" w14:textId="77777777" w:rsidTr="00CD3FF3">
        <w:trPr>
          <w:trHeight w:val="278"/>
        </w:trPr>
        <w:tc>
          <w:tcPr>
            <w:tcW w:w="694"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4E6B07EC"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Solid Waste by Weight</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B1BD347" w14:textId="77777777" w:rsidR="00BA1DE8" w:rsidRPr="00E57B02" w:rsidRDefault="00BA1DE8" w:rsidP="00982EA4">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SW eq</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585563B" w14:textId="5AA274F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2.43E-02</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74A16FD" w14:textId="256CFD92"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2.03E-03</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0609DA3" w14:textId="6148907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6.82E-02</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58C32C1" w14:textId="37DB41E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6.43E-02</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E840D53" w14:textId="717C33D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5.85E-02</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B00029E" w14:textId="44DE127A"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8.18E-02</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A713C98" w14:textId="1677BBE6"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7.99E-02</w:t>
            </w:r>
          </w:p>
        </w:tc>
        <w:tc>
          <w:tcPr>
            <w:tcW w:w="72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52E5ADA" w14:textId="0A70176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5.85E-02</w:t>
            </w:r>
          </w:p>
        </w:tc>
      </w:tr>
      <w:tr w:rsidR="00BA1DE8" w:rsidRPr="00BA1DE8" w14:paraId="7D948CB0" w14:textId="77777777" w:rsidTr="00CD3FF3">
        <w:trPr>
          <w:trHeight w:val="278"/>
        </w:trPr>
        <w:tc>
          <w:tcPr>
            <w:tcW w:w="694"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5A26BD38"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Water Consumption</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1B35F3A0" w14:textId="77777777" w:rsidR="00BA1DE8" w:rsidRPr="00E57B02" w:rsidRDefault="00BA1DE8" w:rsidP="00982EA4">
            <w:pPr>
              <w:jc w:val="center"/>
              <w:rPr>
                <w:rFonts w:asciiTheme="majorHAnsi" w:hAnsiTheme="majorHAnsi" w:cstheme="majorHAnsi"/>
                <w:sz w:val="18"/>
                <w:szCs w:val="18"/>
              </w:rPr>
            </w:pPr>
            <w:r w:rsidRPr="00E57B02">
              <w:rPr>
                <w:rFonts w:asciiTheme="majorHAnsi" w:hAnsiTheme="majorHAnsi"/>
                <w:i/>
                <w:iCs/>
                <w:color w:val="000000"/>
                <w:sz w:val="18"/>
                <w:szCs w:val="18"/>
              </w:rPr>
              <w:t>liter H</w:t>
            </w:r>
            <w:r w:rsidRPr="00DE4121">
              <w:rPr>
                <w:rFonts w:asciiTheme="majorHAnsi" w:hAnsiTheme="majorHAnsi"/>
                <w:i/>
                <w:iCs/>
                <w:color w:val="000000"/>
                <w:sz w:val="18"/>
                <w:szCs w:val="18"/>
                <w:vertAlign w:val="subscript"/>
              </w:rPr>
              <w:t>2</w:t>
            </w:r>
            <w:r w:rsidRPr="00E57B02">
              <w:rPr>
                <w:rFonts w:asciiTheme="majorHAnsi" w:hAnsiTheme="majorHAnsi"/>
                <w:i/>
                <w:iCs/>
                <w:color w:val="000000"/>
                <w:sz w:val="18"/>
                <w:szCs w:val="18"/>
              </w:rPr>
              <w:t>O</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7FCFF246" w14:textId="093EDB1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1.91E+00</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78E6DA0" w14:textId="4B686AF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2.40E+00</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E107940" w14:textId="7FDD06A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2.80E+00</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9087C32" w14:textId="5D55555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2.74E+00</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5914BE1" w14:textId="2DB6C8B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2.64E+00</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218B5AF" w14:textId="583DCD9F"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3.05E+00</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8FE9DDE" w14:textId="560623C1"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3.02E+00</w:t>
            </w:r>
          </w:p>
        </w:tc>
        <w:tc>
          <w:tcPr>
            <w:tcW w:w="72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AFB1655" w14:textId="4496788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2.62E+00</w:t>
            </w:r>
          </w:p>
        </w:tc>
      </w:tr>
    </w:tbl>
    <w:p w14:paraId="330AD871" w14:textId="77777777" w:rsidR="00F40E75" w:rsidRDefault="00F40E75" w:rsidP="0060034E"/>
    <w:tbl>
      <w:tblPr>
        <w:tblW w:w="5135" w:type="pct"/>
        <w:tblInd w:w="-190" w:type="dxa"/>
        <w:tblCellMar>
          <w:left w:w="0" w:type="dxa"/>
          <w:right w:w="0" w:type="dxa"/>
        </w:tblCellMar>
        <w:tblLook w:val="04A0" w:firstRow="1" w:lastRow="0" w:firstColumn="1" w:lastColumn="0" w:noHBand="0" w:noVBand="1"/>
      </w:tblPr>
      <w:tblGrid>
        <w:gridCol w:w="1333"/>
        <w:gridCol w:w="929"/>
        <w:gridCol w:w="831"/>
        <w:gridCol w:w="744"/>
        <w:gridCol w:w="762"/>
        <w:gridCol w:w="890"/>
        <w:gridCol w:w="1047"/>
        <w:gridCol w:w="833"/>
        <w:gridCol w:w="836"/>
        <w:gridCol w:w="1387"/>
      </w:tblGrid>
      <w:tr w:rsidR="00F40E75" w:rsidRPr="00E57B02" w14:paraId="064F5FD8" w14:textId="77777777" w:rsidTr="00F40E75">
        <w:trPr>
          <w:trHeight w:val="372"/>
          <w:tblHeader/>
        </w:trPr>
        <w:tc>
          <w:tcPr>
            <w:tcW w:w="5000" w:type="pct"/>
            <w:gridSpan w:val="10"/>
            <w:tcBorders>
              <w:top w:val="single" w:sz="8" w:space="0" w:color="FFFFFF"/>
              <w:left w:val="single" w:sz="8" w:space="0" w:color="FFFFFF"/>
              <w:right w:val="single" w:sz="8" w:space="0" w:color="FFFFFF"/>
            </w:tcBorders>
            <w:shd w:val="clear" w:color="auto" w:fill="auto"/>
            <w:tcMar>
              <w:top w:w="15" w:type="dxa"/>
              <w:left w:w="75" w:type="dxa"/>
              <w:bottom w:w="0" w:type="dxa"/>
              <w:right w:w="75" w:type="dxa"/>
            </w:tcMar>
            <w:vAlign w:val="bottom"/>
          </w:tcPr>
          <w:p w14:paraId="74BCB3EC" w14:textId="3374B9E1" w:rsidR="00F40E75" w:rsidRPr="00F40E75" w:rsidRDefault="00CD3FF3" w:rsidP="00F40E75">
            <w:pPr>
              <w:pStyle w:val="TableTitle"/>
            </w:pPr>
            <w:bookmarkStart w:id="291" w:name="_Ref533004569"/>
            <w:bookmarkStart w:id="292" w:name="_Toc533009191"/>
            <w:r>
              <w:t xml:space="preserve">Table </w:t>
            </w:r>
            <w:r w:rsidR="003B2F04">
              <w:rPr>
                <w:noProof/>
              </w:rPr>
              <w:fldChar w:fldCharType="begin"/>
            </w:r>
            <w:r w:rsidR="003B2F04">
              <w:rPr>
                <w:noProof/>
              </w:rPr>
              <w:instrText xml:space="preserve"> SEQ Table \* ARABIC </w:instrText>
            </w:r>
            <w:r w:rsidR="003B2F04">
              <w:rPr>
                <w:noProof/>
              </w:rPr>
              <w:fldChar w:fldCharType="separate"/>
            </w:r>
            <w:r w:rsidR="008072BC">
              <w:rPr>
                <w:noProof/>
              </w:rPr>
              <w:t>11</w:t>
            </w:r>
            <w:r w:rsidR="003B2F04">
              <w:rPr>
                <w:noProof/>
              </w:rPr>
              <w:fldChar w:fldCharType="end"/>
            </w:r>
            <w:bookmarkEnd w:id="291"/>
            <w:r w:rsidR="0026143C" w:rsidRPr="0026143C">
              <w:t>.</w:t>
            </w:r>
            <w:r w:rsidRPr="0026143C">
              <w:t xml:space="preserve"> </w:t>
            </w:r>
            <w:r>
              <w:t>Summary of Minimum Impact Scenario Results (per Liter Water Delivered)</w:t>
            </w:r>
            <w:bookmarkEnd w:id="292"/>
          </w:p>
        </w:tc>
      </w:tr>
      <w:tr w:rsidR="00F40E75" w:rsidRPr="00E57B02" w14:paraId="0F5561C0" w14:textId="77777777" w:rsidTr="00CD3FF3">
        <w:trPr>
          <w:trHeight w:val="372"/>
          <w:tblHeader/>
        </w:trPr>
        <w:tc>
          <w:tcPr>
            <w:tcW w:w="695" w:type="pct"/>
            <w:vMerge w:val="restart"/>
            <w:tcBorders>
              <w:top w:val="single" w:sz="8" w:space="0" w:color="FFFFFF"/>
              <w:left w:val="single" w:sz="8" w:space="0" w:color="FFFFFF"/>
              <w:right w:val="single" w:sz="8" w:space="0" w:color="FFFFFF"/>
            </w:tcBorders>
            <w:shd w:val="clear" w:color="auto" w:fill="BBE0E3"/>
            <w:tcMar>
              <w:top w:w="15" w:type="dxa"/>
              <w:left w:w="75" w:type="dxa"/>
              <w:bottom w:w="0" w:type="dxa"/>
              <w:right w:w="75" w:type="dxa"/>
            </w:tcMar>
            <w:vAlign w:val="bottom"/>
          </w:tcPr>
          <w:p w14:paraId="2E1CA5BB" w14:textId="77777777" w:rsidR="00F40E75" w:rsidRPr="00E57B02" w:rsidRDefault="00F40E75" w:rsidP="00F40E75">
            <w:pPr>
              <w:spacing w:after="240"/>
              <w:jc w:val="center"/>
              <w:rPr>
                <w:rFonts w:asciiTheme="majorHAnsi" w:hAnsiTheme="majorHAnsi" w:cstheme="majorHAnsi"/>
                <w:b/>
                <w:color w:val="000000" w:themeColor="text1"/>
                <w:sz w:val="18"/>
                <w:szCs w:val="18"/>
              </w:rPr>
            </w:pPr>
            <w:r w:rsidRPr="00E57B02">
              <w:rPr>
                <w:rFonts w:asciiTheme="majorHAnsi" w:hAnsiTheme="majorHAnsi"/>
                <w:b/>
                <w:bCs/>
                <w:color w:val="000000"/>
                <w:sz w:val="18"/>
                <w:szCs w:val="18"/>
              </w:rPr>
              <w:t>Impact Category</w:t>
            </w:r>
          </w:p>
        </w:tc>
        <w:tc>
          <w:tcPr>
            <w:tcW w:w="484" w:type="pct"/>
            <w:vMerge w:val="restart"/>
            <w:tcBorders>
              <w:top w:val="single" w:sz="8" w:space="0" w:color="FFFFFF"/>
              <w:left w:val="single" w:sz="8" w:space="0" w:color="FFFFFF"/>
              <w:right w:val="single" w:sz="8" w:space="0" w:color="FFFFFF"/>
            </w:tcBorders>
            <w:shd w:val="clear" w:color="auto" w:fill="BBE0E3"/>
            <w:tcMar>
              <w:top w:w="15" w:type="dxa"/>
              <w:left w:w="108" w:type="dxa"/>
              <w:bottom w:w="0" w:type="dxa"/>
              <w:right w:w="108" w:type="dxa"/>
            </w:tcMar>
            <w:vAlign w:val="bottom"/>
          </w:tcPr>
          <w:p w14:paraId="1C0EBC9F" w14:textId="77777777" w:rsidR="00F40E75" w:rsidRPr="00E57B02" w:rsidRDefault="00F40E75" w:rsidP="00F40E75">
            <w:pPr>
              <w:spacing w:after="240"/>
              <w:jc w:val="center"/>
              <w:rPr>
                <w:rFonts w:asciiTheme="majorHAnsi" w:hAnsiTheme="majorHAnsi" w:cstheme="majorHAnsi"/>
                <w:b/>
                <w:color w:val="000000" w:themeColor="text1"/>
                <w:sz w:val="18"/>
                <w:szCs w:val="18"/>
              </w:rPr>
            </w:pPr>
            <w:r w:rsidRPr="00E57B02">
              <w:rPr>
                <w:rFonts w:asciiTheme="majorHAnsi" w:hAnsiTheme="majorHAnsi"/>
                <w:b/>
                <w:bCs/>
                <w:color w:val="000000"/>
                <w:sz w:val="18"/>
                <w:szCs w:val="18"/>
              </w:rPr>
              <w:t>Unit</w:t>
            </w:r>
          </w:p>
        </w:tc>
        <w:tc>
          <w:tcPr>
            <w:tcW w:w="3821" w:type="pct"/>
            <w:gridSpan w:val="8"/>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7C66D063" w14:textId="77777777" w:rsidR="00F40E75" w:rsidRPr="00E57B02" w:rsidRDefault="00F40E75" w:rsidP="00F40E75">
            <w:pPr>
              <w:jc w:val="center"/>
              <w:rPr>
                <w:rFonts w:asciiTheme="majorHAnsi" w:hAnsiTheme="majorHAnsi" w:cstheme="majorHAnsi"/>
                <w:b/>
                <w:color w:val="000000" w:themeColor="text1"/>
                <w:sz w:val="18"/>
                <w:szCs w:val="18"/>
              </w:rPr>
            </w:pPr>
            <w:r w:rsidRPr="00E57B02">
              <w:rPr>
                <w:rFonts w:asciiTheme="majorHAnsi" w:hAnsiTheme="majorHAnsi" w:cstheme="majorHAnsi"/>
                <w:b/>
                <w:color w:val="000000" w:themeColor="text1"/>
                <w:sz w:val="18"/>
                <w:szCs w:val="18"/>
              </w:rPr>
              <w:t>Total Impacts Per Liter</w:t>
            </w:r>
          </w:p>
        </w:tc>
      </w:tr>
      <w:tr w:rsidR="00F40E75" w:rsidRPr="00E57B02" w14:paraId="091C4997" w14:textId="77777777" w:rsidTr="00CD3FF3">
        <w:trPr>
          <w:trHeight w:val="372"/>
          <w:tblHeader/>
        </w:trPr>
        <w:tc>
          <w:tcPr>
            <w:tcW w:w="695" w:type="pct"/>
            <w:vMerge/>
            <w:tcBorders>
              <w:left w:val="single" w:sz="8" w:space="0" w:color="FFFFFF"/>
              <w:bottom w:val="single" w:sz="24" w:space="0" w:color="FFFFFF"/>
              <w:right w:val="single" w:sz="8" w:space="0" w:color="FFFFFF"/>
            </w:tcBorders>
            <w:shd w:val="clear" w:color="auto" w:fill="BBE0E3"/>
            <w:tcMar>
              <w:top w:w="15" w:type="dxa"/>
              <w:left w:w="75" w:type="dxa"/>
              <w:bottom w:w="0" w:type="dxa"/>
              <w:right w:w="75" w:type="dxa"/>
            </w:tcMar>
            <w:vAlign w:val="bottom"/>
          </w:tcPr>
          <w:p w14:paraId="5993B8EC" w14:textId="77777777" w:rsidR="00F40E75" w:rsidRPr="00E57B02" w:rsidRDefault="00F40E75" w:rsidP="00F40E75">
            <w:pPr>
              <w:spacing w:after="240"/>
              <w:jc w:val="center"/>
              <w:rPr>
                <w:rFonts w:asciiTheme="majorHAnsi" w:hAnsiTheme="majorHAnsi"/>
                <w:b/>
                <w:bCs/>
                <w:color w:val="000000"/>
                <w:sz w:val="18"/>
                <w:szCs w:val="18"/>
              </w:rPr>
            </w:pPr>
          </w:p>
        </w:tc>
        <w:tc>
          <w:tcPr>
            <w:tcW w:w="484" w:type="pct"/>
            <w:vMerge/>
            <w:tcBorders>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132A1C17" w14:textId="77777777" w:rsidR="00F40E75" w:rsidRPr="00E57B02" w:rsidRDefault="00F40E75" w:rsidP="00F40E75">
            <w:pPr>
              <w:spacing w:after="240"/>
              <w:jc w:val="center"/>
              <w:rPr>
                <w:rFonts w:asciiTheme="majorHAnsi" w:hAnsiTheme="majorHAnsi"/>
                <w:b/>
                <w:bCs/>
                <w:color w:val="000000"/>
                <w:sz w:val="18"/>
                <w:szCs w:val="18"/>
              </w:rPr>
            </w:pPr>
          </w:p>
        </w:tc>
        <w:tc>
          <w:tcPr>
            <w:tcW w:w="433"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5184567A"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Single-serve bottle</w:t>
            </w:r>
          </w:p>
        </w:tc>
        <w:tc>
          <w:tcPr>
            <w:tcW w:w="388"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5CF66208"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Reusable Jug</w:t>
            </w:r>
          </w:p>
        </w:tc>
        <w:tc>
          <w:tcPr>
            <w:tcW w:w="397"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731BB355"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Watergen (Large Scale)</w:t>
            </w:r>
          </w:p>
        </w:tc>
        <w:tc>
          <w:tcPr>
            <w:tcW w:w="464"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08BBA956"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Watergen (Medium Scale)</w:t>
            </w:r>
          </w:p>
        </w:tc>
        <w:tc>
          <w:tcPr>
            <w:tcW w:w="546"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225BF99F"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Watergen (Home/Office Scale)</w:t>
            </w:r>
          </w:p>
        </w:tc>
        <w:tc>
          <w:tcPr>
            <w:tcW w:w="434"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3D841723"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EcoloBlue (Large Scale)</w:t>
            </w:r>
          </w:p>
        </w:tc>
        <w:tc>
          <w:tcPr>
            <w:tcW w:w="436"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0F787368"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EcoloBlue (Medium Scale)</w:t>
            </w:r>
          </w:p>
        </w:tc>
        <w:tc>
          <w:tcPr>
            <w:tcW w:w="723"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1AF02085" w14:textId="77777777" w:rsidR="00F40E75" w:rsidRPr="00DA7DEC" w:rsidRDefault="00F40E75" w:rsidP="00F40E75">
            <w:pPr>
              <w:jc w:val="center"/>
              <w:rPr>
                <w:rFonts w:asciiTheme="majorHAnsi" w:hAnsiTheme="majorHAnsi"/>
                <w:b/>
                <w:color w:val="000000"/>
                <w:sz w:val="18"/>
                <w:szCs w:val="18"/>
              </w:rPr>
            </w:pPr>
            <w:r w:rsidRPr="00DA7DEC">
              <w:rPr>
                <w:rFonts w:asciiTheme="majorHAnsi" w:hAnsiTheme="majorHAnsi"/>
                <w:b/>
                <w:color w:val="000000"/>
                <w:sz w:val="18"/>
                <w:szCs w:val="18"/>
              </w:rPr>
              <w:t>EcoloBlue(Home/ Office Scale)</w:t>
            </w:r>
          </w:p>
        </w:tc>
      </w:tr>
      <w:tr w:rsidR="00BA1DE8" w:rsidRPr="00E57B02" w14:paraId="007EBFB1" w14:textId="77777777" w:rsidTr="00CD3FF3">
        <w:trPr>
          <w:trHeight w:val="278"/>
        </w:trPr>
        <w:tc>
          <w:tcPr>
            <w:tcW w:w="695" w:type="pct"/>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1D3FCCF8"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Acidification Potential</w:t>
            </w:r>
          </w:p>
        </w:tc>
        <w:tc>
          <w:tcPr>
            <w:tcW w:w="484"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33A718E4" w14:textId="77777777" w:rsidR="00BA1DE8" w:rsidRPr="00E57B02" w:rsidRDefault="00BA1DE8" w:rsidP="00BA1DE8">
            <w:pPr>
              <w:jc w:val="center"/>
              <w:rPr>
                <w:rFonts w:asciiTheme="majorHAnsi" w:hAnsiTheme="majorHAnsi" w:cstheme="majorHAnsi"/>
                <w:sz w:val="18"/>
                <w:szCs w:val="18"/>
              </w:rPr>
            </w:pPr>
            <w:r w:rsidRPr="00E57B02">
              <w:rPr>
                <w:rFonts w:asciiTheme="majorHAnsi" w:hAnsiTheme="majorHAnsi"/>
                <w:i/>
                <w:iCs/>
                <w:color w:val="000000"/>
                <w:sz w:val="18"/>
                <w:szCs w:val="18"/>
              </w:rPr>
              <w:t>kg SO</w:t>
            </w:r>
            <w:r w:rsidRPr="00DE4121">
              <w:rPr>
                <w:rFonts w:asciiTheme="majorHAnsi" w:hAnsiTheme="majorHAnsi"/>
                <w:i/>
                <w:iCs/>
                <w:color w:val="000000"/>
                <w:sz w:val="18"/>
                <w:szCs w:val="18"/>
                <w:vertAlign w:val="subscript"/>
              </w:rPr>
              <w:t>2</w:t>
            </w:r>
            <w:r w:rsidRPr="00E57B02">
              <w:rPr>
                <w:rFonts w:asciiTheme="majorHAnsi" w:hAnsiTheme="majorHAnsi"/>
                <w:i/>
                <w:iCs/>
                <w:color w:val="000000"/>
                <w:sz w:val="18"/>
                <w:szCs w:val="18"/>
              </w:rPr>
              <w:t xml:space="preserve"> eq</w:t>
            </w:r>
          </w:p>
        </w:tc>
        <w:tc>
          <w:tcPr>
            <w:tcW w:w="433"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2C72B1A7" w14:textId="5843C28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4.96E-04</w:t>
            </w:r>
          </w:p>
        </w:tc>
        <w:tc>
          <w:tcPr>
            <w:tcW w:w="388"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471630CE" w14:textId="3A8B29F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9.52E-05</w:t>
            </w:r>
          </w:p>
        </w:tc>
        <w:tc>
          <w:tcPr>
            <w:tcW w:w="397"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395B2035" w14:textId="07D67A13"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2.64E-04</w:t>
            </w:r>
          </w:p>
        </w:tc>
        <w:tc>
          <w:tcPr>
            <w:tcW w:w="464"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77EF7521" w14:textId="4A15CFFE"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4.06E-04</w:t>
            </w:r>
          </w:p>
        </w:tc>
        <w:tc>
          <w:tcPr>
            <w:tcW w:w="546"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386D7810" w14:textId="41D919BE"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2.48E-04</w:t>
            </w:r>
          </w:p>
        </w:tc>
        <w:tc>
          <w:tcPr>
            <w:tcW w:w="434"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5AA3C811" w14:textId="40BD5907"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3.87E-04</w:t>
            </w:r>
          </w:p>
        </w:tc>
        <w:tc>
          <w:tcPr>
            <w:tcW w:w="436"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583F0E3D" w14:textId="3B0D349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3.82E-04</w:t>
            </w:r>
          </w:p>
        </w:tc>
        <w:tc>
          <w:tcPr>
            <w:tcW w:w="723"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061220BE" w14:textId="04A65C0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2.33E-04</w:t>
            </w:r>
          </w:p>
        </w:tc>
      </w:tr>
      <w:tr w:rsidR="00BA1DE8" w:rsidRPr="00E57B02" w14:paraId="00D5B3F0" w14:textId="77777777" w:rsidTr="00CD3FF3">
        <w:trPr>
          <w:trHeight w:val="278"/>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198C924A"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lastRenderedPageBreak/>
              <w:t>Cumulative Energy Demand</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40D4E212"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MJ</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41F1B2EE" w14:textId="7D25E2C4"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2.43E+00</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06A2348" w14:textId="3179721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3.88E-01</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2D884A8" w14:textId="1B19A934"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3.51E+00</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765F27B" w14:textId="427CFE1E"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3.71E+00</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D141D2B" w14:textId="502D90A6"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3.06E+00</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7AFD535" w14:textId="7F1322A4"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4.40E+00</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F93433F" w14:textId="1C24F4D4"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4.30E+00</w:t>
            </w:r>
          </w:p>
        </w:tc>
        <w:tc>
          <w:tcPr>
            <w:tcW w:w="72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F879E6E" w14:textId="50D1173F"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3.04E+00</w:t>
            </w:r>
          </w:p>
        </w:tc>
      </w:tr>
      <w:tr w:rsidR="00BA1DE8" w:rsidRPr="00E57B02" w14:paraId="29652E8F" w14:textId="77777777" w:rsidTr="00CD3FF3">
        <w:trPr>
          <w:trHeight w:val="278"/>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2164A6BA"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Eutrophication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2D5CEB50"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N eq</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60BC34D0" w14:textId="0075A881"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1.78E-05</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F430277" w14:textId="3CCDFD75"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4.97E-06</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8C26ACB" w14:textId="45814BDE"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1.28E-05</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587C63D" w14:textId="0C486B34"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1.05E-04</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4CCD97F" w14:textId="51455E6A"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2.32E-05</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1C08D9E" w14:textId="6D43EF02"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5.57E-05</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305ADE2" w14:textId="62350C25"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5.93E-05</w:t>
            </w:r>
          </w:p>
        </w:tc>
        <w:tc>
          <w:tcPr>
            <w:tcW w:w="72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BEC7585" w14:textId="281FE15A"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1.52E-05</w:t>
            </w:r>
          </w:p>
        </w:tc>
      </w:tr>
      <w:tr w:rsidR="00BA1DE8" w:rsidRPr="00E57B02" w14:paraId="79EF9D68" w14:textId="77777777" w:rsidTr="00CD3FF3">
        <w:trPr>
          <w:trHeight w:val="278"/>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29B7E31E"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 xml:space="preserve">Fossil </w:t>
            </w:r>
            <w:r>
              <w:rPr>
                <w:rFonts w:asciiTheme="majorHAnsi" w:hAnsiTheme="majorHAnsi"/>
                <w:color w:val="000000"/>
                <w:sz w:val="18"/>
                <w:szCs w:val="18"/>
              </w:rPr>
              <w:t xml:space="preserve">Fuel </w:t>
            </w:r>
            <w:r w:rsidRPr="00E57B02">
              <w:rPr>
                <w:rFonts w:asciiTheme="majorHAnsi" w:hAnsiTheme="majorHAnsi"/>
                <w:color w:val="000000"/>
                <w:sz w:val="18"/>
                <w:szCs w:val="18"/>
              </w:rPr>
              <w:t>Depletion</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0E90AE19"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oil eq</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5F73B166" w14:textId="6A15017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5.15E-02</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469785C" w14:textId="42E67F9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8.10E-03</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D3B4741" w14:textId="1FBA58C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6.16E-02</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6293665" w14:textId="4AED246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6.52E-02</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61899DB" w14:textId="069AA09F"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5.39E-02</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8D3463E" w14:textId="7510AA62"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7.73E-02</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C3A90A4" w14:textId="1B655B67"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7.55E-02</w:t>
            </w:r>
          </w:p>
        </w:tc>
        <w:tc>
          <w:tcPr>
            <w:tcW w:w="72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DCBAE6F" w14:textId="1A70442E"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5.34E-02</w:t>
            </w:r>
          </w:p>
        </w:tc>
      </w:tr>
      <w:tr w:rsidR="00BA1DE8" w:rsidRPr="00E57B02" w14:paraId="16F433D0" w14:textId="77777777" w:rsidTr="00CD3FF3">
        <w:trPr>
          <w:trHeight w:val="278"/>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78768AC0"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Global Warming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76B5DE35"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CO</w:t>
            </w:r>
            <w:r w:rsidRPr="00DE4121">
              <w:rPr>
                <w:rFonts w:asciiTheme="majorHAnsi" w:hAnsiTheme="majorHAnsi"/>
                <w:i/>
                <w:iCs/>
                <w:color w:val="000000"/>
                <w:sz w:val="18"/>
                <w:szCs w:val="18"/>
                <w:vertAlign w:val="subscript"/>
              </w:rPr>
              <w:t>2</w:t>
            </w:r>
            <w:r w:rsidRPr="00E57B02">
              <w:rPr>
                <w:rFonts w:asciiTheme="majorHAnsi" w:hAnsiTheme="majorHAnsi"/>
                <w:i/>
                <w:iCs/>
                <w:color w:val="000000"/>
                <w:sz w:val="18"/>
                <w:szCs w:val="18"/>
              </w:rPr>
              <w:t xml:space="preserve"> eq</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3A1A9E33" w14:textId="5FF4504E"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1.15E-01</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A33E99D" w14:textId="3AB9B7FF"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2.41E-02</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495F2C5" w14:textId="01D48E8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1.78E-01</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78F3507" w14:textId="526D73B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2.08E-01</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BF20FA1" w14:textId="4BFC172F"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1.59E-01</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04E7545" w14:textId="2112344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2.34E-01</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CF5B37A" w14:textId="526D39B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2.27E-01</w:t>
            </w:r>
          </w:p>
        </w:tc>
        <w:tc>
          <w:tcPr>
            <w:tcW w:w="72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8F3403D" w14:textId="434C608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1.55E-01</w:t>
            </w:r>
          </w:p>
        </w:tc>
      </w:tr>
      <w:tr w:rsidR="00BA1DE8" w:rsidRPr="00E57B02" w14:paraId="6EE1565B" w14:textId="77777777" w:rsidTr="00CD3FF3">
        <w:trPr>
          <w:trHeight w:val="278"/>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31746943"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Particulate Matter Formation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59F6F9BE"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PM2.5 eq</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2D7D605" w14:textId="6420BBB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2.89E-05</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D3A8283" w14:textId="56CF3C8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7.84E-06</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8ADCFCE" w14:textId="67527623"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2.27E-05</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F09E11D" w14:textId="618B0E2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8.29E-05</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90DCFC2" w14:textId="2EAAEE86"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2.70E-05</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1E7FE20" w14:textId="6E8D43EC"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5.38E-05</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C0CD164" w14:textId="3C73AC3F"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5.52E-05</w:t>
            </w:r>
          </w:p>
        </w:tc>
        <w:tc>
          <w:tcPr>
            <w:tcW w:w="72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2C9B2E8" w14:textId="3CA3BBF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2.11E-05</w:t>
            </w:r>
          </w:p>
        </w:tc>
      </w:tr>
      <w:tr w:rsidR="00BA1DE8" w:rsidRPr="00E57B02" w14:paraId="2C01D0F6" w14:textId="77777777" w:rsidTr="00CD3FF3">
        <w:trPr>
          <w:trHeight w:val="278"/>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55BAC65C"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Smog Formation Potential</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7958A770" w14:textId="77777777" w:rsidR="00BA1DE8" w:rsidRPr="00E57B02" w:rsidRDefault="00BA1DE8" w:rsidP="00BA1DE8">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O</w:t>
            </w:r>
            <w:r w:rsidRPr="00DE4121">
              <w:rPr>
                <w:rFonts w:asciiTheme="majorHAnsi" w:hAnsiTheme="majorHAnsi"/>
                <w:i/>
                <w:iCs/>
                <w:color w:val="000000"/>
                <w:sz w:val="18"/>
                <w:szCs w:val="18"/>
                <w:vertAlign w:val="subscript"/>
              </w:rPr>
              <w:t>3</w:t>
            </w:r>
            <w:r w:rsidRPr="00E57B02">
              <w:rPr>
                <w:rFonts w:asciiTheme="majorHAnsi" w:hAnsiTheme="majorHAnsi"/>
                <w:i/>
                <w:iCs/>
                <w:color w:val="000000"/>
                <w:sz w:val="18"/>
                <w:szCs w:val="18"/>
              </w:rPr>
              <w:t xml:space="preserve"> eq</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591C62BB" w14:textId="706DB1D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7.66E-03</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1048144" w14:textId="3B4D56A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1.58E-03</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4DFE5AC" w14:textId="2102501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4.86E-03</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C7AB466" w14:textId="70C81D4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6.62E-03</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A67A0BF" w14:textId="48184E9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4.44E-03</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48E843F" w14:textId="678ACA72"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6.74E-03</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A743BF4" w14:textId="528552FA"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6.64E-03</w:t>
            </w:r>
          </w:p>
        </w:tc>
        <w:tc>
          <w:tcPr>
            <w:tcW w:w="72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82CDC07" w14:textId="5FCD194F"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4.27E-03</w:t>
            </w:r>
          </w:p>
        </w:tc>
      </w:tr>
      <w:tr w:rsidR="00BA1DE8" w:rsidRPr="00E57B02" w14:paraId="22981CC8" w14:textId="77777777" w:rsidTr="00CD3FF3">
        <w:trPr>
          <w:trHeight w:val="278"/>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5CBA2DBB"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Solid Waste by Weight</w:t>
            </w:r>
          </w:p>
        </w:tc>
        <w:tc>
          <w:tcPr>
            <w:tcW w:w="48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6D7939E5" w14:textId="77777777" w:rsidR="00BA1DE8" w:rsidRPr="00E57B02" w:rsidRDefault="00BA1DE8" w:rsidP="00DE4121">
            <w:pPr>
              <w:tabs>
                <w:tab w:val="clear" w:pos="720"/>
              </w:tabs>
              <w:jc w:val="center"/>
              <w:rPr>
                <w:rFonts w:asciiTheme="majorHAnsi" w:hAnsiTheme="majorHAnsi" w:cstheme="majorHAnsi"/>
                <w:sz w:val="18"/>
                <w:szCs w:val="18"/>
              </w:rPr>
            </w:pPr>
            <w:r w:rsidRPr="00E57B02">
              <w:rPr>
                <w:rFonts w:asciiTheme="majorHAnsi" w:hAnsiTheme="majorHAnsi"/>
                <w:i/>
                <w:iCs/>
                <w:color w:val="000000"/>
                <w:sz w:val="18"/>
                <w:szCs w:val="18"/>
              </w:rPr>
              <w:t>kg SW eq</w:t>
            </w:r>
          </w:p>
        </w:tc>
        <w:tc>
          <w:tcPr>
            <w:tcW w:w="433"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5EAEF3A9" w14:textId="5A50D965"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2.16E-02</w:t>
            </w:r>
          </w:p>
        </w:tc>
        <w:tc>
          <w:tcPr>
            <w:tcW w:w="38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8C682C4" w14:textId="6AB0CE8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8.28E-04</w:t>
            </w:r>
          </w:p>
        </w:tc>
        <w:tc>
          <w:tcPr>
            <w:tcW w:w="397"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2939A60" w14:textId="1BF02541"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1.88E-03</w:t>
            </w:r>
          </w:p>
        </w:tc>
        <w:tc>
          <w:tcPr>
            <w:tcW w:w="46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3965AC6" w14:textId="66D1ED07"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1.77E-03</w:t>
            </w:r>
          </w:p>
        </w:tc>
        <w:tc>
          <w:tcPr>
            <w:tcW w:w="54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A25282F" w14:textId="1E7F0B26"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1.61E-03</w:t>
            </w:r>
          </w:p>
        </w:tc>
        <w:tc>
          <w:tcPr>
            <w:tcW w:w="43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E836D23" w14:textId="0ADB6FF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2.25E-03</w:t>
            </w:r>
          </w:p>
        </w:tc>
        <w:tc>
          <w:tcPr>
            <w:tcW w:w="43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2FEBE4A" w14:textId="1F635BA8"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2.20E-03</w:t>
            </w:r>
          </w:p>
        </w:tc>
        <w:tc>
          <w:tcPr>
            <w:tcW w:w="72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1D71046" w14:textId="41BFF859"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1.61E-03</w:t>
            </w:r>
          </w:p>
        </w:tc>
      </w:tr>
      <w:tr w:rsidR="00BA1DE8" w:rsidRPr="00E57B02" w14:paraId="5B895CB8" w14:textId="77777777" w:rsidTr="00CD3FF3">
        <w:trPr>
          <w:trHeight w:val="278"/>
        </w:trPr>
        <w:tc>
          <w:tcPr>
            <w:tcW w:w="695"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4094E5D8" w14:textId="77777777" w:rsidR="00BA1DE8" w:rsidRPr="00E57B02" w:rsidRDefault="00BA1DE8" w:rsidP="00BA1DE8">
            <w:pPr>
              <w:tabs>
                <w:tab w:val="clear" w:pos="720"/>
              </w:tabs>
              <w:textAlignment w:val="bottom"/>
              <w:rPr>
                <w:rFonts w:asciiTheme="majorHAnsi" w:hAnsiTheme="majorHAnsi" w:cstheme="majorHAnsi"/>
                <w:b/>
                <w:sz w:val="18"/>
                <w:szCs w:val="18"/>
              </w:rPr>
            </w:pPr>
            <w:r w:rsidRPr="00E57B02">
              <w:rPr>
                <w:rFonts w:asciiTheme="majorHAnsi" w:hAnsiTheme="majorHAnsi"/>
                <w:color w:val="000000"/>
                <w:sz w:val="18"/>
                <w:szCs w:val="18"/>
              </w:rPr>
              <w:t>Water Consumption</w:t>
            </w:r>
          </w:p>
        </w:tc>
        <w:tc>
          <w:tcPr>
            <w:tcW w:w="48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2B426A5C" w14:textId="77777777" w:rsidR="00BA1DE8" w:rsidRPr="00E57B02" w:rsidRDefault="00BA1DE8" w:rsidP="00DE4121">
            <w:pPr>
              <w:jc w:val="center"/>
              <w:rPr>
                <w:rFonts w:asciiTheme="majorHAnsi" w:hAnsiTheme="majorHAnsi" w:cstheme="majorHAnsi"/>
                <w:sz w:val="18"/>
                <w:szCs w:val="18"/>
              </w:rPr>
            </w:pPr>
            <w:r w:rsidRPr="00E57B02">
              <w:rPr>
                <w:rFonts w:asciiTheme="majorHAnsi" w:hAnsiTheme="majorHAnsi"/>
                <w:i/>
                <w:iCs/>
                <w:color w:val="000000"/>
                <w:sz w:val="18"/>
                <w:szCs w:val="18"/>
              </w:rPr>
              <w:t>liter H</w:t>
            </w:r>
            <w:r w:rsidRPr="00DE4121">
              <w:rPr>
                <w:rFonts w:asciiTheme="majorHAnsi" w:hAnsiTheme="majorHAnsi"/>
                <w:i/>
                <w:iCs/>
                <w:color w:val="000000"/>
                <w:sz w:val="18"/>
                <w:szCs w:val="18"/>
                <w:vertAlign w:val="subscript"/>
              </w:rPr>
              <w:t>2</w:t>
            </w:r>
            <w:r w:rsidRPr="00E57B02">
              <w:rPr>
                <w:rFonts w:asciiTheme="majorHAnsi" w:hAnsiTheme="majorHAnsi"/>
                <w:i/>
                <w:iCs/>
                <w:color w:val="000000"/>
                <w:sz w:val="18"/>
                <w:szCs w:val="18"/>
              </w:rPr>
              <w:t>O</w:t>
            </w:r>
          </w:p>
        </w:tc>
        <w:tc>
          <w:tcPr>
            <w:tcW w:w="433"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2DF70B90" w14:textId="7CA750A2"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1.62E+00</w:t>
            </w:r>
          </w:p>
        </w:tc>
        <w:tc>
          <w:tcPr>
            <w:tcW w:w="38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983595E" w14:textId="39CD630B"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1.32E+00</w:t>
            </w:r>
          </w:p>
        </w:tc>
        <w:tc>
          <w:tcPr>
            <w:tcW w:w="397"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F0864FB" w14:textId="175D7125"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2.62E+00</w:t>
            </w:r>
          </w:p>
        </w:tc>
        <w:tc>
          <w:tcPr>
            <w:tcW w:w="46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016D883" w14:textId="76CA4B3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2.71E+00</w:t>
            </w:r>
          </w:p>
        </w:tc>
        <w:tc>
          <w:tcPr>
            <w:tcW w:w="54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77CDF93" w14:textId="49B56935"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2.42E+00</w:t>
            </w:r>
          </w:p>
        </w:tc>
        <w:tc>
          <w:tcPr>
            <w:tcW w:w="43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C99D6E8" w14:textId="4F91EE72"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3.03E+00</w:t>
            </w:r>
          </w:p>
        </w:tc>
        <w:tc>
          <w:tcPr>
            <w:tcW w:w="43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4D64737" w14:textId="2C755D3D"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2.98E+00</w:t>
            </w:r>
          </w:p>
        </w:tc>
        <w:tc>
          <w:tcPr>
            <w:tcW w:w="72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B76E704" w14:textId="2D86AE20" w:rsidR="00BA1DE8" w:rsidRPr="00BA1DE8" w:rsidRDefault="00BA1DE8" w:rsidP="00BA1DE8">
            <w:pPr>
              <w:jc w:val="center"/>
              <w:rPr>
                <w:rFonts w:asciiTheme="majorHAnsi" w:hAnsiTheme="majorHAnsi"/>
                <w:iCs/>
                <w:color w:val="000000"/>
                <w:sz w:val="18"/>
                <w:szCs w:val="18"/>
              </w:rPr>
            </w:pPr>
            <w:r w:rsidRPr="00BA1DE8">
              <w:rPr>
                <w:rFonts w:asciiTheme="majorHAnsi" w:hAnsiTheme="majorHAnsi"/>
                <w:iCs/>
                <w:color w:val="000000"/>
                <w:sz w:val="18"/>
                <w:szCs w:val="18"/>
              </w:rPr>
              <w:t>2.40E+00</w:t>
            </w:r>
          </w:p>
        </w:tc>
      </w:tr>
    </w:tbl>
    <w:p w14:paraId="56BF94B1" w14:textId="77BCD3D9" w:rsidR="00E57B02" w:rsidRPr="00B66FC9" w:rsidRDefault="00E57B02" w:rsidP="00E57B02">
      <w:pPr>
        <w:pStyle w:val="Caption"/>
        <w:jc w:val="left"/>
      </w:pPr>
    </w:p>
    <w:p w14:paraId="127A748B" w14:textId="229FBFCE" w:rsidR="00D93ED6" w:rsidRDefault="00D93ED6" w:rsidP="00B12556">
      <w:pPr>
        <w:pStyle w:val="Heading2"/>
      </w:pPr>
      <w:bookmarkStart w:id="293" w:name="_Toc525246215"/>
      <w:bookmarkStart w:id="294" w:name="_Toc533009173"/>
      <w:r>
        <w:t>Baseline Results</w:t>
      </w:r>
      <w:bookmarkEnd w:id="279"/>
      <w:r w:rsidR="00B12556">
        <w:t xml:space="preserve"> Atmospheric Water Generator</w:t>
      </w:r>
      <w:bookmarkEnd w:id="293"/>
      <w:bookmarkEnd w:id="294"/>
    </w:p>
    <w:p w14:paraId="658E1980" w14:textId="6E7C4D76" w:rsidR="00696274" w:rsidRDefault="00696274" w:rsidP="00DA7DEC">
      <w:pPr>
        <w:pStyle w:val="BodyText"/>
      </w:pPr>
      <w:r w:rsidRPr="00447D17">
        <w:t xml:space="preserve">The baseline percent contribution results for the LCA of AWG systems of Watergen and Ecoloblue show higher impacts for all impact categories in the operational stage of the life cycle as compared to two select life </w:t>
      </w:r>
      <w:r w:rsidR="00D431AF">
        <w:t xml:space="preserve">cycle </w:t>
      </w:r>
      <w:r w:rsidRPr="00447D17">
        <w:t>stages of manufacturing of the equipment and reusable container washing.</w:t>
      </w:r>
      <w:r w:rsidR="009626FB" w:rsidRPr="00447D17">
        <w:t xml:space="preserve"> </w:t>
      </w:r>
      <w:r w:rsidR="00DE4121">
        <w:t xml:space="preserve">Reusable container washing sources water from the AWG, so these impacts are approximately half of AWG operation (assuming half the volume of the reusable glass is used for washing). </w:t>
      </w:r>
      <w:r w:rsidR="009626FB" w:rsidRPr="00447D17">
        <w:t xml:space="preserve">The operation of the AWG is an energy intensive process and the impacts can be mitigated </w:t>
      </w:r>
      <w:r w:rsidR="00F91336">
        <w:t>t</w:t>
      </w:r>
      <w:r w:rsidR="009626FB" w:rsidRPr="00447D17">
        <w:t>o some extent by using a low emissions electric grid option (</w:t>
      </w:r>
      <w:r w:rsidR="00594AF7">
        <w:t xml:space="preserve">CAMX, </w:t>
      </w:r>
      <w:r w:rsidR="009626FB" w:rsidRPr="00447D17">
        <w:t>see sensitivity analysis for AWG systems).</w:t>
      </w:r>
      <w:r w:rsidRPr="00447D17">
        <w:t xml:space="preserve"> As a comparison </w:t>
      </w:r>
      <w:r w:rsidR="003F5A72" w:rsidRPr="00447D17">
        <w:t>between the two vend</w:t>
      </w:r>
      <w:r w:rsidR="00BE6B42">
        <w:t>o</w:t>
      </w:r>
      <w:r w:rsidR="003F5A72" w:rsidRPr="00447D17">
        <w:t xml:space="preserve">rs of AWG, Ecoloblue has higher overall impacts as compared with Watergen </w:t>
      </w:r>
      <w:r w:rsidR="0088638A">
        <w:t>except for eutrophication potential</w:t>
      </w:r>
      <w:r w:rsidR="000156E7">
        <w:t xml:space="preserve"> and particulate matter formation potential</w:t>
      </w:r>
      <w:r w:rsidR="0088638A">
        <w:t xml:space="preserve"> in the capital equipment stage</w:t>
      </w:r>
      <w:r w:rsidR="003F5A72" w:rsidRPr="00447D17">
        <w:t xml:space="preserve">. </w:t>
      </w:r>
      <w:r w:rsidR="00DE4121">
        <w:t xml:space="preserve">This is due to the longer lifetime estimated for the Ecoloblue systems. </w:t>
      </w:r>
      <w:r w:rsidR="00B166AB">
        <w:t xml:space="preserve">The life cycle stages not shown here (transportation to point of use and disposal) have negligible impacts on </w:t>
      </w:r>
      <w:r w:rsidR="00315CC3">
        <w:t xml:space="preserve">the LCA </w:t>
      </w:r>
      <w:r w:rsidR="00B166AB">
        <w:t>results.</w:t>
      </w:r>
    </w:p>
    <w:p w14:paraId="19137A85" w14:textId="77777777" w:rsidR="00B92073" w:rsidRPr="00447D17" w:rsidRDefault="00B92073" w:rsidP="0040683D">
      <w:pPr>
        <w:ind w:left="720" w:hanging="720"/>
        <w:rPr>
          <w:b/>
        </w:rPr>
      </w:pPr>
    </w:p>
    <w:p w14:paraId="5C6E4170" w14:textId="4343C59A" w:rsidR="000F0A22" w:rsidRDefault="00DF36F2" w:rsidP="000F0A22">
      <w:r>
        <w:rPr>
          <w:noProof/>
        </w:rPr>
        <w:lastRenderedPageBreak/>
        <w:drawing>
          <wp:inline distT="0" distB="0" distL="0" distR="0" wp14:anchorId="1A008FDF" wp14:editId="22EBF845">
            <wp:extent cx="6105525" cy="3378200"/>
            <wp:effectExtent l="0" t="0" r="0" b="0"/>
            <wp:docPr id="10" name="Chart 10">
              <a:extLst xmlns:a="http://schemas.openxmlformats.org/drawingml/2006/main">
                <a:ext uri="{FF2B5EF4-FFF2-40B4-BE49-F238E27FC236}">
                  <a16:creationId xmlns:a16="http://schemas.microsoft.com/office/drawing/2014/main" id="{2A71A341-6714-4B68-8506-8177C2931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D7DC85D" w14:textId="48B8D509" w:rsidR="00B92073" w:rsidRDefault="00B92073" w:rsidP="00DA7DEC">
      <w:pPr>
        <w:pStyle w:val="FigureTitle"/>
      </w:pPr>
      <w:bookmarkStart w:id="295" w:name="_Toc533009206"/>
      <w:r>
        <w:t xml:space="preserve">Figure </w:t>
      </w:r>
      <w:r w:rsidR="00EC33F5">
        <w:fldChar w:fldCharType="begin"/>
      </w:r>
      <w:r w:rsidR="00EC33F5">
        <w:instrText xml:space="preserve"> SEQ Figure \* ARABIC </w:instrText>
      </w:r>
      <w:r w:rsidR="00EC33F5">
        <w:fldChar w:fldCharType="separate"/>
      </w:r>
      <w:r w:rsidR="008072BC">
        <w:t>9</w:t>
      </w:r>
      <w:r w:rsidR="00EC33F5">
        <w:fldChar w:fldCharType="end"/>
      </w:r>
      <w:r>
        <w:t>. Watergen percent contribution to life cycle stage by impact category</w:t>
      </w:r>
      <w:r w:rsidR="00D24293">
        <w:t>.</w:t>
      </w:r>
      <w:bookmarkEnd w:id="295"/>
    </w:p>
    <w:p w14:paraId="0944651B" w14:textId="33D0166B" w:rsidR="000D356E" w:rsidRDefault="00DF36F2" w:rsidP="000F0A22">
      <w:r>
        <w:rPr>
          <w:noProof/>
        </w:rPr>
        <w:drawing>
          <wp:inline distT="0" distB="0" distL="0" distR="0" wp14:anchorId="6FDDF06C" wp14:editId="612E5352">
            <wp:extent cx="6105525" cy="3819525"/>
            <wp:effectExtent l="0" t="0" r="0" b="0"/>
            <wp:docPr id="15" name="Chart 15">
              <a:extLst xmlns:a="http://schemas.openxmlformats.org/drawingml/2006/main">
                <a:ext uri="{FF2B5EF4-FFF2-40B4-BE49-F238E27FC236}">
                  <a16:creationId xmlns:a16="http://schemas.microsoft.com/office/drawing/2014/main" id="{973FD776-F68E-4DDF-8D32-D6594174E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B63B44" w14:textId="17A9AC80" w:rsidR="00B92073" w:rsidRDefault="00B92073" w:rsidP="00DA7DEC">
      <w:pPr>
        <w:pStyle w:val="FigureTitle"/>
      </w:pPr>
      <w:bookmarkStart w:id="296" w:name="_Toc533009207"/>
      <w:r>
        <w:t xml:space="preserve">Figure </w:t>
      </w:r>
      <w:r w:rsidR="00EC33F5">
        <w:fldChar w:fldCharType="begin"/>
      </w:r>
      <w:r w:rsidR="00EC33F5">
        <w:instrText xml:space="preserve"> SEQ Figure \* ARABIC </w:instrText>
      </w:r>
      <w:r w:rsidR="00EC33F5">
        <w:fldChar w:fldCharType="separate"/>
      </w:r>
      <w:r w:rsidR="008072BC">
        <w:t>10</w:t>
      </w:r>
      <w:r w:rsidR="00EC33F5">
        <w:fldChar w:fldCharType="end"/>
      </w:r>
      <w:r>
        <w:t>. Ecoloblue percent contribution to life cycle stage by impact category</w:t>
      </w:r>
      <w:r w:rsidR="00D24293">
        <w:t>.</w:t>
      </w:r>
      <w:bookmarkEnd w:id="296"/>
    </w:p>
    <w:p w14:paraId="6C7CF69A" w14:textId="77777777" w:rsidR="00960856" w:rsidRPr="000F0A22" w:rsidRDefault="00960856" w:rsidP="000F0A22"/>
    <w:p w14:paraId="68569558" w14:textId="3C53DD6D" w:rsidR="00BD6C59" w:rsidRDefault="00B12556" w:rsidP="00BD6C59">
      <w:pPr>
        <w:pStyle w:val="Heading2"/>
      </w:pPr>
      <w:bookmarkStart w:id="297" w:name="_Toc447546956"/>
      <w:bookmarkStart w:id="298" w:name="_Toc447547036"/>
      <w:bookmarkStart w:id="299" w:name="_Ref524965156"/>
      <w:bookmarkStart w:id="300" w:name="_Toc525246216"/>
      <w:bookmarkStart w:id="301" w:name="_Toc533009174"/>
      <w:bookmarkEnd w:id="261"/>
      <w:bookmarkEnd w:id="297"/>
      <w:bookmarkEnd w:id="298"/>
      <w:r>
        <w:t>Baseline Results Bottled Water</w:t>
      </w:r>
      <w:bookmarkEnd w:id="299"/>
      <w:bookmarkEnd w:id="300"/>
      <w:bookmarkEnd w:id="301"/>
    </w:p>
    <w:p w14:paraId="2E0B6FD3" w14:textId="1CC3EB70" w:rsidR="001D2A99" w:rsidRDefault="00D338E0" w:rsidP="00DA7DEC">
      <w:pPr>
        <w:pStyle w:val="BodyText"/>
      </w:pPr>
      <w:r>
        <w:t>F</w:t>
      </w:r>
      <w:r w:rsidR="0048381B">
        <w:t>or single-serve bottles, r</w:t>
      </w:r>
      <w:r w:rsidR="00BD6C59">
        <w:t xml:space="preserve">aw material production has the highest contribution to most impact categories especially fossil </w:t>
      </w:r>
      <w:r w:rsidR="006F4495">
        <w:t xml:space="preserve">fuel </w:t>
      </w:r>
      <w:r w:rsidR="00BD6C59">
        <w:t>depletion and cumulative energy demand</w:t>
      </w:r>
      <w:r w:rsidR="00264443">
        <w:t xml:space="preserve"> (</w:t>
      </w:r>
      <w:r w:rsidR="00264443">
        <w:fldChar w:fldCharType="begin"/>
      </w:r>
      <w:r w:rsidR="00264443">
        <w:instrText xml:space="preserve"> REF _Ref524449806 \h </w:instrText>
      </w:r>
      <w:r w:rsidR="00264443">
        <w:fldChar w:fldCharType="separate"/>
      </w:r>
      <w:r w:rsidR="008072BC">
        <w:t xml:space="preserve">Table </w:t>
      </w:r>
      <w:r w:rsidR="008072BC">
        <w:rPr>
          <w:noProof/>
        </w:rPr>
        <w:t>12</w:t>
      </w:r>
      <w:r w:rsidR="00264443">
        <w:fldChar w:fldCharType="end"/>
      </w:r>
      <w:r w:rsidR="00264443">
        <w:t>)</w:t>
      </w:r>
      <w:r w:rsidR="0048381B">
        <w:t>.</w:t>
      </w:r>
      <w:r w:rsidR="00C339A6">
        <w:t xml:space="preserve"> </w:t>
      </w:r>
      <w:r w:rsidR="0048381B">
        <w:t xml:space="preserve">The end of life contributes most to the solid waste generated by weight </w:t>
      </w:r>
      <w:r w:rsidR="009408C6">
        <w:t xml:space="preserve">as 68.7 percent of the bottles </w:t>
      </w:r>
      <w:r w:rsidR="006A0A14">
        <w:t>are disposed, with</w:t>
      </w:r>
      <w:r w:rsidR="009408C6">
        <w:t xml:space="preserve"> 82.2 percent of </w:t>
      </w:r>
      <w:r w:rsidR="006A0A14">
        <w:t xml:space="preserve">disposed </w:t>
      </w:r>
      <w:r w:rsidR="009408C6">
        <w:t xml:space="preserve">packaging </w:t>
      </w:r>
      <w:r w:rsidR="006A0A14">
        <w:t>being</w:t>
      </w:r>
      <w:r w:rsidR="009408C6">
        <w:t xml:space="preserve"> landfill</w:t>
      </w:r>
      <w:r w:rsidR="006A0A14">
        <w:t>ed</w:t>
      </w:r>
      <w:r w:rsidR="009408C6">
        <w:t xml:space="preserve"> </w:t>
      </w:r>
      <w:r w:rsidR="006A0A14">
        <w:t>in the U.S</w:t>
      </w:r>
      <w:r w:rsidR="009408C6">
        <w:t>.</w:t>
      </w:r>
      <w:r w:rsidR="006E25CE">
        <w:t xml:space="preserve"> </w:t>
      </w:r>
      <w:r w:rsidR="00B41B37">
        <w:t>(</w:t>
      </w:r>
      <w:r w:rsidR="00F64AD0">
        <w:t>U.S. EPA, 2016)</w:t>
      </w:r>
      <w:r w:rsidR="00B41B37">
        <w:t xml:space="preserve">. </w:t>
      </w:r>
      <w:r w:rsidR="006E25CE">
        <w:t>For HOD</w:t>
      </w:r>
      <w:r w:rsidR="00BE304B">
        <w:t>,</w:t>
      </w:r>
      <w:r w:rsidR="006E25CE">
        <w:t xml:space="preserve"> transportation </w:t>
      </w:r>
      <w:r w:rsidR="00BE304B">
        <w:t xml:space="preserve">of filled jugs </w:t>
      </w:r>
      <w:r w:rsidR="006E25CE">
        <w:t xml:space="preserve">to </w:t>
      </w:r>
      <w:r w:rsidR="00BE304B">
        <w:t xml:space="preserve">the user </w:t>
      </w:r>
      <w:r w:rsidR="006E25CE">
        <w:t xml:space="preserve">and </w:t>
      </w:r>
      <w:r w:rsidR="00BE304B">
        <w:t xml:space="preserve">transportation of empty jugs </w:t>
      </w:r>
      <w:r w:rsidR="006E25CE">
        <w:t xml:space="preserve">from the user contributes most to impact categories including smog formation potential, global warming potential and fossil </w:t>
      </w:r>
      <w:r w:rsidR="006F4495">
        <w:t xml:space="preserve">fuel </w:t>
      </w:r>
      <w:r w:rsidR="006E25CE">
        <w:t>depletion</w:t>
      </w:r>
      <w:r w:rsidR="00264443">
        <w:t xml:space="preserve"> (</w:t>
      </w:r>
      <w:r w:rsidR="00264443">
        <w:fldChar w:fldCharType="begin"/>
      </w:r>
      <w:r w:rsidR="00264443">
        <w:instrText xml:space="preserve"> REF _Ref524450327 \h </w:instrText>
      </w:r>
      <w:r w:rsidR="00264443">
        <w:fldChar w:fldCharType="separate"/>
      </w:r>
      <w:r w:rsidR="00FE4F92">
        <w:t xml:space="preserve">Table </w:t>
      </w:r>
      <w:r w:rsidR="00FE4F92">
        <w:rPr>
          <w:noProof/>
        </w:rPr>
        <w:t>13</w:t>
      </w:r>
      <w:r w:rsidR="00264443">
        <w:fldChar w:fldCharType="end"/>
      </w:r>
      <w:r w:rsidR="00264443">
        <w:t>)</w:t>
      </w:r>
      <w:r w:rsidR="006E25CE">
        <w:t>.</w:t>
      </w:r>
      <w:r w:rsidR="00A47111">
        <w:t xml:space="preserve"> </w:t>
      </w:r>
      <w:r w:rsidR="00B42A84">
        <w:t xml:space="preserve">Water treatment shows high water consumption for both systems </w:t>
      </w:r>
      <w:r w:rsidR="00BE304B">
        <w:t>since the product water is incorporated in this stage.</w:t>
      </w:r>
    </w:p>
    <w:tbl>
      <w:tblPr>
        <w:tblW w:w="5000" w:type="pct"/>
        <w:tblCellMar>
          <w:left w:w="0" w:type="dxa"/>
          <w:right w:w="0" w:type="dxa"/>
        </w:tblCellMar>
        <w:tblLook w:val="04A0" w:firstRow="1" w:lastRow="0" w:firstColumn="1" w:lastColumn="0" w:noHBand="0" w:noVBand="1"/>
      </w:tblPr>
      <w:tblGrid>
        <w:gridCol w:w="1507"/>
        <w:gridCol w:w="1042"/>
        <w:gridCol w:w="1054"/>
        <w:gridCol w:w="876"/>
        <w:gridCol w:w="708"/>
        <w:gridCol w:w="1139"/>
        <w:gridCol w:w="740"/>
        <w:gridCol w:w="695"/>
        <w:gridCol w:w="865"/>
        <w:gridCol w:w="714"/>
      </w:tblGrid>
      <w:tr w:rsidR="00DA7DEC" w:rsidRPr="00B15A79" w14:paraId="53F60C14" w14:textId="77777777" w:rsidTr="00DA7DEC">
        <w:trPr>
          <w:trHeight w:val="359"/>
          <w:tblHeader/>
        </w:trPr>
        <w:tc>
          <w:tcPr>
            <w:tcW w:w="5000" w:type="pct"/>
            <w:gridSpan w:val="10"/>
            <w:tcBorders>
              <w:top w:val="single" w:sz="8" w:space="0" w:color="FFFFFF"/>
              <w:left w:val="single" w:sz="8" w:space="0" w:color="FFFFFF"/>
              <w:bottom w:val="single" w:sz="24" w:space="0" w:color="FFFFFF"/>
              <w:right w:val="single" w:sz="8" w:space="0" w:color="FFFFFF"/>
            </w:tcBorders>
            <w:shd w:val="clear" w:color="auto" w:fill="auto"/>
            <w:tcMar>
              <w:top w:w="15" w:type="dxa"/>
              <w:left w:w="75" w:type="dxa"/>
              <w:bottom w:w="0" w:type="dxa"/>
              <w:right w:w="75" w:type="dxa"/>
            </w:tcMar>
            <w:vAlign w:val="bottom"/>
          </w:tcPr>
          <w:p w14:paraId="3047F7B1" w14:textId="4D1B1899" w:rsidR="00DA7DEC" w:rsidRPr="00B15A79" w:rsidRDefault="00DA7DEC" w:rsidP="00DA7DEC">
            <w:pPr>
              <w:pStyle w:val="TableTitle"/>
              <w:rPr>
                <w:rFonts w:asciiTheme="majorHAnsi" w:hAnsiTheme="majorHAnsi" w:cstheme="majorHAnsi"/>
                <w:color w:val="000000" w:themeColor="text1"/>
                <w:sz w:val="18"/>
                <w:szCs w:val="18"/>
              </w:rPr>
            </w:pPr>
            <w:bookmarkStart w:id="302" w:name="_Ref524449806"/>
            <w:bookmarkStart w:id="303" w:name="_Toc524636929"/>
            <w:bookmarkStart w:id="304" w:name="_Toc533009192"/>
            <w:r>
              <w:t xml:space="preserve">Table </w:t>
            </w:r>
            <w:r>
              <w:rPr>
                <w:noProof/>
              </w:rPr>
              <w:fldChar w:fldCharType="begin"/>
            </w:r>
            <w:r>
              <w:rPr>
                <w:noProof/>
              </w:rPr>
              <w:instrText xml:space="preserve"> SEQ Table \* ARABIC </w:instrText>
            </w:r>
            <w:r>
              <w:rPr>
                <w:noProof/>
              </w:rPr>
              <w:fldChar w:fldCharType="separate"/>
            </w:r>
            <w:r w:rsidR="008072BC">
              <w:rPr>
                <w:noProof/>
              </w:rPr>
              <w:t>12</w:t>
            </w:r>
            <w:r>
              <w:rPr>
                <w:noProof/>
              </w:rPr>
              <w:fldChar w:fldCharType="end"/>
            </w:r>
            <w:bookmarkEnd w:id="302"/>
            <w:r>
              <w:t>. Single-serve Bottled Water Percent Contribution to Life Cycle Stage by Impact Category</w:t>
            </w:r>
            <w:bookmarkEnd w:id="303"/>
            <w:bookmarkEnd w:id="304"/>
          </w:p>
        </w:tc>
      </w:tr>
      <w:tr w:rsidR="00955482" w:rsidRPr="00B15A79" w14:paraId="72E58C1A" w14:textId="1BC22CC7" w:rsidTr="00DA7DEC">
        <w:trPr>
          <w:trHeight w:val="359"/>
          <w:tblHeader/>
        </w:trPr>
        <w:tc>
          <w:tcPr>
            <w:tcW w:w="807" w:type="pct"/>
            <w:tcBorders>
              <w:top w:val="single" w:sz="8" w:space="0" w:color="FFFFFF"/>
              <w:left w:val="single" w:sz="8" w:space="0" w:color="FFFFFF"/>
              <w:bottom w:val="single" w:sz="24" w:space="0" w:color="FFFFFF"/>
              <w:right w:val="single" w:sz="8" w:space="0" w:color="FFFFFF"/>
            </w:tcBorders>
            <w:shd w:val="clear" w:color="auto" w:fill="BBE0E3"/>
            <w:tcMar>
              <w:top w:w="15" w:type="dxa"/>
              <w:left w:w="75" w:type="dxa"/>
              <w:bottom w:w="0" w:type="dxa"/>
              <w:right w:w="75" w:type="dxa"/>
            </w:tcMar>
            <w:vAlign w:val="bottom"/>
          </w:tcPr>
          <w:p w14:paraId="29D236B8" w14:textId="5F02B985" w:rsidR="00955482" w:rsidRPr="00B15A79" w:rsidRDefault="00955482" w:rsidP="00955482">
            <w:pPr>
              <w:spacing w:after="240"/>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Category</w:t>
            </w:r>
          </w:p>
        </w:tc>
        <w:tc>
          <w:tcPr>
            <w:tcW w:w="558"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0089EBF7" w14:textId="06941FA0" w:rsidR="00955482" w:rsidRPr="00B15A79" w:rsidRDefault="00955482" w:rsidP="00955482">
            <w:pPr>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Raw Material Production</w:t>
            </w:r>
          </w:p>
        </w:tc>
        <w:tc>
          <w:tcPr>
            <w:tcW w:w="564"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462E2245" w14:textId="7B8DFDB6" w:rsidR="00955482" w:rsidRPr="00B15A79" w:rsidRDefault="00955482" w:rsidP="00955482">
            <w:pPr>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Conversion</w:t>
            </w:r>
          </w:p>
        </w:tc>
        <w:tc>
          <w:tcPr>
            <w:tcW w:w="469"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0E0C8DEC" w14:textId="114B1EFD" w:rsidR="00955482" w:rsidRPr="00B15A79" w:rsidRDefault="00955482" w:rsidP="00955482">
            <w:pPr>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Water Treatment</w:t>
            </w:r>
          </w:p>
        </w:tc>
        <w:tc>
          <w:tcPr>
            <w:tcW w:w="379"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12AD53A7" w14:textId="09F08ABC" w:rsidR="00955482" w:rsidRPr="00B15A79" w:rsidRDefault="00955482" w:rsidP="00955482">
            <w:pPr>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Filling</w:t>
            </w:r>
          </w:p>
        </w:tc>
        <w:tc>
          <w:tcPr>
            <w:tcW w:w="610"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7368A171" w14:textId="6C06F1F6" w:rsidR="00955482" w:rsidRPr="00B15A79" w:rsidRDefault="00955482" w:rsidP="00955482">
            <w:pPr>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Transportation to Retail</w:t>
            </w:r>
          </w:p>
        </w:tc>
        <w:tc>
          <w:tcPr>
            <w:tcW w:w="396"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100660DE" w14:textId="617D55E3" w:rsidR="00955482" w:rsidRPr="00B15A79" w:rsidRDefault="00955482" w:rsidP="00955482">
            <w:pPr>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Closure Life Cycle</w:t>
            </w:r>
          </w:p>
        </w:tc>
        <w:tc>
          <w:tcPr>
            <w:tcW w:w="372"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6441C057" w14:textId="2054D87B" w:rsidR="00955482" w:rsidRPr="00B15A79" w:rsidRDefault="00955482" w:rsidP="00955482">
            <w:pPr>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Label Life Cycle</w:t>
            </w:r>
          </w:p>
        </w:tc>
        <w:tc>
          <w:tcPr>
            <w:tcW w:w="463"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497CC769" w14:textId="7201B98D" w:rsidR="00955482" w:rsidRPr="00B15A79" w:rsidRDefault="00955482" w:rsidP="00955482">
            <w:pPr>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Secondary Packaging Life Cycle</w:t>
            </w:r>
          </w:p>
        </w:tc>
        <w:tc>
          <w:tcPr>
            <w:tcW w:w="382"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033C9A59" w14:textId="47385261" w:rsidR="00955482" w:rsidRPr="00B15A79" w:rsidRDefault="00955482" w:rsidP="00955482">
            <w:pPr>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Bottle End-of-Life</w:t>
            </w:r>
          </w:p>
        </w:tc>
      </w:tr>
      <w:tr w:rsidR="00955482" w:rsidRPr="00B15A79" w14:paraId="2A90BCCB" w14:textId="46FA09D2" w:rsidTr="00DA7DEC">
        <w:trPr>
          <w:trHeight w:val="268"/>
        </w:trPr>
        <w:tc>
          <w:tcPr>
            <w:tcW w:w="807" w:type="pct"/>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6B3CC158" w14:textId="56BD2C54" w:rsidR="00955482" w:rsidRPr="00B15A79" w:rsidRDefault="00955482" w:rsidP="00955482">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Acidification Potential</w:t>
            </w:r>
          </w:p>
        </w:tc>
        <w:tc>
          <w:tcPr>
            <w:tcW w:w="558"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14D24F92" w14:textId="5D3E55DF"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39%</w:t>
            </w:r>
          </w:p>
        </w:tc>
        <w:tc>
          <w:tcPr>
            <w:tcW w:w="564"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63435E97" w14:textId="7F1C29FC"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36%</w:t>
            </w:r>
          </w:p>
        </w:tc>
        <w:tc>
          <w:tcPr>
            <w:tcW w:w="469"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229FCD7F" w14:textId="3294AF04"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379"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679B5834" w14:textId="7B5938C7"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w:t>
            </w:r>
          </w:p>
        </w:tc>
        <w:tc>
          <w:tcPr>
            <w:tcW w:w="610"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387E8966" w14:textId="51A9F9A1"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12%</w:t>
            </w:r>
          </w:p>
        </w:tc>
        <w:tc>
          <w:tcPr>
            <w:tcW w:w="396"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6969EBF0" w14:textId="5638A355"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6%</w:t>
            </w:r>
          </w:p>
        </w:tc>
        <w:tc>
          <w:tcPr>
            <w:tcW w:w="372"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7D7096E6" w14:textId="63DF56EE"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3%</w:t>
            </w:r>
          </w:p>
        </w:tc>
        <w:tc>
          <w:tcPr>
            <w:tcW w:w="463"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6359DE27" w14:textId="275987F0"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4%</w:t>
            </w:r>
          </w:p>
        </w:tc>
        <w:tc>
          <w:tcPr>
            <w:tcW w:w="382"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01578DB2" w14:textId="6F7B6498"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r>
      <w:tr w:rsidR="00955482" w:rsidRPr="00B15A79" w14:paraId="65EA9977" w14:textId="16E385F6" w:rsidTr="00DA7DEC">
        <w:trPr>
          <w:trHeight w:val="268"/>
        </w:trPr>
        <w:tc>
          <w:tcPr>
            <w:tcW w:w="807"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0DA78DD8" w14:textId="0D2F9A2F" w:rsidR="00955482" w:rsidRPr="00B15A79" w:rsidRDefault="00955482" w:rsidP="00955482">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Cumulative Energy Demand</w:t>
            </w:r>
          </w:p>
        </w:tc>
        <w:tc>
          <w:tcPr>
            <w:tcW w:w="558"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6FF93FA1" w14:textId="02CC1674"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51%</w:t>
            </w:r>
          </w:p>
        </w:tc>
        <w:tc>
          <w:tcPr>
            <w:tcW w:w="56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480AEB1D" w14:textId="320AC456"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16%</w:t>
            </w:r>
          </w:p>
        </w:tc>
        <w:tc>
          <w:tcPr>
            <w:tcW w:w="469"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3523F36" w14:textId="3D0A3689"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379"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54FBAFA" w14:textId="2C532C6C"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610"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9E506C6" w14:textId="4A4BB7A3"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8%</w:t>
            </w:r>
          </w:p>
        </w:tc>
        <w:tc>
          <w:tcPr>
            <w:tcW w:w="39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2419606" w14:textId="466930F9"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9%</w:t>
            </w:r>
          </w:p>
        </w:tc>
        <w:tc>
          <w:tcPr>
            <w:tcW w:w="372"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70070A3" w14:textId="2D01E4E6"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4%</w:t>
            </w:r>
          </w:p>
        </w:tc>
        <w:tc>
          <w:tcPr>
            <w:tcW w:w="46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6EDE885" w14:textId="56C3E0A6"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11%</w:t>
            </w:r>
          </w:p>
        </w:tc>
        <w:tc>
          <w:tcPr>
            <w:tcW w:w="382"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196ECDC" w14:textId="7150C3C9"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r>
      <w:tr w:rsidR="00955482" w:rsidRPr="00B15A79" w14:paraId="5D3059CB" w14:textId="060985A3" w:rsidTr="00DA7DEC">
        <w:trPr>
          <w:trHeight w:val="268"/>
        </w:trPr>
        <w:tc>
          <w:tcPr>
            <w:tcW w:w="807"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740E5394" w14:textId="5435FD24" w:rsidR="00955482" w:rsidRPr="00B15A79" w:rsidRDefault="00955482" w:rsidP="00955482">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Eutrophication Potential</w:t>
            </w:r>
          </w:p>
        </w:tc>
        <w:tc>
          <w:tcPr>
            <w:tcW w:w="558"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64A93D70" w14:textId="75BC9A3F"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49%</w:t>
            </w:r>
          </w:p>
        </w:tc>
        <w:tc>
          <w:tcPr>
            <w:tcW w:w="56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4BA6E873" w14:textId="5B14E311"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20%</w:t>
            </w:r>
          </w:p>
        </w:tc>
        <w:tc>
          <w:tcPr>
            <w:tcW w:w="469"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8231B10" w14:textId="0439DA77"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3%</w:t>
            </w:r>
          </w:p>
        </w:tc>
        <w:tc>
          <w:tcPr>
            <w:tcW w:w="379"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5D204B0" w14:textId="2C4052BF"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6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2EBECF5" w14:textId="0527B34C"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18%</w:t>
            </w:r>
          </w:p>
        </w:tc>
        <w:tc>
          <w:tcPr>
            <w:tcW w:w="39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FEE45F2" w14:textId="6D597180"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4%</w:t>
            </w:r>
          </w:p>
        </w:tc>
        <w:tc>
          <w:tcPr>
            <w:tcW w:w="372"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E269E14" w14:textId="6C597C7B"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2%</w:t>
            </w:r>
          </w:p>
        </w:tc>
        <w:tc>
          <w:tcPr>
            <w:tcW w:w="46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A8B3789" w14:textId="45B0D450"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3%</w:t>
            </w:r>
          </w:p>
        </w:tc>
        <w:tc>
          <w:tcPr>
            <w:tcW w:w="382"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658618B" w14:textId="154AAAF6"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w:t>
            </w:r>
          </w:p>
        </w:tc>
      </w:tr>
      <w:tr w:rsidR="00955482" w:rsidRPr="00B15A79" w14:paraId="2B3066DF" w14:textId="77A2F0D7" w:rsidTr="00DA7DEC">
        <w:trPr>
          <w:trHeight w:val="268"/>
        </w:trPr>
        <w:tc>
          <w:tcPr>
            <w:tcW w:w="807"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22F1AEAB" w14:textId="4F60B944" w:rsidR="00955482" w:rsidRPr="00B15A79" w:rsidRDefault="00955482" w:rsidP="00955482">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 xml:space="preserve">Fossil </w:t>
            </w:r>
            <w:r w:rsidR="006F4495">
              <w:rPr>
                <w:rFonts w:asciiTheme="majorHAnsi" w:hAnsiTheme="majorHAnsi" w:cstheme="majorHAnsi"/>
                <w:b/>
                <w:color w:val="000000"/>
                <w:sz w:val="18"/>
                <w:szCs w:val="18"/>
              </w:rPr>
              <w:t xml:space="preserve">Fuel </w:t>
            </w:r>
            <w:r w:rsidRPr="00B15A79">
              <w:rPr>
                <w:rFonts w:asciiTheme="majorHAnsi" w:hAnsiTheme="majorHAnsi" w:cstheme="majorHAnsi"/>
                <w:b/>
                <w:color w:val="000000"/>
                <w:sz w:val="18"/>
                <w:szCs w:val="18"/>
              </w:rPr>
              <w:t>Depletion</w:t>
            </w:r>
          </w:p>
        </w:tc>
        <w:tc>
          <w:tcPr>
            <w:tcW w:w="558"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2CC69B82" w14:textId="05C6CD9A"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53%</w:t>
            </w:r>
          </w:p>
        </w:tc>
        <w:tc>
          <w:tcPr>
            <w:tcW w:w="56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5A488558" w14:textId="059DDD5D"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15%</w:t>
            </w:r>
          </w:p>
        </w:tc>
        <w:tc>
          <w:tcPr>
            <w:tcW w:w="469"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397558A" w14:textId="3DE3F11A"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379"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FB951E5" w14:textId="1B6F6993"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610"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2844CAE" w14:textId="42F5EEED"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9%</w:t>
            </w:r>
          </w:p>
        </w:tc>
        <w:tc>
          <w:tcPr>
            <w:tcW w:w="39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87E68E7" w14:textId="5C78D139"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8%</w:t>
            </w:r>
          </w:p>
        </w:tc>
        <w:tc>
          <w:tcPr>
            <w:tcW w:w="372"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51D411E" w14:textId="5EF30AF9"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4%</w:t>
            </w:r>
          </w:p>
        </w:tc>
        <w:tc>
          <w:tcPr>
            <w:tcW w:w="46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E57EAA7" w14:textId="6193FC54"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10%</w:t>
            </w:r>
          </w:p>
        </w:tc>
        <w:tc>
          <w:tcPr>
            <w:tcW w:w="382"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0FE5A72" w14:textId="1F9359EF"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r>
      <w:tr w:rsidR="00955482" w:rsidRPr="00B15A79" w14:paraId="2BE4ECD8" w14:textId="78E0A871" w:rsidTr="00DA7DEC">
        <w:trPr>
          <w:trHeight w:val="268"/>
        </w:trPr>
        <w:tc>
          <w:tcPr>
            <w:tcW w:w="807"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7AE7540C" w14:textId="4EC09114" w:rsidR="00955482" w:rsidRPr="00B15A79" w:rsidRDefault="00955482" w:rsidP="00955482">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Global Warming Potential</w:t>
            </w:r>
          </w:p>
        </w:tc>
        <w:tc>
          <w:tcPr>
            <w:tcW w:w="558"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179044CD" w14:textId="2E173E35"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43%</w:t>
            </w:r>
          </w:p>
        </w:tc>
        <w:tc>
          <w:tcPr>
            <w:tcW w:w="56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14AC2A71" w14:textId="234FD12F"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22%</w:t>
            </w:r>
          </w:p>
        </w:tc>
        <w:tc>
          <w:tcPr>
            <w:tcW w:w="469"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32F7670E" w14:textId="7A429ACC"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379"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8395216" w14:textId="02E333D0"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6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2104E10" w14:textId="09761295"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12%</w:t>
            </w:r>
          </w:p>
        </w:tc>
        <w:tc>
          <w:tcPr>
            <w:tcW w:w="39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68F89BE" w14:textId="2E8FD3E2"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7%</w:t>
            </w:r>
          </w:p>
        </w:tc>
        <w:tc>
          <w:tcPr>
            <w:tcW w:w="372"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19ECF73" w14:textId="11300175"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3%</w:t>
            </w:r>
          </w:p>
        </w:tc>
        <w:tc>
          <w:tcPr>
            <w:tcW w:w="46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4895248" w14:textId="1ECB38F7"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9%</w:t>
            </w:r>
          </w:p>
        </w:tc>
        <w:tc>
          <w:tcPr>
            <w:tcW w:w="382"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DAAFFDE" w14:textId="5B6333DB"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4%</w:t>
            </w:r>
          </w:p>
        </w:tc>
      </w:tr>
      <w:tr w:rsidR="00955482" w:rsidRPr="00B15A79" w14:paraId="6A4293DE" w14:textId="0426DB91" w:rsidTr="00DA7DEC">
        <w:trPr>
          <w:trHeight w:val="268"/>
        </w:trPr>
        <w:tc>
          <w:tcPr>
            <w:tcW w:w="807"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085EF25D" w14:textId="135E3D4A" w:rsidR="00955482" w:rsidRPr="00B15A79" w:rsidRDefault="00955482" w:rsidP="00955482">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Particulate Matter Formation Potential</w:t>
            </w:r>
          </w:p>
        </w:tc>
        <w:tc>
          <w:tcPr>
            <w:tcW w:w="558"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3D848FBC" w14:textId="4E31B29F"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45%</w:t>
            </w:r>
          </w:p>
        </w:tc>
        <w:tc>
          <w:tcPr>
            <w:tcW w:w="56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218AF0BF" w14:textId="4C48C3FB"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31%</w:t>
            </w:r>
          </w:p>
        </w:tc>
        <w:tc>
          <w:tcPr>
            <w:tcW w:w="469"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A94EA3C" w14:textId="12E31C57"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379"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DEAB931" w14:textId="29915B02"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w:t>
            </w:r>
          </w:p>
        </w:tc>
        <w:tc>
          <w:tcPr>
            <w:tcW w:w="610"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AEA9360" w14:textId="3A5E530A"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9%</w:t>
            </w:r>
          </w:p>
        </w:tc>
        <w:tc>
          <w:tcPr>
            <w:tcW w:w="39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424CFA0" w14:textId="733DC682"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6%</w:t>
            </w:r>
          </w:p>
        </w:tc>
        <w:tc>
          <w:tcPr>
            <w:tcW w:w="372"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59892D2" w14:textId="16F78870"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3%</w:t>
            </w:r>
          </w:p>
        </w:tc>
        <w:tc>
          <w:tcPr>
            <w:tcW w:w="46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94580D8" w14:textId="16320294"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5%</w:t>
            </w:r>
          </w:p>
        </w:tc>
        <w:tc>
          <w:tcPr>
            <w:tcW w:w="382"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1C1FD13" w14:textId="7B4446ED"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w:t>
            </w:r>
          </w:p>
        </w:tc>
      </w:tr>
      <w:tr w:rsidR="00955482" w:rsidRPr="00B15A79" w14:paraId="060708E4" w14:textId="6A16B2F8" w:rsidTr="00DA7DEC">
        <w:trPr>
          <w:trHeight w:val="268"/>
        </w:trPr>
        <w:tc>
          <w:tcPr>
            <w:tcW w:w="807"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172FAC9A" w14:textId="67126FCB" w:rsidR="00955482" w:rsidRPr="00B15A79" w:rsidRDefault="00955482" w:rsidP="00955482">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Smog Formation Potential</w:t>
            </w:r>
          </w:p>
        </w:tc>
        <w:tc>
          <w:tcPr>
            <w:tcW w:w="558"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1AFD5A94" w14:textId="16660AA8"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40%</w:t>
            </w:r>
          </w:p>
        </w:tc>
        <w:tc>
          <w:tcPr>
            <w:tcW w:w="56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04888FF3" w14:textId="7871A918"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26%</w:t>
            </w:r>
          </w:p>
        </w:tc>
        <w:tc>
          <w:tcPr>
            <w:tcW w:w="469"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06AAA34" w14:textId="77B904B0"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379"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7102BFD" w14:textId="65F4CE18"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6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931765B" w14:textId="60725828"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22%</w:t>
            </w:r>
          </w:p>
        </w:tc>
        <w:tc>
          <w:tcPr>
            <w:tcW w:w="39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99666E3" w14:textId="0D0438AF"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5%</w:t>
            </w:r>
          </w:p>
        </w:tc>
        <w:tc>
          <w:tcPr>
            <w:tcW w:w="372"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6B3EE35" w14:textId="5C176042"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2%</w:t>
            </w:r>
          </w:p>
        </w:tc>
        <w:tc>
          <w:tcPr>
            <w:tcW w:w="46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FC6539A" w14:textId="02CE2B91"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4%</w:t>
            </w:r>
          </w:p>
        </w:tc>
        <w:tc>
          <w:tcPr>
            <w:tcW w:w="382"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3DCB19C" w14:textId="12451A4F"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w:t>
            </w:r>
          </w:p>
        </w:tc>
      </w:tr>
      <w:tr w:rsidR="00955482" w:rsidRPr="00B15A79" w14:paraId="3C7E4D85" w14:textId="44965529" w:rsidTr="00DA7DEC">
        <w:trPr>
          <w:trHeight w:val="268"/>
        </w:trPr>
        <w:tc>
          <w:tcPr>
            <w:tcW w:w="807"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56ECBB5D" w14:textId="258A9230" w:rsidR="00955482" w:rsidRPr="00B15A79" w:rsidRDefault="00955482" w:rsidP="00955482">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Solid Waste by Weight</w:t>
            </w:r>
          </w:p>
        </w:tc>
        <w:tc>
          <w:tcPr>
            <w:tcW w:w="558"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52DCC2E3" w14:textId="5CCA1B0A"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12%</w:t>
            </w:r>
          </w:p>
        </w:tc>
        <w:tc>
          <w:tcPr>
            <w:tcW w:w="564"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vAlign w:val="center"/>
          </w:tcPr>
          <w:p w14:paraId="7A2D7213" w14:textId="499641D2"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13%</w:t>
            </w:r>
          </w:p>
        </w:tc>
        <w:tc>
          <w:tcPr>
            <w:tcW w:w="469"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226E05EC" w14:textId="43EE63E8"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379"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1E5F278" w14:textId="41731CA5"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610"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999E7F7" w14:textId="508A77FD"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1%</w:t>
            </w:r>
          </w:p>
        </w:tc>
        <w:tc>
          <w:tcPr>
            <w:tcW w:w="39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064D29C" w14:textId="46A5CBD5"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8%</w:t>
            </w:r>
          </w:p>
        </w:tc>
        <w:tc>
          <w:tcPr>
            <w:tcW w:w="372"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5648BB7" w14:textId="75D590AA"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6%</w:t>
            </w:r>
          </w:p>
        </w:tc>
        <w:tc>
          <w:tcPr>
            <w:tcW w:w="463"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D50A327" w14:textId="4DBDF883"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11%</w:t>
            </w:r>
          </w:p>
        </w:tc>
        <w:tc>
          <w:tcPr>
            <w:tcW w:w="382"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64DD52B" w14:textId="19662067"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49%</w:t>
            </w:r>
          </w:p>
        </w:tc>
      </w:tr>
      <w:tr w:rsidR="00955482" w:rsidRPr="00B15A79" w14:paraId="6936856F" w14:textId="02F7B335" w:rsidTr="00DA7DEC">
        <w:trPr>
          <w:trHeight w:val="268"/>
        </w:trPr>
        <w:tc>
          <w:tcPr>
            <w:tcW w:w="807"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5470C2A7" w14:textId="32F08C5F" w:rsidR="00955482" w:rsidRPr="00B15A79" w:rsidRDefault="00955482" w:rsidP="00955482">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Water Consumption</w:t>
            </w:r>
          </w:p>
        </w:tc>
        <w:tc>
          <w:tcPr>
            <w:tcW w:w="558"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04E86A9F" w14:textId="5CA68A4C" w:rsidR="00955482" w:rsidRPr="00B15A79" w:rsidRDefault="00955482" w:rsidP="00955482">
            <w:pPr>
              <w:jc w:val="center"/>
              <w:rPr>
                <w:rFonts w:asciiTheme="majorHAnsi" w:hAnsiTheme="majorHAnsi" w:cstheme="majorHAnsi"/>
                <w:sz w:val="18"/>
                <w:szCs w:val="18"/>
              </w:rPr>
            </w:pPr>
            <w:r w:rsidRPr="00B15A79">
              <w:rPr>
                <w:rFonts w:asciiTheme="majorHAnsi" w:hAnsiTheme="majorHAnsi" w:cstheme="majorHAnsi"/>
                <w:color w:val="000000"/>
                <w:sz w:val="18"/>
                <w:szCs w:val="18"/>
              </w:rPr>
              <w:t>11%</w:t>
            </w:r>
          </w:p>
        </w:tc>
        <w:tc>
          <w:tcPr>
            <w:tcW w:w="564"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vAlign w:val="center"/>
          </w:tcPr>
          <w:p w14:paraId="634F0317" w14:textId="348D513A"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10%</w:t>
            </w:r>
          </w:p>
        </w:tc>
        <w:tc>
          <w:tcPr>
            <w:tcW w:w="469"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94EC99F" w14:textId="29240FA2"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72%</w:t>
            </w:r>
          </w:p>
        </w:tc>
        <w:tc>
          <w:tcPr>
            <w:tcW w:w="379"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E99B286" w14:textId="13153509"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c>
          <w:tcPr>
            <w:tcW w:w="6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4D33EDC" w14:textId="3332714D"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2%</w:t>
            </w:r>
          </w:p>
        </w:tc>
        <w:tc>
          <w:tcPr>
            <w:tcW w:w="39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71F31A0" w14:textId="50C76CFA"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2%</w:t>
            </w:r>
          </w:p>
        </w:tc>
        <w:tc>
          <w:tcPr>
            <w:tcW w:w="372"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0AE661E" w14:textId="2E4F9012"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1%</w:t>
            </w:r>
          </w:p>
        </w:tc>
        <w:tc>
          <w:tcPr>
            <w:tcW w:w="46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D9049BE" w14:textId="4526AB61"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2%</w:t>
            </w:r>
          </w:p>
        </w:tc>
        <w:tc>
          <w:tcPr>
            <w:tcW w:w="382"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3A2B0E6" w14:textId="72EDF850" w:rsidR="00955482" w:rsidRPr="00B15A79" w:rsidRDefault="00955482" w:rsidP="00955482">
            <w:pPr>
              <w:tabs>
                <w:tab w:val="clear" w:pos="720"/>
              </w:tabs>
              <w:jc w:val="center"/>
              <w:rPr>
                <w:rFonts w:asciiTheme="majorHAnsi" w:hAnsiTheme="majorHAnsi" w:cstheme="majorHAnsi"/>
                <w:sz w:val="18"/>
                <w:szCs w:val="18"/>
              </w:rPr>
            </w:pPr>
            <w:r w:rsidRPr="00B15A79">
              <w:rPr>
                <w:rFonts w:asciiTheme="majorHAnsi" w:hAnsiTheme="majorHAnsi" w:cstheme="majorHAnsi"/>
                <w:color w:val="000000"/>
                <w:sz w:val="18"/>
                <w:szCs w:val="18"/>
              </w:rPr>
              <w:t>0%</w:t>
            </w:r>
          </w:p>
        </w:tc>
      </w:tr>
    </w:tbl>
    <w:p w14:paraId="7EE7C7FC" w14:textId="77777777" w:rsidR="00411664" w:rsidRPr="00955482" w:rsidRDefault="00411664" w:rsidP="00955482"/>
    <w:tbl>
      <w:tblPr>
        <w:tblW w:w="5000" w:type="pct"/>
        <w:tblCellMar>
          <w:left w:w="0" w:type="dxa"/>
          <w:right w:w="0" w:type="dxa"/>
        </w:tblCellMar>
        <w:tblLook w:val="04A0" w:firstRow="1" w:lastRow="0" w:firstColumn="1" w:lastColumn="0" w:noHBand="0" w:noVBand="1"/>
      </w:tblPr>
      <w:tblGrid>
        <w:gridCol w:w="1525"/>
        <w:gridCol w:w="962"/>
        <w:gridCol w:w="80"/>
        <w:gridCol w:w="970"/>
        <w:gridCol w:w="84"/>
        <w:gridCol w:w="854"/>
        <w:gridCol w:w="676"/>
        <w:gridCol w:w="1139"/>
        <w:gridCol w:w="676"/>
        <w:gridCol w:w="9"/>
        <w:gridCol w:w="919"/>
        <w:gridCol w:w="19"/>
        <w:gridCol w:w="659"/>
        <w:gridCol w:w="17"/>
        <w:gridCol w:w="751"/>
      </w:tblGrid>
      <w:tr w:rsidR="00B17F75" w:rsidRPr="00B15A79" w14:paraId="222ABDCA" w14:textId="77777777" w:rsidTr="00486E69">
        <w:trPr>
          <w:trHeight w:val="364"/>
          <w:tblHeader/>
        </w:trPr>
        <w:tc>
          <w:tcPr>
            <w:tcW w:w="5000" w:type="pct"/>
            <w:gridSpan w:val="15"/>
            <w:tcBorders>
              <w:top w:val="single" w:sz="8" w:space="0" w:color="FFFFFF"/>
              <w:left w:val="single" w:sz="8" w:space="0" w:color="FFFFFF"/>
              <w:right w:val="single" w:sz="8" w:space="0" w:color="FFFFFF"/>
            </w:tcBorders>
            <w:shd w:val="clear" w:color="auto" w:fill="auto"/>
            <w:tcMar>
              <w:top w:w="15" w:type="dxa"/>
              <w:left w:w="75" w:type="dxa"/>
              <w:bottom w:w="0" w:type="dxa"/>
              <w:right w:w="75" w:type="dxa"/>
            </w:tcMar>
            <w:vAlign w:val="bottom"/>
          </w:tcPr>
          <w:p w14:paraId="6F260F6D" w14:textId="102AE31D" w:rsidR="00B17F75" w:rsidRPr="00B15A79" w:rsidRDefault="00B17F75" w:rsidP="00B17F75">
            <w:pPr>
              <w:pStyle w:val="TableTitle"/>
              <w:rPr>
                <w:rFonts w:ascii="Calibri" w:hAnsi="Calibri" w:cs="Calibri"/>
                <w:color w:val="000000" w:themeColor="text1"/>
                <w:sz w:val="18"/>
                <w:szCs w:val="18"/>
              </w:rPr>
            </w:pPr>
            <w:bookmarkStart w:id="305" w:name="_Ref524450327"/>
            <w:bookmarkStart w:id="306" w:name="_Toc524636930"/>
            <w:bookmarkStart w:id="307" w:name="_Toc533009193"/>
            <w:r>
              <w:t xml:space="preserve">Table </w:t>
            </w:r>
            <w:r>
              <w:rPr>
                <w:noProof/>
              </w:rPr>
              <w:fldChar w:fldCharType="begin"/>
            </w:r>
            <w:r>
              <w:rPr>
                <w:noProof/>
              </w:rPr>
              <w:instrText xml:space="preserve"> SEQ Table \* ARABIC </w:instrText>
            </w:r>
            <w:r>
              <w:rPr>
                <w:noProof/>
              </w:rPr>
              <w:fldChar w:fldCharType="separate"/>
            </w:r>
            <w:r w:rsidR="008072BC">
              <w:rPr>
                <w:noProof/>
              </w:rPr>
              <w:t>13</w:t>
            </w:r>
            <w:r>
              <w:rPr>
                <w:noProof/>
              </w:rPr>
              <w:fldChar w:fldCharType="end"/>
            </w:r>
            <w:bookmarkEnd w:id="305"/>
            <w:r>
              <w:t>. Multi-Serve Bottled Water Percent Contribution to Life Cycle Stage by Impact Category</w:t>
            </w:r>
            <w:bookmarkEnd w:id="306"/>
            <w:bookmarkEnd w:id="307"/>
          </w:p>
        </w:tc>
      </w:tr>
      <w:tr w:rsidR="00210558" w:rsidRPr="00B15A79" w14:paraId="5C9F2790" w14:textId="77777777" w:rsidTr="00C2799F">
        <w:trPr>
          <w:trHeight w:val="364"/>
          <w:tblHeader/>
        </w:trPr>
        <w:tc>
          <w:tcPr>
            <w:tcW w:w="816" w:type="pct"/>
            <w:tcBorders>
              <w:top w:val="single" w:sz="8" w:space="0" w:color="FFFFFF"/>
              <w:left w:val="single" w:sz="8" w:space="0" w:color="FFFFFF"/>
              <w:bottom w:val="single" w:sz="24" w:space="0" w:color="FFFFFF"/>
              <w:right w:val="single" w:sz="8" w:space="0" w:color="FFFFFF"/>
            </w:tcBorders>
            <w:shd w:val="clear" w:color="auto" w:fill="BBE0E3"/>
            <w:tcMar>
              <w:top w:w="15" w:type="dxa"/>
              <w:left w:w="75" w:type="dxa"/>
              <w:bottom w:w="0" w:type="dxa"/>
              <w:right w:w="75" w:type="dxa"/>
            </w:tcMar>
            <w:vAlign w:val="bottom"/>
          </w:tcPr>
          <w:p w14:paraId="7ADF86D4" w14:textId="77777777" w:rsidR="00955482" w:rsidRPr="00B15A79" w:rsidRDefault="00955482" w:rsidP="00955482">
            <w:pPr>
              <w:spacing w:after="240"/>
              <w:jc w:val="center"/>
              <w:rPr>
                <w:rFonts w:asciiTheme="majorHAnsi" w:hAnsiTheme="majorHAnsi" w:cstheme="majorHAnsi"/>
                <w:b/>
                <w:color w:val="000000" w:themeColor="text1"/>
                <w:sz w:val="18"/>
                <w:szCs w:val="18"/>
              </w:rPr>
            </w:pPr>
            <w:r w:rsidRPr="00B15A79">
              <w:rPr>
                <w:rFonts w:asciiTheme="majorHAnsi" w:hAnsiTheme="majorHAnsi" w:cstheme="majorHAnsi"/>
                <w:b/>
                <w:color w:val="000000" w:themeColor="text1"/>
                <w:sz w:val="18"/>
                <w:szCs w:val="18"/>
              </w:rPr>
              <w:t>Category</w:t>
            </w:r>
          </w:p>
        </w:tc>
        <w:tc>
          <w:tcPr>
            <w:tcW w:w="558" w:type="pct"/>
            <w:gridSpan w:val="2"/>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6C4466B4" w14:textId="32FC1985" w:rsidR="00955482" w:rsidRPr="00B15A79" w:rsidRDefault="00955482" w:rsidP="00955482">
            <w:pPr>
              <w:jc w:val="center"/>
              <w:rPr>
                <w:rFonts w:asciiTheme="majorHAnsi" w:hAnsiTheme="majorHAnsi" w:cstheme="majorHAnsi"/>
                <w:b/>
                <w:color w:val="000000" w:themeColor="text1"/>
                <w:sz w:val="18"/>
                <w:szCs w:val="18"/>
              </w:rPr>
            </w:pPr>
            <w:r w:rsidRPr="00B15A79">
              <w:rPr>
                <w:rFonts w:ascii="Calibri" w:hAnsi="Calibri" w:cs="Calibri"/>
                <w:b/>
                <w:color w:val="000000" w:themeColor="text1"/>
                <w:sz w:val="18"/>
                <w:szCs w:val="18"/>
              </w:rPr>
              <w:t>Raw Material Production</w:t>
            </w:r>
          </w:p>
        </w:tc>
        <w:tc>
          <w:tcPr>
            <w:tcW w:w="564" w:type="pct"/>
            <w:gridSpan w:val="2"/>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172509B2" w14:textId="0C6BC688" w:rsidR="00955482" w:rsidRPr="00B15A79" w:rsidRDefault="00955482" w:rsidP="00955482">
            <w:pPr>
              <w:jc w:val="center"/>
              <w:rPr>
                <w:rFonts w:asciiTheme="majorHAnsi" w:hAnsiTheme="majorHAnsi" w:cstheme="majorHAnsi"/>
                <w:b/>
                <w:color w:val="000000" w:themeColor="text1"/>
                <w:sz w:val="18"/>
                <w:szCs w:val="18"/>
              </w:rPr>
            </w:pPr>
            <w:r w:rsidRPr="00B15A79">
              <w:rPr>
                <w:rFonts w:ascii="Calibri" w:hAnsi="Calibri" w:cs="Calibri"/>
                <w:b/>
                <w:color w:val="000000" w:themeColor="text1"/>
                <w:sz w:val="18"/>
                <w:szCs w:val="18"/>
              </w:rPr>
              <w:t>Conversion</w:t>
            </w:r>
          </w:p>
        </w:tc>
        <w:tc>
          <w:tcPr>
            <w:tcW w:w="457"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02F1A059" w14:textId="1DAC0043" w:rsidR="00955482" w:rsidRPr="00B15A79" w:rsidRDefault="00955482" w:rsidP="00955482">
            <w:pPr>
              <w:jc w:val="center"/>
              <w:rPr>
                <w:rFonts w:asciiTheme="majorHAnsi" w:hAnsiTheme="majorHAnsi" w:cstheme="majorHAnsi"/>
                <w:b/>
                <w:color w:val="000000" w:themeColor="text1"/>
                <w:sz w:val="18"/>
                <w:szCs w:val="18"/>
              </w:rPr>
            </w:pPr>
            <w:r w:rsidRPr="00B15A79">
              <w:rPr>
                <w:rFonts w:ascii="Calibri" w:hAnsi="Calibri" w:cs="Calibri"/>
                <w:b/>
                <w:color w:val="000000" w:themeColor="text1"/>
                <w:sz w:val="18"/>
                <w:szCs w:val="18"/>
              </w:rPr>
              <w:t>Water Treatment</w:t>
            </w:r>
          </w:p>
        </w:tc>
        <w:tc>
          <w:tcPr>
            <w:tcW w:w="362"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0AA13008" w14:textId="6A92CE4C" w:rsidR="00955482" w:rsidRPr="00B15A79" w:rsidRDefault="00955482" w:rsidP="00955482">
            <w:pPr>
              <w:jc w:val="center"/>
              <w:rPr>
                <w:rFonts w:asciiTheme="majorHAnsi" w:hAnsiTheme="majorHAnsi" w:cstheme="majorHAnsi"/>
                <w:b/>
                <w:color w:val="000000" w:themeColor="text1"/>
                <w:sz w:val="18"/>
                <w:szCs w:val="18"/>
              </w:rPr>
            </w:pPr>
            <w:r w:rsidRPr="00B15A79">
              <w:rPr>
                <w:rFonts w:ascii="Calibri" w:hAnsi="Calibri" w:cs="Calibri"/>
                <w:b/>
                <w:color w:val="000000" w:themeColor="text1"/>
                <w:sz w:val="18"/>
                <w:szCs w:val="18"/>
              </w:rPr>
              <w:t>Filling</w:t>
            </w:r>
          </w:p>
        </w:tc>
        <w:tc>
          <w:tcPr>
            <w:tcW w:w="610"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64BC5123" w14:textId="1D013026" w:rsidR="00955482" w:rsidRPr="00B15A79" w:rsidRDefault="00955482" w:rsidP="00955482">
            <w:pPr>
              <w:jc w:val="center"/>
              <w:rPr>
                <w:rFonts w:asciiTheme="majorHAnsi" w:hAnsiTheme="majorHAnsi" w:cstheme="majorHAnsi"/>
                <w:b/>
                <w:color w:val="000000" w:themeColor="text1"/>
                <w:sz w:val="18"/>
                <w:szCs w:val="18"/>
              </w:rPr>
            </w:pPr>
            <w:r w:rsidRPr="00B15A79">
              <w:rPr>
                <w:rFonts w:ascii="Calibri" w:hAnsi="Calibri" w:cs="Calibri"/>
                <w:b/>
                <w:color w:val="000000" w:themeColor="text1"/>
                <w:sz w:val="18"/>
                <w:szCs w:val="18"/>
              </w:rPr>
              <w:t>Transportation to and from User</w:t>
            </w:r>
          </w:p>
        </w:tc>
        <w:tc>
          <w:tcPr>
            <w:tcW w:w="362"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27819F52" w14:textId="51A0E2EB" w:rsidR="00955482" w:rsidRPr="00B15A79" w:rsidRDefault="00955482" w:rsidP="00955482">
            <w:pPr>
              <w:jc w:val="center"/>
              <w:rPr>
                <w:rFonts w:asciiTheme="majorHAnsi" w:hAnsiTheme="majorHAnsi" w:cstheme="majorHAnsi"/>
                <w:b/>
                <w:color w:val="000000" w:themeColor="text1"/>
                <w:sz w:val="18"/>
                <w:szCs w:val="18"/>
              </w:rPr>
            </w:pPr>
            <w:r w:rsidRPr="00B15A79">
              <w:rPr>
                <w:rFonts w:ascii="Calibri" w:hAnsi="Calibri" w:cs="Calibri"/>
                <w:b/>
                <w:color w:val="000000" w:themeColor="text1"/>
                <w:sz w:val="18"/>
                <w:szCs w:val="18"/>
              </w:rPr>
              <w:t>Closure Life Cycle</w:t>
            </w:r>
          </w:p>
        </w:tc>
        <w:tc>
          <w:tcPr>
            <w:tcW w:w="497" w:type="pct"/>
            <w:gridSpan w:val="2"/>
            <w:tcBorders>
              <w:top w:val="single" w:sz="8" w:space="0" w:color="FFFFFF"/>
              <w:left w:val="single" w:sz="8" w:space="0" w:color="FFFFFF"/>
              <w:bottom w:val="single" w:sz="24" w:space="0" w:color="FFFFFF"/>
              <w:right w:val="single" w:sz="8" w:space="0" w:color="FFFFFF"/>
            </w:tcBorders>
            <w:shd w:val="clear" w:color="auto" w:fill="BBE0E3"/>
            <w:vAlign w:val="bottom"/>
          </w:tcPr>
          <w:p w14:paraId="32C9E1C2" w14:textId="242E254B" w:rsidR="00955482" w:rsidRPr="00B15A79" w:rsidRDefault="00955482" w:rsidP="00955482">
            <w:pPr>
              <w:jc w:val="center"/>
              <w:rPr>
                <w:rFonts w:asciiTheme="majorHAnsi" w:hAnsiTheme="majorHAnsi" w:cstheme="majorHAnsi"/>
                <w:b/>
                <w:color w:val="000000" w:themeColor="text1"/>
                <w:sz w:val="18"/>
                <w:szCs w:val="18"/>
              </w:rPr>
            </w:pPr>
            <w:r w:rsidRPr="00B15A79">
              <w:rPr>
                <w:rFonts w:ascii="Calibri" w:hAnsi="Calibri" w:cs="Calibri"/>
                <w:b/>
                <w:color w:val="000000" w:themeColor="text1"/>
                <w:sz w:val="18"/>
                <w:szCs w:val="18"/>
              </w:rPr>
              <w:t>Reusable Container Washing</w:t>
            </w:r>
          </w:p>
        </w:tc>
        <w:tc>
          <w:tcPr>
            <w:tcW w:w="363" w:type="pct"/>
            <w:gridSpan w:val="2"/>
            <w:tcBorders>
              <w:top w:val="single" w:sz="8" w:space="0" w:color="FFFFFF"/>
              <w:left w:val="single" w:sz="8" w:space="0" w:color="FFFFFF"/>
              <w:bottom w:val="single" w:sz="24" w:space="0" w:color="FFFFFF"/>
              <w:right w:val="single" w:sz="8" w:space="0" w:color="FFFFFF"/>
            </w:tcBorders>
            <w:shd w:val="clear" w:color="auto" w:fill="BBE0E3"/>
            <w:vAlign w:val="bottom"/>
          </w:tcPr>
          <w:p w14:paraId="05E6A892" w14:textId="19597282" w:rsidR="00955482" w:rsidRPr="00B15A79" w:rsidRDefault="00955482" w:rsidP="00955482">
            <w:pPr>
              <w:jc w:val="center"/>
              <w:rPr>
                <w:rFonts w:asciiTheme="majorHAnsi" w:hAnsiTheme="majorHAnsi" w:cstheme="majorHAnsi"/>
                <w:b/>
                <w:color w:val="000000" w:themeColor="text1"/>
                <w:sz w:val="18"/>
                <w:szCs w:val="18"/>
              </w:rPr>
            </w:pPr>
            <w:r w:rsidRPr="00B15A79">
              <w:rPr>
                <w:rFonts w:ascii="Calibri" w:hAnsi="Calibri" w:cs="Calibri"/>
                <w:b/>
                <w:color w:val="000000" w:themeColor="text1"/>
                <w:sz w:val="18"/>
                <w:szCs w:val="18"/>
              </w:rPr>
              <w:t>Jug Washing</w:t>
            </w:r>
          </w:p>
        </w:tc>
        <w:tc>
          <w:tcPr>
            <w:tcW w:w="410" w:type="pct"/>
            <w:gridSpan w:val="2"/>
            <w:tcBorders>
              <w:top w:val="single" w:sz="8" w:space="0" w:color="FFFFFF"/>
              <w:left w:val="single" w:sz="8" w:space="0" w:color="FFFFFF"/>
              <w:bottom w:val="single" w:sz="24" w:space="0" w:color="FFFFFF"/>
              <w:right w:val="single" w:sz="8" w:space="0" w:color="FFFFFF"/>
            </w:tcBorders>
            <w:shd w:val="clear" w:color="auto" w:fill="BBE0E3"/>
            <w:vAlign w:val="bottom"/>
          </w:tcPr>
          <w:p w14:paraId="7CDD9B63" w14:textId="178AAAEA" w:rsidR="00955482" w:rsidRPr="00B15A79" w:rsidRDefault="00955482" w:rsidP="00955482">
            <w:pPr>
              <w:jc w:val="center"/>
              <w:rPr>
                <w:rFonts w:asciiTheme="majorHAnsi" w:hAnsiTheme="majorHAnsi" w:cstheme="majorHAnsi"/>
                <w:b/>
                <w:color w:val="000000" w:themeColor="text1"/>
                <w:sz w:val="18"/>
                <w:szCs w:val="18"/>
              </w:rPr>
            </w:pPr>
            <w:r w:rsidRPr="00B15A79">
              <w:rPr>
                <w:rFonts w:ascii="Calibri" w:hAnsi="Calibri" w:cs="Calibri"/>
                <w:b/>
                <w:color w:val="000000" w:themeColor="text1"/>
                <w:sz w:val="18"/>
                <w:szCs w:val="18"/>
              </w:rPr>
              <w:t>Jug Recycling</w:t>
            </w:r>
          </w:p>
        </w:tc>
      </w:tr>
      <w:tr w:rsidR="00C2799F" w:rsidRPr="00B15A79" w14:paraId="7CB91697" w14:textId="77777777" w:rsidTr="00C2799F">
        <w:trPr>
          <w:trHeight w:val="271"/>
        </w:trPr>
        <w:tc>
          <w:tcPr>
            <w:tcW w:w="816" w:type="pct"/>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60BDB03A" w14:textId="77777777" w:rsidR="00C2799F" w:rsidRPr="00B15A79" w:rsidRDefault="00C2799F" w:rsidP="00C2799F">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Acidification Potential</w:t>
            </w:r>
          </w:p>
        </w:tc>
        <w:tc>
          <w:tcPr>
            <w:tcW w:w="515"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681E9701" w14:textId="33535192"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11%</w:t>
            </w:r>
          </w:p>
        </w:tc>
        <w:tc>
          <w:tcPr>
            <w:tcW w:w="562" w:type="pct"/>
            <w:gridSpan w:val="2"/>
            <w:tcBorders>
              <w:top w:val="single" w:sz="24"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7893FDD1" w14:textId="1E6D0CAE"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4%</w:t>
            </w:r>
          </w:p>
        </w:tc>
        <w:tc>
          <w:tcPr>
            <w:tcW w:w="502" w:type="pct"/>
            <w:gridSpan w:val="2"/>
            <w:tcBorders>
              <w:top w:val="single" w:sz="24" w:space="0" w:color="FFFFFF"/>
              <w:left w:val="single" w:sz="8" w:space="0" w:color="FFFFFF"/>
              <w:bottom w:val="single" w:sz="8" w:space="0" w:color="FFFFFF"/>
              <w:right w:val="single" w:sz="8" w:space="0" w:color="FFFFFF"/>
            </w:tcBorders>
            <w:shd w:val="clear" w:color="auto" w:fill="E7F3F4"/>
          </w:tcPr>
          <w:p w14:paraId="607D2FD0" w14:textId="588C435B"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362" w:type="pct"/>
            <w:tcBorders>
              <w:top w:val="single" w:sz="24" w:space="0" w:color="FFFFFF"/>
              <w:left w:val="single" w:sz="8" w:space="0" w:color="FFFFFF"/>
              <w:bottom w:val="single" w:sz="8" w:space="0" w:color="FFFFFF"/>
              <w:right w:val="single" w:sz="8" w:space="0" w:color="FFFFFF"/>
            </w:tcBorders>
            <w:shd w:val="clear" w:color="auto" w:fill="E7F3F4"/>
          </w:tcPr>
          <w:p w14:paraId="3DA02630" w14:textId="1800D33A"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610" w:type="pct"/>
            <w:tcBorders>
              <w:top w:val="single" w:sz="24" w:space="0" w:color="FFFFFF"/>
              <w:left w:val="single" w:sz="8" w:space="0" w:color="FFFFFF"/>
              <w:bottom w:val="single" w:sz="8" w:space="0" w:color="FFFFFF"/>
              <w:right w:val="single" w:sz="8" w:space="0" w:color="FFFFFF"/>
            </w:tcBorders>
            <w:shd w:val="clear" w:color="auto" w:fill="E7F3F4"/>
          </w:tcPr>
          <w:p w14:paraId="43E5E14B" w14:textId="72B41163"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38%</w:t>
            </w:r>
          </w:p>
        </w:tc>
        <w:tc>
          <w:tcPr>
            <w:tcW w:w="367" w:type="pct"/>
            <w:gridSpan w:val="2"/>
            <w:tcBorders>
              <w:top w:val="single" w:sz="24" w:space="0" w:color="FFFFFF"/>
              <w:left w:val="single" w:sz="8" w:space="0" w:color="FFFFFF"/>
              <w:bottom w:val="single" w:sz="8" w:space="0" w:color="FFFFFF"/>
              <w:right w:val="single" w:sz="8" w:space="0" w:color="FFFFFF"/>
            </w:tcBorders>
            <w:shd w:val="clear" w:color="auto" w:fill="E7F3F4"/>
          </w:tcPr>
          <w:p w14:paraId="6500DCA0" w14:textId="010C0173"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5%</w:t>
            </w:r>
          </w:p>
        </w:tc>
        <w:tc>
          <w:tcPr>
            <w:tcW w:w="502" w:type="pct"/>
            <w:gridSpan w:val="2"/>
            <w:tcBorders>
              <w:top w:val="single" w:sz="24" w:space="0" w:color="FFFFFF"/>
              <w:left w:val="single" w:sz="8" w:space="0" w:color="FFFFFF"/>
              <w:bottom w:val="single" w:sz="8" w:space="0" w:color="FFFFFF"/>
              <w:right w:val="single" w:sz="8" w:space="0" w:color="FFFFFF"/>
            </w:tcBorders>
            <w:shd w:val="clear" w:color="auto" w:fill="E7F3F4"/>
          </w:tcPr>
          <w:p w14:paraId="6D1CD2EB" w14:textId="44A03D44"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33%</w:t>
            </w:r>
          </w:p>
        </w:tc>
        <w:tc>
          <w:tcPr>
            <w:tcW w:w="362" w:type="pct"/>
            <w:gridSpan w:val="2"/>
            <w:tcBorders>
              <w:top w:val="single" w:sz="24" w:space="0" w:color="FFFFFF"/>
              <w:left w:val="single" w:sz="8" w:space="0" w:color="FFFFFF"/>
              <w:bottom w:val="single" w:sz="8" w:space="0" w:color="FFFFFF"/>
              <w:right w:val="single" w:sz="8" w:space="0" w:color="FFFFFF"/>
            </w:tcBorders>
            <w:shd w:val="clear" w:color="auto" w:fill="E7F3F4"/>
          </w:tcPr>
          <w:p w14:paraId="05D477B0" w14:textId="525B4527"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7%</w:t>
            </w:r>
          </w:p>
        </w:tc>
        <w:tc>
          <w:tcPr>
            <w:tcW w:w="402" w:type="pct"/>
            <w:tcBorders>
              <w:top w:val="single" w:sz="24" w:space="0" w:color="FFFFFF"/>
              <w:left w:val="single" w:sz="8" w:space="0" w:color="FFFFFF"/>
              <w:bottom w:val="single" w:sz="8" w:space="0" w:color="FFFFFF"/>
              <w:right w:val="single" w:sz="8" w:space="0" w:color="FFFFFF"/>
            </w:tcBorders>
            <w:shd w:val="clear" w:color="auto" w:fill="E7F3F4"/>
          </w:tcPr>
          <w:p w14:paraId="43004738" w14:textId="1278BA3E"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r>
      <w:tr w:rsidR="00C2799F" w:rsidRPr="00B15A79" w14:paraId="00022AB2" w14:textId="77777777" w:rsidTr="00C2799F">
        <w:trPr>
          <w:trHeight w:val="271"/>
        </w:trPr>
        <w:tc>
          <w:tcPr>
            <w:tcW w:w="816"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63A4AA98" w14:textId="77777777" w:rsidR="00C2799F" w:rsidRPr="00B15A79" w:rsidRDefault="00C2799F" w:rsidP="00C2799F">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Cumulative Energy Demand</w:t>
            </w:r>
          </w:p>
        </w:tc>
        <w:tc>
          <w:tcPr>
            <w:tcW w:w="515"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tcPr>
          <w:p w14:paraId="3F318048" w14:textId="3C8DA488"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12%</w:t>
            </w:r>
          </w:p>
        </w:tc>
        <w:tc>
          <w:tcPr>
            <w:tcW w:w="562" w:type="pct"/>
            <w:gridSpan w:val="2"/>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tcPr>
          <w:p w14:paraId="691315AF" w14:textId="20EDBE3D"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F3F9FA"/>
          </w:tcPr>
          <w:p w14:paraId="1C33B803" w14:textId="5BA7F2EA"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362" w:type="pct"/>
            <w:tcBorders>
              <w:top w:val="single" w:sz="8" w:space="0" w:color="FFFFFF"/>
              <w:left w:val="single" w:sz="8" w:space="0" w:color="FFFFFF"/>
              <w:bottom w:val="single" w:sz="8" w:space="0" w:color="FFFFFF"/>
              <w:right w:val="single" w:sz="8" w:space="0" w:color="FFFFFF"/>
            </w:tcBorders>
            <w:shd w:val="clear" w:color="auto" w:fill="F3F9FA"/>
          </w:tcPr>
          <w:p w14:paraId="072711FA" w14:textId="551EE328"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610" w:type="pct"/>
            <w:tcBorders>
              <w:top w:val="single" w:sz="8" w:space="0" w:color="FFFFFF"/>
              <w:left w:val="single" w:sz="8" w:space="0" w:color="FFFFFF"/>
              <w:bottom w:val="single" w:sz="8" w:space="0" w:color="FFFFFF"/>
              <w:right w:val="single" w:sz="8" w:space="0" w:color="FFFFFF"/>
            </w:tcBorders>
            <w:shd w:val="clear" w:color="auto" w:fill="F3F9FA"/>
          </w:tcPr>
          <w:p w14:paraId="00E950DB" w14:textId="1CFD61CE"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38%</w:t>
            </w:r>
          </w:p>
        </w:tc>
        <w:tc>
          <w:tcPr>
            <w:tcW w:w="367" w:type="pct"/>
            <w:gridSpan w:val="2"/>
            <w:tcBorders>
              <w:top w:val="single" w:sz="8" w:space="0" w:color="FFFFFF"/>
              <w:left w:val="single" w:sz="8" w:space="0" w:color="FFFFFF"/>
              <w:bottom w:val="single" w:sz="8" w:space="0" w:color="FFFFFF"/>
              <w:right w:val="single" w:sz="8" w:space="0" w:color="FFFFFF"/>
            </w:tcBorders>
            <w:shd w:val="clear" w:color="auto" w:fill="F3F9FA"/>
          </w:tcPr>
          <w:p w14:paraId="11CF9B68" w14:textId="3F9DE15F"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9%</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F3F9FA"/>
          </w:tcPr>
          <w:p w14:paraId="6489A0F3" w14:textId="26DBC292"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33%</w:t>
            </w:r>
          </w:p>
        </w:tc>
        <w:tc>
          <w:tcPr>
            <w:tcW w:w="362" w:type="pct"/>
            <w:gridSpan w:val="2"/>
            <w:tcBorders>
              <w:top w:val="single" w:sz="8" w:space="0" w:color="FFFFFF"/>
              <w:left w:val="single" w:sz="8" w:space="0" w:color="FFFFFF"/>
              <w:bottom w:val="single" w:sz="8" w:space="0" w:color="FFFFFF"/>
              <w:right w:val="single" w:sz="8" w:space="0" w:color="FFFFFF"/>
            </w:tcBorders>
            <w:shd w:val="clear" w:color="auto" w:fill="F3F9FA"/>
          </w:tcPr>
          <w:p w14:paraId="0EF06A27" w14:textId="57C41256"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5%</w:t>
            </w:r>
          </w:p>
        </w:tc>
        <w:tc>
          <w:tcPr>
            <w:tcW w:w="402" w:type="pct"/>
            <w:tcBorders>
              <w:top w:val="single" w:sz="8" w:space="0" w:color="FFFFFF"/>
              <w:left w:val="single" w:sz="8" w:space="0" w:color="FFFFFF"/>
              <w:bottom w:val="single" w:sz="8" w:space="0" w:color="FFFFFF"/>
              <w:right w:val="single" w:sz="8" w:space="0" w:color="FFFFFF"/>
            </w:tcBorders>
            <w:shd w:val="clear" w:color="auto" w:fill="F3F9FA"/>
          </w:tcPr>
          <w:p w14:paraId="38250A1F" w14:textId="18004908"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r>
      <w:tr w:rsidR="00C2799F" w:rsidRPr="00B15A79" w14:paraId="3F32BD98" w14:textId="77777777" w:rsidTr="00C2799F">
        <w:trPr>
          <w:trHeight w:val="271"/>
        </w:trPr>
        <w:tc>
          <w:tcPr>
            <w:tcW w:w="816"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6E2CA390" w14:textId="77777777" w:rsidR="00C2799F" w:rsidRPr="00B15A79" w:rsidRDefault="00C2799F" w:rsidP="00C2799F">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lastRenderedPageBreak/>
              <w:t>Eutrophication Potential</w:t>
            </w:r>
          </w:p>
        </w:tc>
        <w:tc>
          <w:tcPr>
            <w:tcW w:w="515"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418BAE4B" w14:textId="5DFE7EF0"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12%</w:t>
            </w:r>
          </w:p>
        </w:tc>
        <w:tc>
          <w:tcPr>
            <w:tcW w:w="562" w:type="pct"/>
            <w:gridSpan w:val="2"/>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26AA58ED" w14:textId="07589E86"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E7F3F4"/>
          </w:tcPr>
          <w:p w14:paraId="7022423A" w14:textId="6DC62C48"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5%</w:t>
            </w:r>
          </w:p>
        </w:tc>
        <w:tc>
          <w:tcPr>
            <w:tcW w:w="362" w:type="pct"/>
            <w:tcBorders>
              <w:top w:val="single" w:sz="8" w:space="0" w:color="FFFFFF"/>
              <w:left w:val="single" w:sz="8" w:space="0" w:color="FFFFFF"/>
              <w:bottom w:val="single" w:sz="8" w:space="0" w:color="FFFFFF"/>
              <w:right w:val="single" w:sz="8" w:space="0" w:color="FFFFFF"/>
            </w:tcBorders>
            <w:shd w:val="clear" w:color="auto" w:fill="E7F3F4"/>
          </w:tcPr>
          <w:p w14:paraId="6D53ABDF" w14:textId="669DA96F"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610" w:type="pct"/>
            <w:tcBorders>
              <w:top w:val="single" w:sz="8" w:space="0" w:color="FFFFFF"/>
              <w:left w:val="single" w:sz="8" w:space="0" w:color="FFFFFF"/>
              <w:bottom w:val="single" w:sz="8" w:space="0" w:color="FFFFFF"/>
              <w:right w:val="single" w:sz="8" w:space="0" w:color="FFFFFF"/>
            </w:tcBorders>
            <w:shd w:val="clear" w:color="auto" w:fill="E7F3F4"/>
          </w:tcPr>
          <w:p w14:paraId="3DF56D24" w14:textId="4979FB17"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38%</w:t>
            </w:r>
          </w:p>
        </w:tc>
        <w:tc>
          <w:tcPr>
            <w:tcW w:w="367" w:type="pct"/>
            <w:gridSpan w:val="2"/>
            <w:tcBorders>
              <w:top w:val="single" w:sz="8" w:space="0" w:color="FFFFFF"/>
              <w:left w:val="single" w:sz="8" w:space="0" w:color="FFFFFF"/>
              <w:bottom w:val="single" w:sz="8" w:space="0" w:color="FFFFFF"/>
              <w:right w:val="single" w:sz="8" w:space="0" w:color="FFFFFF"/>
            </w:tcBorders>
            <w:shd w:val="clear" w:color="auto" w:fill="E7F3F4"/>
          </w:tcPr>
          <w:p w14:paraId="0B68E3E9" w14:textId="67A26D2E"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2%</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E7F3F4"/>
          </w:tcPr>
          <w:p w14:paraId="51FC0F5A" w14:textId="5D437705"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33%</w:t>
            </w:r>
          </w:p>
        </w:tc>
        <w:tc>
          <w:tcPr>
            <w:tcW w:w="362" w:type="pct"/>
            <w:gridSpan w:val="2"/>
            <w:tcBorders>
              <w:top w:val="single" w:sz="8" w:space="0" w:color="FFFFFF"/>
              <w:left w:val="single" w:sz="8" w:space="0" w:color="FFFFFF"/>
              <w:bottom w:val="single" w:sz="8" w:space="0" w:color="FFFFFF"/>
              <w:right w:val="single" w:sz="8" w:space="0" w:color="FFFFFF"/>
            </w:tcBorders>
            <w:shd w:val="clear" w:color="auto" w:fill="E7F3F4"/>
          </w:tcPr>
          <w:p w14:paraId="4DE5C1E4" w14:textId="0039D795"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8%</w:t>
            </w:r>
          </w:p>
        </w:tc>
        <w:tc>
          <w:tcPr>
            <w:tcW w:w="402" w:type="pct"/>
            <w:tcBorders>
              <w:top w:val="single" w:sz="8" w:space="0" w:color="FFFFFF"/>
              <w:left w:val="single" w:sz="8" w:space="0" w:color="FFFFFF"/>
              <w:bottom w:val="single" w:sz="8" w:space="0" w:color="FFFFFF"/>
              <w:right w:val="single" w:sz="8" w:space="0" w:color="FFFFFF"/>
            </w:tcBorders>
            <w:shd w:val="clear" w:color="auto" w:fill="E7F3F4"/>
          </w:tcPr>
          <w:p w14:paraId="024C2BA3" w14:textId="46101DA9"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r>
      <w:tr w:rsidR="00C2799F" w:rsidRPr="00B15A79" w14:paraId="63351125" w14:textId="77777777" w:rsidTr="00C2799F">
        <w:trPr>
          <w:trHeight w:val="271"/>
        </w:trPr>
        <w:tc>
          <w:tcPr>
            <w:tcW w:w="816"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0201EA09" w14:textId="77777777" w:rsidR="00C2799F" w:rsidRDefault="00C2799F" w:rsidP="00C2799F">
            <w:pPr>
              <w:tabs>
                <w:tab w:val="clear" w:pos="720"/>
              </w:tabs>
              <w:textAlignment w:val="bottom"/>
              <w:rPr>
                <w:rFonts w:asciiTheme="majorHAnsi" w:hAnsiTheme="majorHAnsi" w:cstheme="majorHAnsi"/>
                <w:b/>
                <w:color w:val="000000"/>
                <w:sz w:val="18"/>
                <w:szCs w:val="18"/>
              </w:rPr>
            </w:pPr>
            <w:r w:rsidRPr="00B15A79">
              <w:rPr>
                <w:rFonts w:asciiTheme="majorHAnsi" w:hAnsiTheme="majorHAnsi" w:cstheme="majorHAnsi"/>
                <w:b/>
                <w:color w:val="000000"/>
                <w:sz w:val="18"/>
                <w:szCs w:val="18"/>
              </w:rPr>
              <w:t xml:space="preserve">Fossil </w:t>
            </w:r>
            <w:r>
              <w:rPr>
                <w:rFonts w:asciiTheme="majorHAnsi" w:hAnsiTheme="majorHAnsi" w:cstheme="majorHAnsi"/>
                <w:b/>
                <w:color w:val="000000"/>
                <w:sz w:val="18"/>
                <w:szCs w:val="18"/>
              </w:rPr>
              <w:t xml:space="preserve">Fuel </w:t>
            </w:r>
          </w:p>
          <w:p w14:paraId="18A03E99" w14:textId="17E9DE4D" w:rsidR="00C2799F" w:rsidRPr="00B15A79" w:rsidRDefault="00C2799F" w:rsidP="00C2799F">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Depletion</w:t>
            </w:r>
          </w:p>
        </w:tc>
        <w:tc>
          <w:tcPr>
            <w:tcW w:w="515"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tcPr>
          <w:p w14:paraId="568E3DE9" w14:textId="734EAE84"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12%</w:t>
            </w:r>
          </w:p>
        </w:tc>
        <w:tc>
          <w:tcPr>
            <w:tcW w:w="562" w:type="pct"/>
            <w:gridSpan w:val="2"/>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tcPr>
          <w:p w14:paraId="29E9F4AE" w14:textId="2C89E92D"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2%</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F3F9FA"/>
          </w:tcPr>
          <w:p w14:paraId="0F5C734F" w14:textId="41C33A7D"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362" w:type="pct"/>
            <w:tcBorders>
              <w:top w:val="single" w:sz="8" w:space="0" w:color="FFFFFF"/>
              <w:left w:val="single" w:sz="8" w:space="0" w:color="FFFFFF"/>
              <w:bottom w:val="single" w:sz="8" w:space="0" w:color="FFFFFF"/>
              <w:right w:val="single" w:sz="8" w:space="0" w:color="FFFFFF"/>
            </w:tcBorders>
            <w:shd w:val="clear" w:color="auto" w:fill="F3F9FA"/>
          </w:tcPr>
          <w:p w14:paraId="68C044BC" w14:textId="79A7B0C3"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610" w:type="pct"/>
            <w:tcBorders>
              <w:top w:val="single" w:sz="8" w:space="0" w:color="FFFFFF"/>
              <w:left w:val="single" w:sz="8" w:space="0" w:color="FFFFFF"/>
              <w:bottom w:val="single" w:sz="8" w:space="0" w:color="FFFFFF"/>
              <w:right w:val="single" w:sz="8" w:space="0" w:color="FFFFFF"/>
            </w:tcBorders>
            <w:shd w:val="clear" w:color="auto" w:fill="F3F9FA"/>
          </w:tcPr>
          <w:p w14:paraId="3319D27D" w14:textId="31352380"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40%</w:t>
            </w:r>
          </w:p>
        </w:tc>
        <w:tc>
          <w:tcPr>
            <w:tcW w:w="367" w:type="pct"/>
            <w:gridSpan w:val="2"/>
            <w:tcBorders>
              <w:top w:val="single" w:sz="8" w:space="0" w:color="FFFFFF"/>
              <w:left w:val="single" w:sz="8" w:space="0" w:color="FFFFFF"/>
              <w:bottom w:val="single" w:sz="8" w:space="0" w:color="FFFFFF"/>
              <w:right w:val="single" w:sz="8" w:space="0" w:color="FFFFFF"/>
            </w:tcBorders>
            <w:shd w:val="clear" w:color="auto" w:fill="F3F9FA"/>
          </w:tcPr>
          <w:p w14:paraId="00ACD85C" w14:textId="5E9FA650"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8%</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F3F9FA"/>
          </w:tcPr>
          <w:p w14:paraId="01F4F7D3" w14:textId="2DBC2979"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33%</w:t>
            </w:r>
          </w:p>
        </w:tc>
        <w:tc>
          <w:tcPr>
            <w:tcW w:w="362" w:type="pct"/>
            <w:gridSpan w:val="2"/>
            <w:tcBorders>
              <w:top w:val="single" w:sz="8" w:space="0" w:color="FFFFFF"/>
              <w:left w:val="single" w:sz="8" w:space="0" w:color="FFFFFF"/>
              <w:bottom w:val="single" w:sz="8" w:space="0" w:color="FFFFFF"/>
              <w:right w:val="single" w:sz="8" w:space="0" w:color="FFFFFF"/>
            </w:tcBorders>
            <w:shd w:val="clear" w:color="auto" w:fill="F3F9FA"/>
          </w:tcPr>
          <w:p w14:paraId="2DD4082F" w14:textId="268FDBB4"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4%</w:t>
            </w:r>
          </w:p>
        </w:tc>
        <w:tc>
          <w:tcPr>
            <w:tcW w:w="402" w:type="pct"/>
            <w:tcBorders>
              <w:top w:val="single" w:sz="8" w:space="0" w:color="FFFFFF"/>
              <w:left w:val="single" w:sz="8" w:space="0" w:color="FFFFFF"/>
              <w:bottom w:val="single" w:sz="8" w:space="0" w:color="FFFFFF"/>
              <w:right w:val="single" w:sz="8" w:space="0" w:color="FFFFFF"/>
            </w:tcBorders>
            <w:shd w:val="clear" w:color="auto" w:fill="F3F9FA"/>
          </w:tcPr>
          <w:p w14:paraId="3A4AD0B2" w14:textId="77EC4C93"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r>
      <w:tr w:rsidR="00C2799F" w:rsidRPr="00B15A79" w14:paraId="435EDC4D" w14:textId="77777777" w:rsidTr="00C2799F">
        <w:trPr>
          <w:trHeight w:val="271"/>
        </w:trPr>
        <w:tc>
          <w:tcPr>
            <w:tcW w:w="816"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05DF9DC0" w14:textId="77777777" w:rsidR="00C2799F" w:rsidRPr="00B15A79" w:rsidRDefault="00C2799F" w:rsidP="00C2799F">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Global Warming Potential</w:t>
            </w:r>
          </w:p>
        </w:tc>
        <w:tc>
          <w:tcPr>
            <w:tcW w:w="515"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6EB3720A" w14:textId="3F42887B"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14%</w:t>
            </w:r>
          </w:p>
        </w:tc>
        <w:tc>
          <w:tcPr>
            <w:tcW w:w="562" w:type="pct"/>
            <w:gridSpan w:val="2"/>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752AD8AC" w14:textId="767AB1DE"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E7F3F4"/>
          </w:tcPr>
          <w:p w14:paraId="07C7462F" w14:textId="5C069406"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362" w:type="pct"/>
            <w:tcBorders>
              <w:top w:val="single" w:sz="8" w:space="0" w:color="FFFFFF"/>
              <w:left w:val="single" w:sz="8" w:space="0" w:color="FFFFFF"/>
              <w:bottom w:val="single" w:sz="8" w:space="0" w:color="FFFFFF"/>
              <w:right w:val="single" w:sz="8" w:space="0" w:color="FFFFFF"/>
            </w:tcBorders>
            <w:shd w:val="clear" w:color="auto" w:fill="E7F3F4"/>
          </w:tcPr>
          <w:p w14:paraId="02DC2AC1" w14:textId="0369861F"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610" w:type="pct"/>
            <w:tcBorders>
              <w:top w:val="single" w:sz="8" w:space="0" w:color="FFFFFF"/>
              <w:left w:val="single" w:sz="8" w:space="0" w:color="FFFFFF"/>
              <w:bottom w:val="single" w:sz="8" w:space="0" w:color="FFFFFF"/>
              <w:right w:val="single" w:sz="8" w:space="0" w:color="FFFFFF"/>
            </w:tcBorders>
            <w:shd w:val="clear" w:color="auto" w:fill="E7F3F4"/>
          </w:tcPr>
          <w:p w14:paraId="5360F1FF" w14:textId="024B01DF"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40%</w:t>
            </w:r>
          </w:p>
        </w:tc>
        <w:tc>
          <w:tcPr>
            <w:tcW w:w="367" w:type="pct"/>
            <w:gridSpan w:val="2"/>
            <w:tcBorders>
              <w:top w:val="single" w:sz="8" w:space="0" w:color="FFFFFF"/>
              <w:left w:val="single" w:sz="8" w:space="0" w:color="FFFFFF"/>
              <w:bottom w:val="single" w:sz="8" w:space="0" w:color="FFFFFF"/>
              <w:right w:val="single" w:sz="8" w:space="0" w:color="FFFFFF"/>
            </w:tcBorders>
            <w:shd w:val="clear" w:color="auto" w:fill="E7F3F4"/>
          </w:tcPr>
          <w:p w14:paraId="4930B335" w14:textId="12937ABE"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5%</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E7F3F4"/>
          </w:tcPr>
          <w:p w14:paraId="6C57D47D" w14:textId="3ED87D61"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33%</w:t>
            </w:r>
          </w:p>
        </w:tc>
        <w:tc>
          <w:tcPr>
            <w:tcW w:w="362" w:type="pct"/>
            <w:gridSpan w:val="2"/>
            <w:tcBorders>
              <w:top w:val="single" w:sz="8" w:space="0" w:color="FFFFFF"/>
              <w:left w:val="single" w:sz="8" w:space="0" w:color="FFFFFF"/>
              <w:bottom w:val="single" w:sz="8" w:space="0" w:color="FFFFFF"/>
              <w:right w:val="single" w:sz="8" w:space="0" w:color="FFFFFF"/>
            </w:tcBorders>
            <w:shd w:val="clear" w:color="auto" w:fill="E7F3F4"/>
          </w:tcPr>
          <w:p w14:paraId="007FB042" w14:textId="124EBF1E"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4%</w:t>
            </w:r>
          </w:p>
        </w:tc>
        <w:tc>
          <w:tcPr>
            <w:tcW w:w="402" w:type="pct"/>
            <w:tcBorders>
              <w:top w:val="single" w:sz="8" w:space="0" w:color="FFFFFF"/>
              <w:left w:val="single" w:sz="8" w:space="0" w:color="FFFFFF"/>
              <w:bottom w:val="single" w:sz="8" w:space="0" w:color="FFFFFF"/>
              <w:right w:val="single" w:sz="8" w:space="0" w:color="FFFFFF"/>
            </w:tcBorders>
            <w:shd w:val="clear" w:color="auto" w:fill="E7F3F4"/>
          </w:tcPr>
          <w:p w14:paraId="3D99765E" w14:textId="7206A34F"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r>
      <w:tr w:rsidR="00C2799F" w:rsidRPr="00B15A79" w14:paraId="7F9776B9" w14:textId="77777777" w:rsidTr="00C2799F">
        <w:trPr>
          <w:trHeight w:val="271"/>
        </w:trPr>
        <w:tc>
          <w:tcPr>
            <w:tcW w:w="816"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29364759" w14:textId="77777777" w:rsidR="00C2799F" w:rsidRPr="00B15A79" w:rsidRDefault="00C2799F" w:rsidP="00C2799F">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Particulate Matter Formation Potential</w:t>
            </w:r>
          </w:p>
        </w:tc>
        <w:tc>
          <w:tcPr>
            <w:tcW w:w="515"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tcPr>
          <w:p w14:paraId="225BDEDA" w14:textId="03B3FD7F"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25%</w:t>
            </w:r>
          </w:p>
        </w:tc>
        <w:tc>
          <w:tcPr>
            <w:tcW w:w="562" w:type="pct"/>
            <w:gridSpan w:val="2"/>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tcPr>
          <w:p w14:paraId="3981098B" w14:textId="2B10A4EA"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F3F9FA"/>
          </w:tcPr>
          <w:p w14:paraId="2657E3C0" w14:textId="38936C31"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362" w:type="pct"/>
            <w:tcBorders>
              <w:top w:val="single" w:sz="8" w:space="0" w:color="FFFFFF"/>
              <w:left w:val="single" w:sz="8" w:space="0" w:color="FFFFFF"/>
              <w:bottom w:val="single" w:sz="8" w:space="0" w:color="FFFFFF"/>
              <w:right w:val="single" w:sz="8" w:space="0" w:color="FFFFFF"/>
            </w:tcBorders>
            <w:shd w:val="clear" w:color="auto" w:fill="F3F9FA"/>
          </w:tcPr>
          <w:p w14:paraId="14C916D1" w14:textId="0AAA5CB6"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610" w:type="pct"/>
            <w:tcBorders>
              <w:top w:val="single" w:sz="8" w:space="0" w:color="FFFFFF"/>
              <w:left w:val="single" w:sz="8" w:space="0" w:color="FFFFFF"/>
              <w:bottom w:val="single" w:sz="8" w:space="0" w:color="FFFFFF"/>
              <w:right w:val="single" w:sz="8" w:space="0" w:color="FFFFFF"/>
            </w:tcBorders>
            <w:shd w:val="clear" w:color="auto" w:fill="F3F9FA"/>
          </w:tcPr>
          <w:p w14:paraId="017D1025" w14:textId="44B35B7A"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28%</w:t>
            </w:r>
          </w:p>
        </w:tc>
        <w:tc>
          <w:tcPr>
            <w:tcW w:w="367" w:type="pct"/>
            <w:gridSpan w:val="2"/>
            <w:tcBorders>
              <w:top w:val="single" w:sz="8" w:space="0" w:color="FFFFFF"/>
              <w:left w:val="single" w:sz="8" w:space="0" w:color="FFFFFF"/>
              <w:bottom w:val="single" w:sz="8" w:space="0" w:color="FFFFFF"/>
              <w:right w:val="single" w:sz="8" w:space="0" w:color="FFFFFF"/>
            </w:tcBorders>
            <w:shd w:val="clear" w:color="auto" w:fill="F3F9FA"/>
          </w:tcPr>
          <w:p w14:paraId="35E1021B" w14:textId="2FC93B5A"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4%</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F3F9FA"/>
          </w:tcPr>
          <w:p w14:paraId="141A9529" w14:textId="55F6B1FA"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33%</w:t>
            </w:r>
          </w:p>
        </w:tc>
        <w:tc>
          <w:tcPr>
            <w:tcW w:w="362" w:type="pct"/>
            <w:gridSpan w:val="2"/>
            <w:tcBorders>
              <w:top w:val="single" w:sz="8" w:space="0" w:color="FFFFFF"/>
              <w:left w:val="single" w:sz="8" w:space="0" w:color="FFFFFF"/>
              <w:bottom w:val="single" w:sz="8" w:space="0" w:color="FFFFFF"/>
              <w:right w:val="single" w:sz="8" w:space="0" w:color="FFFFFF"/>
            </w:tcBorders>
            <w:shd w:val="clear" w:color="auto" w:fill="F3F9FA"/>
          </w:tcPr>
          <w:p w14:paraId="5AD9128B" w14:textId="7416AC31"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5%</w:t>
            </w:r>
          </w:p>
        </w:tc>
        <w:tc>
          <w:tcPr>
            <w:tcW w:w="402" w:type="pct"/>
            <w:tcBorders>
              <w:top w:val="single" w:sz="8" w:space="0" w:color="FFFFFF"/>
              <w:left w:val="single" w:sz="8" w:space="0" w:color="FFFFFF"/>
              <w:bottom w:val="single" w:sz="8" w:space="0" w:color="FFFFFF"/>
              <w:right w:val="single" w:sz="8" w:space="0" w:color="FFFFFF"/>
            </w:tcBorders>
            <w:shd w:val="clear" w:color="auto" w:fill="F3F9FA"/>
          </w:tcPr>
          <w:p w14:paraId="54A957BB" w14:textId="24D8D4FB"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r>
      <w:tr w:rsidR="00C2799F" w:rsidRPr="00B15A79" w14:paraId="7045A2F1" w14:textId="77777777" w:rsidTr="00C2799F">
        <w:trPr>
          <w:trHeight w:val="271"/>
        </w:trPr>
        <w:tc>
          <w:tcPr>
            <w:tcW w:w="816"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70B29695" w14:textId="77777777" w:rsidR="00C2799F" w:rsidRPr="00B15A79" w:rsidRDefault="00C2799F" w:rsidP="00C2799F">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Smog Formation Potential</w:t>
            </w:r>
          </w:p>
        </w:tc>
        <w:tc>
          <w:tcPr>
            <w:tcW w:w="515"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0E47CA3E" w14:textId="2D6F5A5B"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7%</w:t>
            </w:r>
          </w:p>
        </w:tc>
        <w:tc>
          <w:tcPr>
            <w:tcW w:w="562" w:type="pct"/>
            <w:gridSpan w:val="2"/>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73266697" w14:textId="23EA1F3D"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2%</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E7F3F4"/>
          </w:tcPr>
          <w:p w14:paraId="233AA64B" w14:textId="67BD3A41"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362" w:type="pct"/>
            <w:tcBorders>
              <w:top w:val="single" w:sz="8" w:space="0" w:color="FFFFFF"/>
              <w:left w:val="single" w:sz="8" w:space="0" w:color="FFFFFF"/>
              <w:bottom w:val="single" w:sz="8" w:space="0" w:color="FFFFFF"/>
              <w:right w:val="single" w:sz="8" w:space="0" w:color="FFFFFF"/>
            </w:tcBorders>
            <w:shd w:val="clear" w:color="auto" w:fill="E7F3F4"/>
          </w:tcPr>
          <w:p w14:paraId="1C0A5368" w14:textId="6170BA4F"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610" w:type="pct"/>
            <w:tcBorders>
              <w:top w:val="single" w:sz="8" w:space="0" w:color="FFFFFF"/>
              <w:left w:val="single" w:sz="8" w:space="0" w:color="FFFFFF"/>
              <w:bottom w:val="single" w:sz="8" w:space="0" w:color="FFFFFF"/>
              <w:right w:val="single" w:sz="8" w:space="0" w:color="FFFFFF"/>
            </w:tcBorders>
            <w:shd w:val="clear" w:color="auto" w:fill="E7F3F4"/>
          </w:tcPr>
          <w:p w14:paraId="532E6D2F" w14:textId="3CA85BB7"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52%</w:t>
            </w:r>
          </w:p>
        </w:tc>
        <w:tc>
          <w:tcPr>
            <w:tcW w:w="367" w:type="pct"/>
            <w:gridSpan w:val="2"/>
            <w:tcBorders>
              <w:top w:val="single" w:sz="8" w:space="0" w:color="FFFFFF"/>
              <w:left w:val="single" w:sz="8" w:space="0" w:color="FFFFFF"/>
              <w:bottom w:val="single" w:sz="8" w:space="0" w:color="FFFFFF"/>
              <w:right w:val="single" w:sz="8" w:space="0" w:color="FFFFFF"/>
            </w:tcBorders>
            <w:shd w:val="clear" w:color="auto" w:fill="E7F3F4"/>
          </w:tcPr>
          <w:p w14:paraId="371F8AF4" w14:textId="21D34E5A"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E7F3F4"/>
          </w:tcPr>
          <w:p w14:paraId="5022752D" w14:textId="4271A87D"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33%</w:t>
            </w:r>
          </w:p>
        </w:tc>
        <w:tc>
          <w:tcPr>
            <w:tcW w:w="362" w:type="pct"/>
            <w:gridSpan w:val="2"/>
            <w:tcBorders>
              <w:top w:val="single" w:sz="8" w:space="0" w:color="FFFFFF"/>
              <w:left w:val="single" w:sz="8" w:space="0" w:color="FFFFFF"/>
              <w:bottom w:val="single" w:sz="8" w:space="0" w:color="FFFFFF"/>
              <w:right w:val="single" w:sz="8" w:space="0" w:color="FFFFFF"/>
            </w:tcBorders>
            <w:shd w:val="clear" w:color="auto" w:fill="E7F3F4"/>
          </w:tcPr>
          <w:p w14:paraId="54F62493" w14:textId="1D599C6D"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w:t>
            </w:r>
          </w:p>
        </w:tc>
        <w:tc>
          <w:tcPr>
            <w:tcW w:w="402" w:type="pct"/>
            <w:tcBorders>
              <w:top w:val="single" w:sz="8" w:space="0" w:color="FFFFFF"/>
              <w:left w:val="single" w:sz="8" w:space="0" w:color="FFFFFF"/>
              <w:bottom w:val="single" w:sz="8" w:space="0" w:color="FFFFFF"/>
              <w:right w:val="single" w:sz="8" w:space="0" w:color="FFFFFF"/>
            </w:tcBorders>
            <w:shd w:val="clear" w:color="auto" w:fill="E7F3F4"/>
          </w:tcPr>
          <w:p w14:paraId="01E60475" w14:textId="11D2D359" w:rsidR="00C2799F" w:rsidRPr="005352A2" w:rsidRDefault="00C2799F" w:rsidP="00C2799F">
            <w:pPr>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r>
      <w:tr w:rsidR="00C2799F" w:rsidRPr="00B15A79" w14:paraId="61E19713" w14:textId="77777777" w:rsidTr="00C2799F">
        <w:trPr>
          <w:trHeight w:val="271"/>
        </w:trPr>
        <w:tc>
          <w:tcPr>
            <w:tcW w:w="816"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3A88D85C" w14:textId="77777777" w:rsidR="00C2799F" w:rsidRPr="00B15A79" w:rsidRDefault="00C2799F" w:rsidP="00C2799F">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Solid Waste by Weight</w:t>
            </w:r>
          </w:p>
        </w:tc>
        <w:tc>
          <w:tcPr>
            <w:tcW w:w="515" w:type="pct"/>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tcPr>
          <w:p w14:paraId="2EE1260D" w14:textId="6002B753"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562" w:type="pct"/>
            <w:gridSpan w:val="2"/>
            <w:tcBorders>
              <w:top w:val="single" w:sz="8" w:space="0" w:color="FFFFFF"/>
              <w:left w:val="single" w:sz="8" w:space="0" w:color="FFFFFF"/>
              <w:bottom w:val="single" w:sz="8" w:space="0" w:color="FFFFFF"/>
              <w:right w:val="single" w:sz="8" w:space="0" w:color="FFFFFF"/>
            </w:tcBorders>
            <w:shd w:val="clear" w:color="auto" w:fill="F3F9FA"/>
            <w:tcMar>
              <w:top w:w="15" w:type="dxa"/>
              <w:left w:w="75" w:type="dxa"/>
              <w:bottom w:w="0" w:type="dxa"/>
              <w:right w:w="75" w:type="dxa"/>
            </w:tcMar>
          </w:tcPr>
          <w:p w14:paraId="0E7D9864" w14:textId="633FDB9E"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11%</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F3F9FA"/>
          </w:tcPr>
          <w:p w14:paraId="034BFBBD" w14:textId="23D92EE4"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362" w:type="pct"/>
            <w:tcBorders>
              <w:top w:val="single" w:sz="8" w:space="0" w:color="FFFFFF"/>
              <w:left w:val="single" w:sz="8" w:space="0" w:color="FFFFFF"/>
              <w:bottom w:val="single" w:sz="8" w:space="0" w:color="FFFFFF"/>
              <w:right w:val="single" w:sz="8" w:space="0" w:color="FFFFFF"/>
            </w:tcBorders>
            <w:shd w:val="clear" w:color="auto" w:fill="F3F9FA"/>
          </w:tcPr>
          <w:p w14:paraId="1505391C" w14:textId="5DE8A948"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w:t>
            </w:r>
          </w:p>
        </w:tc>
        <w:tc>
          <w:tcPr>
            <w:tcW w:w="610" w:type="pct"/>
            <w:tcBorders>
              <w:top w:val="single" w:sz="8" w:space="0" w:color="FFFFFF"/>
              <w:left w:val="single" w:sz="8" w:space="0" w:color="FFFFFF"/>
              <w:bottom w:val="single" w:sz="8" w:space="0" w:color="FFFFFF"/>
              <w:right w:val="single" w:sz="8" w:space="0" w:color="FFFFFF"/>
            </w:tcBorders>
            <w:shd w:val="clear" w:color="auto" w:fill="F3F9FA"/>
          </w:tcPr>
          <w:p w14:paraId="046CAA8A" w14:textId="41B321CC"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21%</w:t>
            </w:r>
          </w:p>
        </w:tc>
        <w:tc>
          <w:tcPr>
            <w:tcW w:w="367" w:type="pct"/>
            <w:gridSpan w:val="2"/>
            <w:tcBorders>
              <w:top w:val="single" w:sz="8" w:space="0" w:color="FFFFFF"/>
              <w:left w:val="single" w:sz="8" w:space="0" w:color="FFFFFF"/>
              <w:bottom w:val="single" w:sz="8" w:space="0" w:color="FFFFFF"/>
              <w:right w:val="single" w:sz="8" w:space="0" w:color="FFFFFF"/>
            </w:tcBorders>
            <w:shd w:val="clear" w:color="auto" w:fill="F3F9FA"/>
          </w:tcPr>
          <w:p w14:paraId="57D71F90" w14:textId="10246581"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11%</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F3F9FA"/>
          </w:tcPr>
          <w:p w14:paraId="72E2B053" w14:textId="5F56C9E6"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33%</w:t>
            </w:r>
          </w:p>
        </w:tc>
        <w:tc>
          <w:tcPr>
            <w:tcW w:w="362" w:type="pct"/>
            <w:gridSpan w:val="2"/>
            <w:tcBorders>
              <w:top w:val="single" w:sz="8" w:space="0" w:color="FFFFFF"/>
              <w:left w:val="single" w:sz="8" w:space="0" w:color="FFFFFF"/>
              <w:bottom w:val="single" w:sz="8" w:space="0" w:color="FFFFFF"/>
              <w:right w:val="single" w:sz="8" w:space="0" w:color="FFFFFF"/>
            </w:tcBorders>
            <w:shd w:val="clear" w:color="auto" w:fill="F3F9FA"/>
          </w:tcPr>
          <w:p w14:paraId="7D935842" w14:textId="1F8C53B3"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18%</w:t>
            </w:r>
          </w:p>
        </w:tc>
        <w:tc>
          <w:tcPr>
            <w:tcW w:w="402" w:type="pct"/>
            <w:tcBorders>
              <w:top w:val="single" w:sz="8" w:space="0" w:color="FFFFFF"/>
              <w:left w:val="single" w:sz="8" w:space="0" w:color="FFFFFF"/>
              <w:bottom w:val="single" w:sz="8" w:space="0" w:color="FFFFFF"/>
              <w:right w:val="single" w:sz="8" w:space="0" w:color="FFFFFF"/>
            </w:tcBorders>
            <w:shd w:val="clear" w:color="auto" w:fill="F3F9FA"/>
          </w:tcPr>
          <w:p w14:paraId="18ADE2C6" w14:textId="6573B704"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r>
      <w:tr w:rsidR="00C2799F" w:rsidRPr="00B15A79" w14:paraId="52E0CFE9" w14:textId="77777777" w:rsidTr="00C2799F">
        <w:trPr>
          <w:trHeight w:val="271"/>
        </w:trPr>
        <w:tc>
          <w:tcPr>
            <w:tcW w:w="816" w:type="pct"/>
            <w:tcBorders>
              <w:top w:val="single" w:sz="8"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vAlign w:val="bottom"/>
          </w:tcPr>
          <w:p w14:paraId="266DA93E" w14:textId="77777777" w:rsidR="00C2799F" w:rsidRPr="00B15A79" w:rsidRDefault="00C2799F" w:rsidP="00C2799F">
            <w:pPr>
              <w:tabs>
                <w:tab w:val="clear" w:pos="720"/>
              </w:tabs>
              <w:textAlignment w:val="bottom"/>
              <w:rPr>
                <w:rFonts w:asciiTheme="majorHAnsi" w:hAnsiTheme="majorHAnsi" w:cstheme="majorHAnsi"/>
                <w:b/>
                <w:sz w:val="18"/>
                <w:szCs w:val="18"/>
              </w:rPr>
            </w:pPr>
            <w:r w:rsidRPr="00B15A79">
              <w:rPr>
                <w:rFonts w:asciiTheme="majorHAnsi" w:hAnsiTheme="majorHAnsi" w:cstheme="majorHAnsi"/>
                <w:b/>
                <w:color w:val="000000"/>
                <w:sz w:val="18"/>
                <w:szCs w:val="18"/>
              </w:rPr>
              <w:t>Water Consumption</w:t>
            </w:r>
          </w:p>
        </w:tc>
        <w:tc>
          <w:tcPr>
            <w:tcW w:w="515" w:type="pct"/>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5802743B" w14:textId="23410F1D"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562" w:type="pct"/>
            <w:gridSpan w:val="2"/>
            <w:tcBorders>
              <w:top w:val="single" w:sz="8" w:space="0" w:color="FFFFFF"/>
              <w:left w:val="single" w:sz="8" w:space="0" w:color="FFFFFF"/>
              <w:bottom w:val="single" w:sz="8" w:space="0" w:color="FFFFFF"/>
              <w:right w:val="single" w:sz="8" w:space="0" w:color="FFFFFF"/>
            </w:tcBorders>
            <w:shd w:val="clear" w:color="auto" w:fill="E7F3F4"/>
            <w:tcMar>
              <w:top w:w="15" w:type="dxa"/>
              <w:left w:w="75" w:type="dxa"/>
              <w:bottom w:w="0" w:type="dxa"/>
              <w:right w:w="75" w:type="dxa"/>
            </w:tcMar>
          </w:tcPr>
          <w:p w14:paraId="7131EAED" w14:textId="11ED8C47"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E7F3F4"/>
          </w:tcPr>
          <w:p w14:paraId="230E6ABA" w14:textId="612B30DF"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58%</w:t>
            </w:r>
          </w:p>
        </w:tc>
        <w:tc>
          <w:tcPr>
            <w:tcW w:w="362" w:type="pct"/>
            <w:tcBorders>
              <w:top w:val="single" w:sz="8" w:space="0" w:color="FFFFFF"/>
              <w:left w:val="single" w:sz="8" w:space="0" w:color="FFFFFF"/>
              <w:bottom w:val="single" w:sz="8" w:space="0" w:color="FFFFFF"/>
              <w:right w:val="single" w:sz="8" w:space="0" w:color="FFFFFF"/>
            </w:tcBorders>
            <w:shd w:val="clear" w:color="auto" w:fill="E7F3F4"/>
          </w:tcPr>
          <w:p w14:paraId="7B21394F" w14:textId="50FEB3E0"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c>
          <w:tcPr>
            <w:tcW w:w="610" w:type="pct"/>
            <w:tcBorders>
              <w:top w:val="single" w:sz="8" w:space="0" w:color="FFFFFF"/>
              <w:left w:val="single" w:sz="8" w:space="0" w:color="FFFFFF"/>
              <w:bottom w:val="single" w:sz="8" w:space="0" w:color="FFFFFF"/>
              <w:right w:val="single" w:sz="8" w:space="0" w:color="FFFFFF"/>
            </w:tcBorders>
            <w:shd w:val="clear" w:color="auto" w:fill="E7F3F4"/>
          </w:tcPr>
          <w:p w14:paraId="44A08070" w14:textId="5647828C"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2%</w:t>
            </w:r>
          </w:p>
        </w:tc>
        <w:tc>
          <w:tcPr>
            <w:tcW w:w="367" w:type="pct"/>
            <w:gridSpan w:val="2"/>
            <w:tcBorders>
              <w:top w:val="single" w:sz="8" w:space="0" w:color="FFFFFF"/>
              <w:left w:val="single" w:sz="8" w:space="0" w:color="FFFFFF"/>
              <w:bottom w:val="single" w:sz="8" w:space="0" w:color="FFFFFF"/>
              <w:right w:val="single" w:sz="8" w:space="0" w:color="FFFFFF"/>
            </w:tcBorders>
            <w:shd w:val="clear" w:color="auto" w:fill="E7F3F4"/>
          </w:tcPr>
          <w:p w14:paraId="5C6C2286" w14:textId="10681D76"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1%</w:t>
            </w:r>
          </w:p>
        </w:tc>
        <w:tc>
          <w:tcPr>
            <w:tcW w:w="502" w:type="pct"/>
            <w:gridSpan w:val="2"/>
            <w:tcBorders>
              <w:top w:val="single" w:sz="8" w:space="0" w:color="FFFFFF"/>
              <w:left w:val="single" w:sz="8" w:space="0" w:color="FFFFFF"/>
              <w:bottom w:val="single" w:sz="8" w:space="0" w:color="FFFFFF"/>
              <w:right w:val="single" w:sz="8" w:space="0" w:color="FFFFFF"/>
            </w:tcBorders>
            <w:shd w:val="clear" w:color="auto" w:fill="E7F3F4"/>
          </w:tcPr>
          <w:p w14:paraId="3B7566B7" w14:textId="053F013A"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33%</w:t>
            </w:r>
          </w:p>
        </w:tc>
        <w:tc>
          <w:tcPr>
            <w:tcW w:w="362" w:type="pct"/>
            <w:gridSpan w:val="2"/>
            <w:tcBorders>
              <w:top w:val="single" w:sz="8" w:space="0" w:color="FFFFFF"/>
              <w:left w:val="single" w:sz="8" w:space="0" w:color="FFFFFF"/>
              <w:bottom w:val="single" w:sz="8" w:space="0" w:color="FFFFFF"/>
              <w:right w:val="single" w:sz="8" w:space="0" w:color="FFFFFF"/>
            </w:tcBorders>
            <w:shd w:val="clear" w:color="auto" w:fill="E7F3F4"/>
          </w:tcPr>
          <w:p w14:paraId="21F253DF" w14:textId="5D1EBAE0"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5%</w:t>
            </w:r>
          </w:p>
        </w:tc>
        <w:tc>
          <w:tcPr>
            <w:tcW w:w="402" w:type="pct"/>
            <w:tcBorders>
              <w:top w:val="single" w:sz="8" w:space="0" w:color="FFFFFF"/>
              <w:left w:val="single" w:sz="8" w:space="0" w:color="FFFFFF"/>
              <w:bottom w:val="single" w:sz="8" w:space="0" w:color="FFFFFF"/>
              <w:right w:val="single" w:sz="8" w:space="0" w:color="FFFFFF"/>
            </w:tcBorders>
            <w:shd w:val="clear" w:color="auto" w:fill="E7F3F4"/>
          </w:tcPr>
          <w:p w14:paraId="6888603C" w14:textId="7EF4150A" w:rsidR="00C2799F" w:rsidRPr="005352A2" w:rsidRDefault="00C2799F" w:rsidP="00C2799F">
            <w:pPr>
              <w:tabs>
                <w:tab w:val="clear" w:pos="720"/>
              </w:tabs>
              <w:jc w:val="center"/>
              <w:rPr>
                <w:rFonts w:asciiTheme="majorHAnsi" w:hAnsiTheme="majorHAnsi" w:cstheme="majorHAnsi"/>
                <w:color w:val="000000"/>
                <w:sz w:val="18"/>
                <w:szCs w:val="18"/>
              </w:rPr>
            </w:pPr>
            <w:r w:rsidRPr="00C2799F">
              <w:rPr>
                <w:rFonts w:asciiTheme="majorHAnsi" w:hAnsiTheme="majorHAnsi" w:cstheme="majorHAnsi"/>
                <w:color w:val="000000"/>
                <w:sz w:val="18"/>
                <w:szCs w:val="18"/>
              </w:rPr>
              <w:t>0%</w:t>
            </w:r>
          </w:p>
        </w:tc>
      </w:tr>
    </w:tbl>
    <w:p w14:paraId="1008B532" w14:textId="77777777" w:rsidR="00B12556" w:rsidRPr="00B12556" w:rsidRDefault="00B12556" w:rsidP="00B12556"/>
    <w:p w14:paraId="3FE4FCB3" w14:textId="2C3BFDD5" w:rsidR="008A45FE" w:rsidRDefault="009865BD" w:rsidP="003C5EF0">
      <w:pPr>
        <w:pStyle w:val="Heading2"/>
      </w:pPr>
      <w:bookmarkStart w:id="308" w:name="_Ref524950725"/>
      <w:bookmarkStart w:id="309" w:name="_Ref524965166"/>
      <w:bookmarkStart w:id="310" w:name="_Ref525039328"/>
      <w:bookmarkStart w:id="311" w:name="_Toc525246217"/>
      <w:bookmarkStart w:id="312" w:name="_Toc533009175"/>
      <w:r>
        <w:t>S</w:t>
      </w:r>
      <w:r w:rsidR="00454BAC">
        <w:t>ensitivity Analysis Results</w:t>
      </w:r>
      <w:bookmarkEnd w:id="308"/>
      <w:bookmarkEnd w:id="309"/>
      <w:bookmarkEnd w:id="310"/>
      <w:bookmarkEnd w:id="311"/>
      <w:bookmarkEnd w:id="312"/>
    </w:p>
    <w:p w14:paraId="3E6F14F9" w14:textId="6BA46E98" w:rsidR="00454BAC" w:rsidRDefault="00454BAC" w:rsidP="00B17F75">
      <w:pPr>
        <w:pStyle w:val="BodyText"/>
      </w:pPr>
      <w:r>
        <w:t xml:space="preserve">This </w:t>
      </w:r>
      <w:r w:rsidR="008B2905">
        <w:t>section</w:t>
      </w:r>
      <w:r>
        <w:t xml:space="preserve"> covers</w:t>
      </w:r>
      <w:r w:rsidRPr="00B548CA">
        <w:t xml:space="preserve"> </w:t>
      </w:r>
      <w:r w:rsidR="008B2905">
        <w:t>t</w:t>
      </w:r>
      <w:r w:rsidR="002A5634">
        <w:t>hree</w:t>
      </w:r>
      <w:r w:rsidR="008B2905">
        <w:t xml:space="preserve"> sensitivity analyses for the AWG systems LCA and </w:t>
      </w:r>
      <w:r w:rsidR="0054300B">
        <w:t>four</w:t>
      </w:r>
      <w:r w:rsidRPr="00B548CA">
        <w:t xml:space="preserve"> </w:t>
      </w:r>
      <w:r>
        <w:t>sensitivity analyses for the bottled water LCA:</w:t>
      </w:r>
    </w:p>
    <w:p w14:paraId="3021BCD6" w14:textId="1F550FCB" w:rsidR="002E3CD2" w:rsidRDefault="002E3CD2" w:rsidP="00B17F75">
      <w:pPr>
        <w:pStyle w:val="BodyText2"/>
      </w:pPr>
      <w:r>
        <w:t>Sensitivity Analyses for AWG Systems:</w:t>
      </w:r>
    </w:p>
    <w:p w14:paraId="2631E352" w14:textId="6954A510" w:rsidR="002E3CD2" w:rsidRDefault="002E3CD2" w:rsidP="00B17F75">
      <w:pPr>
        <w:pStyle w:val="ListNumber"/>
      </w:pPr>
      <w:r>
        <w:t xml:space="preserve">Variation across four </w:t>
      </w:r>
      <w:r w:rsidR="00F64AD0">
        <w:t xml:space="preserve">electrical </w:t>
      </w:r>
      <w:r>
        <w:t>grid mix options</w:t>
      </w:r>
    </w:p>
    <w:p w14:paraId="62EA80DA" w14:textId="2D63F72C" w:rsidR="002E3CD2" w:rsidRDefault="00EC7F7F" w:rsidP="00B17F75">
      <w:pPr>
        <w:pStyle w:val="ListNumber"/>
      </w:pPr>
      <w:r>
        <w:t>Reusable</w:t>
      </w:r>
      <w:r w:rsidR="002E3CD2">
        <w:t xml:space="preserve"> container washing method</w:t>
      </w:r>
    </w:p>
    <w:p w14:paraId="477DF591" w14:textId="1C7CE5FB" w:rsidR="00392BDA" w:rsidRDefault="00392BDA" w:rsidP="00B17F75">
      <w:pPr>
        <w:pStyle w:val="ListNumber"/>
      </w:pPr>
      <w:r>
        <w:t>Water production</w:t>
      </w:r>
    </w:p>
    <w:p w14:paraId="634C1BCA" w14:textId="77777777" w:rsidR="002E3CD2" w:rsidRDefault="002E3CD2" w:rsidP="002E3CD2">
      <w:pPr>
        <w:tabs>
          <w:tab w:val="clear" w:pos="720"/>
        </w:tabs>
        <w:jc w:val="both"/>
      </w:pPr>
    </w:p>
    <w:p w14:paraId="0C403093" w14:textId="216D869A" w:rsidR="002E3CD2" w:rsidRDefault="002E3CD2" w:rsidP="00B17F75">
      <w:pPr>
        <w:pStyle w:val="BodyText2"/>
      </w:pPr>
      <w:r>
        <w:t>Sensitivity Analyses for Bottled Water Systems:</w:t>
      </w:r>
    </w:p>
    <w:p w14:paraId="541287B9" w14:textId="462C95E7" w:rsidR="002E3CD2" w:rsidRDefault="000969C3" w:rsidP="00B17F75">
      <w:pPr>
        <w:pStyle w:val="ListNumber"/>
        <w:numPr>
          <w:ilvl w:val="0"/>
          <w:numId w:val="37"/>
        </w:numPr>
        <w:ind w:left="1080" w:hanging="360"/>
      </w:pPr>
      <w:r>
        <w:t>W</w:t>
      </w:r>
      <w:r w:rsidR="002E3CD2">
        <w:t>eight option</w:t>
      </w:r>
      <w:r>
        <w:t>s</w:t>
      </w:r>
      <w:r w:rsidR="002E3CD2">
        <w:t xml:space="preserve"> for 16.9 oz bottle</w:t>
      </w:r>
      <w:r>
        <w:t xml:space="preserve"> (with </w:t>
      </w:r>
      <w:r w:rsidR="00392BDA">
        <w:t xml:space="preserve">and without </w:t>
      </w:r>
      <w:r>
        <w:t>recycled content)</w:t>
      </w:r>
    </w:p>
    <w:p w14:paraId="65EDB3A0" w14:textId="0088FB9A" w:rsidR="002E3CD2" w:rsidRDefault="002E3CD2" w:rsidP="00B17F75">
      <w:pPr>
        <w:pStyle w:val="ListNumber"/>
      </w:pPr>
      <w:bookmarkStart w:id="313" w:name="OLE_LINK1"/>
      <w:r>
        <w:t>Variation in transport distances for re-u</w:t>
      </w:r>
      <w:r w:rsidR="007C6450">
        <w:t>s</w:t>
      </w:r>
      <w:r>
        <w:t>able jug</w:t>
      </w:r>
    </w:p>
    <w:bookmarkEnd w:id="313"/>
    <w:p w14:paraId="6B10DEC8" w14:textId="77777777" w:rsidR="002E3CD2" w:rsidRDefault="002E3CD2" w:rsidP="00B17F75">
      <w:pPr>
        <w:pStyle w:val="ListNumber"/>
      </w:pPr>
      <w:r w:rsidRPr="00B548CA">
        <w:t>Recycling allocation method (system expansion versus cut-off)</w:t>
      </w:r>
    </w:p>
    <w:p w14:paraId="3761AD23" w14:textId="0783440E" w:rsidR="002E3CD2" w:rsidRDefault="002E3CD2" w:rsidP="00B17F75">
      <w:pPr>
        <w:pStyle w:val="ListNumber"/>
      </w:pPr>
      <w:r>
        <w:t>Bottled water source</w:t>
      </w:r>
      <w:r w:rsidR="006763BD">
        <w:t xml:space="preserve"> (spring water vs. </w:t>
      </w:r>
      <w:r w:rsidR="0000770E">
        <w:t xml:space="preserve">treated </w:t>
      </w:r>
      <w:r w:rsidR="006763BD">
        <w:t>municipal water)</w:t>
      </w:r>
    </w:p>
    <w:p w14:paraId="46845738" w14:textId="50BB20C1" w:rsidR="00454BAC" w:rsidRDefault="008B2905" w:rsidP="008B2905">
      <w:pPr>
        <w:pStyle w:val="Heading3"/>
      </w:pPr>
      <w:bookmarkStart w:id="314" w:name="_Toc525246218"/>
      <w:bookmarkStart w:id="315" w:name="_Toc533009176"/>
      <w:r>
        <w:t>Sensitivity Analyses</w:t>
      </w:r>
      <w:r w:rsidR="002E3CD2">
        <w:t xml:space="preserve"> for</w:t>
      </w:r>
      <w:r>
        <w:t xml:space="preserve"> AWG Systems</w:t>
      </w:r>
      <w:bookmarkEnd w:id="314"/>
      <w:bookmarkEnd w:id="315"/>
    </w:p>
    <w:p w14:paraId="26972FE6" w14:textId="77777777" w:rsidR="00D16C82" w:rsidRDefault="00D16C82" w:rsidP="00D16C82">
      <w:pPr>
        <w:pStyle w:val="Heading4"/>
      </w:pPr>
      <w:r>
        <w:t>Variation across four grid mix options</w:t>
      </w:r>
    </w:p>
    <w:p w14:paraId="4BCE104C" w14:textId="2EEF1C32" w:rsidR="00D96F90" w:rsidRDefault="00D16C82" w:rsidP="00B17F75">
      <w:pPr>
        <w:pStyle w:val="BodyText"/>
      </w:pPr>
      <w:r>
        <w:t>This sensitivity analysis includes f</w:t>
      </w:r>
      <w:r w:rsidR="00D96F90" w:rsidRPr="00D96F90">
        <w:t xml:space="preserve">our </w:t>
      </w:r>
      <w:r>
        <w:t>e</w:t>
      </w:r>
      <w:r w:rsidR="00FF6EA1">
        <w:t xml:space="preserve">lectrical </w:t>
      </w:r>
      <w:r>
        <w:t>g</w:t>
      </w:r>
      <w:r w:rsidR="00D96F90" w:rsidRPr="00D96F90">
        <w:t xml:space="preserve">rid </w:t>
      </w:r>
      <w:r>
        <w:t>m</w:t>
      </w:r>
      <w:r w:rsidR="00D96F90" w:rsidRPr="00D96F90">
        <w:t xml:space="preserve">ix </w:t>
      </w:r>
      <w:r>
        <w:t>o</w:t>
      </w:r>
      <w:r w:rsidR="00D96F90" w:rsidRPr="00D96F90">
        <w:t>ptions</w:t>
      </w:r>
      <w:r>
        <w:t xml:space="preserve"> i</w:t>
      </w:r>
      <w:r w:rsidR="003D269A">
        <w:t>n order to compare the effect of using a variety of electrical grids to represent a variety in locations of use and a range of resource mixes</w:t>
      </w:r>
      <w:r w:rsidR="00264443">
        <w:t>.</w:t>
      </w:r>
      <w:r w:rsidR="003D269A">
        <w:t xml:space="preserve"> </w:t>
      </w:r>
      <w:r w:rsidR="00264443">
        <w:t>W</w:t>
      </w:r>
      <w:r w:rsidR="003D269A">
        <w:t xml:space="preserve">e </w:t>
      </w:r>
      <w:r w:rsidR="00FA49B3">
        <w:t>analyzed</w:t>
      </w:r>
      <w:r w:rsidR="0048440E">
        <w:t xml:space="preserve"> the impacts of using</w:t>
      </w:r>
      <w:r w:rsidR="003D269A">
        <w:t xml:space="preserve"> four eG</w:t>
      </w:r>
      <w:r w:rsidR="00BE6B42">
        <w:t>RID</w:t>
      </w:r>
      <w:r w:rsidR="003D269A">
        <w:t xml:space="preserve"> subregion options</w:t>
      </w:r>
      <w:r w:rsidR="00264443">
        <w:t>:</w:t>
      </w:r>
      <w:r w:rsidR="003D269A">
        <w:t xml:space="preserve"> Average U.S.</w:t>
      </w:r>
      <w:r w:rsidR="00F64AD0">
        <w:t xml:space="preserve"> (baseline)</w:t>
      </w:r>
      <w:r w:rsidR="003D269A">
        <w:t>, RFCW</w:t>
      </w:r>
      <w:r w:rsidR="00264443">
        <w:t xml:space="preserve"> (maximum impact option)</w:t>
      </w:r>
      <w:r w:rsidR="003D269A">
        <w:t xml:space="preserve">, FRCC and CAMX (low impact option) to operate </w:t>
      </w:r>
      <w:r w:rsidR="003D269A">
        <w:lastRenderedPageBreak/>
        <w:t xml:space="preserve">the AWGs </w:t>
      </w:r>
      <w:r w:rsidR="0048440E">
        <w:t>at their average water production volumes per day</w:t>
      </w:r>
      <w:r w:rsidR="003D269A">
        <w:t xml:space="preserve">. </w:t>
      </w:r>
      <w:r w:rsidR="00C6660A" w:rsidRPr="003D269A">
        <w:t xml:space="preserve">This sensitivity analysis highlights the variation in impacts for all scales </w:t>
      </w:r>
      <w:r w:rsidR="003D269A">
        <w:t xml:space="preserve">in the </w:t>
      </w:r>
      <w:r w:rsidR="00C6660A" w:rsidRPr="003D269A">
        <w:t xml:space="preserve">operational stage of </w:t>
      </w:r>
      <w:r w:rsidR="003D269A">
        <w:t xml:space="preserve">their </w:t>
      </w:r>
      <w:r w:rsidR="00C6660A" w:rsidRPr="003D269A">
        <w:t>lifecycle</w:t>
      </w:r>
      <w:r w:rsidR="003D269A">
        <w:t xml:space="preserve">s. The impacts are calculated on per day bases. </w:t>
      </w:r>
      <w:r w:rsidR="003D269A">
        <w:fldChar w:fldCharType="begin"/>
      </w:r>
      <w:r w:rsidR="003D269A">
        <w:instrText xml:space="preserve"> REF _Ref524529369 \h </w:instrText>
      </w:r>
      <w:r w:rsidR="003D269A">
        <w:fldChar w:fldCharType="separate"/>
      </w:r>
      <w:r w:rsidR="008072BC">
        <w:t xml:space="preserve">Table </w:t>
      </w:r>
      <w:r w:rsidR="008072BC">
        <w:rPr>
          <w:noProof/>
        </w:rPr>
        <w:t>14</w:t>
      </w:r>
      <w:r w:rsidR="003D269A">
        <w:fldChar w:fldCharType="end"/>
      </w:r>
      <w:r w:rsidR="003D269A">
        <w:t xml:space="preserve"> shows the electricity impacts per kWh of electricity derived from each of the eG</w:t>
      </w:r>
      <w:r w:rsidR="00BE6B42">
        <w:t>RID</w:t>
      </w:r>
      <w:r w:rsidR="003D269A">
        <w:t xml:space="preserve"> subregion options. </w:t>
      </w:r>
      <w:r w:rsidR="0084312C">
        <w:t xml:space="preserve">RFCW has the highest </w:t>
      </w:r>
      <w:r w:rsidR="00264443">
        <w:t>c</w:t>
      </w:r>
      <w:r w:rsidR="0084312C">
        <w:t>umulative energy demand and global warming potential due to high coal and nuclear resource percentage</w:t>
      </w:r>
      <w:r w:rsidR="00264443">
        <w:t>,</w:t>
      </w:r>
      <w:r w:rsidR="0084312C">
        <w:t xml:space="preserve"> whereas</w:t>
      </w:r>
      <w:r w:rsidR="00264443">
        <w:t>,</w:t>
      </w:r>
      <w:r w:rsidR="0084312C">
        <w:t xml:space="preserve"> CAMX has the highest water consumption due to high energy contribution from hydropower</w:t>
      </w:r>
      <w:r>
        <w:t xml:space="preserve"> because evaporative losses from establishment of dams is included</w:t>
      </w:r>
      <w:r w:rsidR="0084312C">
        <w:t>.</w:t>
      </w:r>
      <w:r w:rsidR="004705B5">
        <w:t xml:space="preserve"> The two AWG product systems were modeled to operate under the four eG</w:t>
      </w:r>
      <w:r w:rsidR="00BE6B42">
        <w:t>RID</w:t>
      </w:r>
      <w:r w:rsidR="004705B5">
        <w:t xml:space="preserve"> subregions and the daily impacts </w:t>
      </w:r>
      <w:r w:rsidR="00C25062">
        <w:t>of the large</w:t>
      </w:r>
      <w:r w:rsidR="00BE6B42">
        <w:t>-</w:t>
      </w:r>
      <w:r w:rsidR="00C25062">
        <w:t xml:space="preserve"> and medium</w:t>
      </w:r>
      <w:r w:rsidR="00BE6B42">
        <w:t>-</w:t>
      </w:r>
      <w:r w:rsidR="00C25062">
        <w:t xml:space="preserve">scale units </w:t>
      </w:r>
      <w:r w:rsidR="00DE028F">
        <w:t xml:space="preserve">on select categories </w:t>
      </w:r>
      <w:r w:rsidR="004705B5">
        <w:t xml:space="preserve">are </w:t>
      </w:r>
      <w:r w:rsidR="00D73BD5">
        <w:t>shown</w:t>
      </w:r>
      <w:r w:rsidR="004705B5">
        <w:t xml:space="preserve"> in </w:t>
      </w:r>
      <w:r w:rsidR="004705B5">
        <w:fldChar w:fldCharType="begin"/>
      </w:r>
      <w:r w:rsidR="004705B5">
        <w:instrText xml:space="preserve"> REF _Ref524530909 \h </w:instrText>
      </w:r>
      <w:r w:rsidR="004705B5">
        <w:fldChar w:fldCharType="separate"/>
      </w:r>
      <w:r w:rsidR="008072BC">
        <w:t xml:space="preserve">Figure </w:t>
      </w:r>
      <w:r w:rsidR="008072BC">
        <w:rPr>
          <w:noProof/>
        </w:rPr>
        <w:t>11</w:t>
      </w:r>
      <w:r w:rsidR="004705B5">
        <w:fldChar w:fldCharType="end"/>
      </w:r>
      <w:r w:rsidR="004705B5">
        <w:t>.</w:t>
      </w:r>
      <w:r w:rsidR="00DE028F">
        <w:t xml:space="preserve"> </w:t>
      </w:r>
      <w:r w:rsidR="001C39C7">
        <w:t>The impacts</w:t>
      </w:r>
      <w:r>
        <w:t xml:space="preserve"> are from the different volumes of water produced and</w:t>
      </w:r>
      <w:r w:rsidR="001C39C7">
        <w:t xml:space="preserve"> are generally higher for the Ecoloblue AWGs for </w:t>
      </w:r>
      <w:r w:rsidR="00D13486">
        <w:t>the large and medium scales units</w:t>
      </w:r>
      <w:r>
        <w:t xml:space="preserve"> due to EcoloBlue reporting higher kWh/L values for operation. The results are less significant from the small scale AWGs</w:t>
      </w:r>
      <w:r w:rsidR="00264443">
        <w:t>,</w:t>
      </w:r>
      <w:r>
        <w:t xml:space="preserve"> thus</w:t>
      </w:r>
      <w:r w:rsidR="00264443">
        <w:t>,</w:t>
      </w:r>
      <w:r>
        <w:t xml:space="preserve"> not shown</w:t>
      </w:r>
      <w:r w:rsidR="00DE028F">
        <w:t xml:space="preserve">. The RFCW option has the highest cumulative energy demand and global warming potential whereas </w:t>
      </w:r>
      <w:r w:rsidR="00052382">
        <w:t>global warming potential</w:t>
      </w:r>
      <w:r w:rsidR="005A6AD9">
        <w:t xml:space="preserve"> and cumulative energy demand</w:t>
      </w:r>
      <w:r w:rsidR="00052382">
        <w:t xml:space="preserve"> </w:t>
      </w:r>
      <w:r w:rsidR="005A6AD9">
        <w:t>are</w:t>
      </w:r>
      <w:r w:rsidR="00052382">
        <w:t xml:space="preserve"> lowest </w:t>
      </w:r>
      <w:r w:rsidR="00DE028F">
        <w:t>under the CAMX option</w:t>
      </w:r>
      <w:r w:rsidR="005A6AD9">
        <w:t>, although it has the highest water consumption of all four options</w:t>
      </w:r>
      <w:r w:rsidR="00F64AD0">
        <w:t xml:space="preserve"> due to the prevalence of hydro-based electricity in this option</w:t>
      </w:r>
      <w:r w:rsidR="00DE028F">
        <w:t>.</w:t>
      </w:r>
      <w:r w:rsidR="00F64AD0">
        <w:t xml:space="preserve"> </w:t>
      </w:r>
    </w:p>
    <w:tbl>
      <w:tblPr>
        <w:tblW w:w="5000" w:type="pct"/>
        <w:jc w:val="center"/>
        <w:tblLook w:val="04A0" w:firstRow="1" w:lastRow="0" w:firstColumn="1" w:lastColumn="0" w:noHBand="0" w:noVBand="1"/>
      </w:tblPr>
      <w:tblGrid>
        <w:gridCol w:w="2321"/>
        <w:gridCol w:w="1481"/>
        <w:gridCol w:w="1077"/>
        <w:gridCol w:w="1616"/>
        <w:gridCol w:w="1503"/>
        <w:gridCol w:w="1302"/>
      </w:tblGrid>
      <w:tr w:rsidR="00B17F75" w:rsidRPr="00AF1587" w14:paraId="46F8A444" w14:textId="77777777" w:rsidTr="007A6C36">
        <w:trPr>
          <w:trHeight w:val="718"/>
          <w:tblHeader/>
          <w:jc w:val="center"/>
        </w:trPr>
        <w:tc>
          <w:tcPr>
            <w:tcW w:w="5000" w:type="pct"/>
            <w:gridSpan w:val="6"/>
            <w:tcBorders>
              <w:top w:val="single" w:sz="24" w:space="0" w:color="FFFFFF"/>
              <w:left w:val="single" w:sz="24" w:space="0" w:color="FFFFFF"/>
              <w:right w:val="single" w:sz="24" w:space="0" w:color="FFFFFF"/>
            </w:tcBorders>
            <w:shd w:val="clear" w:color="auto" w:fill="FFFFFF" w:themeFill="background1"/>
            <w:vAlign w:val="center"/>
          </w:tcPr>
          <w:p w14:paraId="3F414B75" w14:textId="0FFCCD2E" w:rsidR="00B17F75" w:rsidRPr="00AF1587" w:rsidRDefault="00B17F75" w:rsidP="00B17F75">
            <w:pPr>
              <w:pStyle w:val="TableTitle"/>
              <w:rPr>
                <w:rFonts w:ascii="Calibri" w:hAnsi="Calibri" w:cs="Calibri"/>
                <w:bCs/>
                <w:color w:val="000000"/>
                <w:sz w:val="18"/>
                <w:szCs w:val="18"/>
              </w:rPr>
            </w:pPr>
            <w:bookmarkStart w:id="316" w:name="_Ref524529369"/>
            <w:bookmarkStart w:id="317" w:name="_Ref524529363"/>
            <w:bookmarkStart w:id="318" w:name="_Toc524636931"/>
            <w:bookmarkStart w:id="319" w:name="_Toc533009194"/>
            <w:r>
              <w:t xml:space="preserve">Table </w:t>
            </w:r>
            <w:r>
              <w:rPr>
                <w:noProof/>
              </w:rPr>
              <w:fldChar w:fldCharType="begin"/>
            </w:r>
            <w:r>
              <w:rPr>
                <w:noProof/>
              </w:rPr>
              <w:instrText xml:space="preserve"> SEQ Table \* ARABIC </w:instrText>
            </w:r>
            <w:r>
              <w:rPr>
                <w:noProof/>
              </w:rPr>
              <w:fldChar w:fldCharType="separate"/>
            </w:r>
            <w:r w:rsidR="008072BC">
              <w:rPr>
                <w:noProof/>
              </w:rPr>
              <w:t>14</w:t>
            </w:r>
            <w:r>
              <w:rPr>
                <w:noProof/>
              </w:rPr>
              <w:fldChar w:fldCharType="end"/>
            </w:r>
            <w:bookmarkEnd w:id="316"/>
            <w:r>
              <w:t>. Regional Electricity Impacts per kWh</w:t>
            </w:r>
            <w:bookmarkEnd w:id="317"/>
            <w:bookmarkEnd w:id="318"/>
            <w:bookmarkEnd w:id="319"/>
          </w:p>
        </w:tc>
      </w:tr>
      <w:tr w:rsidR="00AF1587" w:rsidRPr="00AF1587" w14:paraId="25E8F051" w14:textId="77777777" w:rsidTr="007A6C36">
        <w:trPr>
          <w:trHeight w:val="718"/>
          <w:tblHeader/>
          <w:jc w:val="center"/>
        </w:trPr>
        <w:tc>
          <w:tcPr>
            <w:tcW w:w="1248" w:type="pct"/>
            <w:tcBorders>
              <w:top w:val="single" w:sz="24" w:space="0" w:color="FFFFFF"/>
              <w:left w:val="single" w:sz="8" w:space="0" w:color="FFFFFF"/>
              <w:bottom w:val="single" w:sz="12" w:space="0" w:color="FFFFFF"/>
              <w:right w:val="single" w:sz="8" w:space="0" w:color="FFFFFF"/>
            </w:tcBorders>
            <w:shd w:val="clear" w:color="000000" w:fill="BBE0E3"/>
            <w:vAlign w:val="center"/>
            <w:hideMark/>
          </w:tcPr>
          <w:p w14:paraId="231BE608" w14:textId="77777777" w:rsidR="00AF1587" w:rsidRPr="00AF1587" w:rsidRDefault="00AF1587" w:rsidP="00AF1587">
            <w:pPr>
              <w:tabs>
                <w:tab w:val="clear" w:pos="720"/>
              </w:tabs>
              <w:jc w:val="center"/>
              <w:rPr>
                <w:rFonts w:ascii="Calibri" w:hAnsi="Calibri" w:cs="Calibri"/>
                <w:b/>
                <w:bCs/>
                <w:color w:val="000000"/>
                <w:sz w:val="18"/>
                <w:szCs w:val="18"/>
              </w:rPr>
            </w:pPr>
            <w:r w:rsidRPr="00AF1587">
              <w:rPr>
                <w:rFonts w:ascii="Calibri" w:hAnsi="Calibri" w:cs="Calibri"/>
                <w:b/>
                <w:bCs/>
                <w:color w:val="000000"/>
                <w:sz w:val="18"/>
                <w:szCs w:val="18"/>
              </w:rPr>
              <w:t>Impact category</w:t>
            </w:r>
          </w:p>
        </w:tc>
        <w:tc>
          <w:tcPr>
            <w:tcW w:w="796" w:type="pct"/>
            <w:tcBorders>
              <w:top w:val="single" w:sz="24" w:space="0" w:color="FFFFFF"/>
              <w:left w:val="nil"/>
              <w:bottom w:val="single" w:sz="12" w:space="0" w:color="FFFFFF"/>
              <w:right w:val="single" w:sz="8" w:space="0" w:color="FFFFFF"/>
            </w:tcBorders>
            <w:shd w:val="clear" w:color="000000" w:fill="BBE0E3"/>
            <w:vAlign w:val="center"/>
            <w:hideMark/>
          </w:tcPr>
          <w:p w14:paraId="0054858B" w14:textId="77777777" w:rsidR="00AF1587" w:rsidRPr="00AF1587" w:rsidRDefault="00AF1587" w:rsidP="00AF1587">
            <w:pPr>
              <w:tabs>
                <w:tab w:val="clear" w:pos="720"/>
              </w:tabs>
              <w:jc w:val="center"/>
              <w:rPr>
                <w:rFonts w:ascii="Calibri" w:hAnsi="Calibri" w:cs="Calibri"/>
                <w:b/>
                <w:bCs/>
                <w:color w:val="000000"/>
                <w:sz w:val="18"/>
                <w:szCs w:val="18"/>
              </w:rPr>
            </w:pPr>
            <w:r w:rsidRPr="00AF1587">
              <w:rPr>
                <w:rFonts w:ascii="Calibri" w:hAnsi="Calibri" w:cs="Calibri"/>
                <w:b/>
                <w:bCs/>
                <w:color w:val="000000"/>
                <w:sz w:val="18"/>
                <w:szCs w:val="18"/>
              </w:rPr>
              <w:t>Unit</w:t>
            </w:r>
          </w:p>
        </w:tc>
        <w:tc>
          <w:tcPr>
            <w:tcW w:w="579" w:type="pct"/>
            <w:tcBorders>
              <w:top w:val="single" w:sz="24" w:space="0" w:color="FFFFFF"/>
              <w:left w:val="nil"/>
              <w:bottom w:val="single" w:sz="12" w:space="0" w:color="FFFFFF"/>
              <w:right w:val="single" w:sz="8" w:space="0" w:color="FFFFFF"/>
            </w:tcBorders>
            <w:shd w:val="clear" w:color="000000" w:fill="BBE0E3"/>
            <w:vAlign w:val="center"/>
            <w:hideMark/>
          </w:tcPr>
          <w:p w14:paraId="4593E7A8" w14:textId="0DB8A3CE" w:rsidR="00AF1587" w:rsidRPr="00AF1587" w:rsidRDefault="00AF1587" w:rsidP="00AF1587">
            <w:pPr>
              <w:tabs>
                <w:tab w:val="clear" w:pos="720"/>
              </w:tabs>
              <w:jc w:val="center"/>
              <w:rPr>
                <w:rFonts w:ascii="Calibri" w:hAnsi="Calibri" w:cs="Calibri"/>
                <w:b/>
                <w:bCs/>
                <w:color w:val="000000"/>
                <w:sz w:val="18"/>
                <w:szCs w:val="18"/>
              </w:rPr>
            </w:pPr>
            <w:r w:rsidRPr="00AF1587">
              <w:rPr>
                <w:rFonts w:ascii="Calibri" w:hAnsi="Calibri" w:cs="Calibri"/>
                <w:b/>
                <w:bCs/>
                <w:color w:val="000000"/>
                <w:sz w:val="18"/>
                <w:szCs w:val="18"/>
              </w:rPr>
              <w:t xml:space="preserve">US </w:t>
            </w:r>
            <w:r w:rsidR="00C66A98">
              <w:rPr>
                <w:rFonts w:ascii="Calibri" w:hAnsi="Calibri" w:cs="Calibri"/>
                <w:b/>
                <w:bCs/>
                <w:color w:val="000000"/>
                <w:sz w:val="18"/>
                <w:szCs w:val="18"/>
              </w:rPr>
              <w:t>A</w:t>
            </w:r>
            <w:r w:rsidRPr="00AF1587">
              <w:rPr>
                <w:rFonts w:ascii="Calibri" w:hAnsi="Calibri" w:cs="Calibri"/>
                <w:b/>
                <w:bCs/>
                <w:color w:val="000000"/>
                <w:sz w:val="18"/>
                <w:szCs w:val="18"/>
              </w:rPr>
              <w:t>verage</w:t>
            </w:r>
          </w:p>
        </w:tc>
        <w:tc>
          <w:tcPr>
            <w:tcW w:w="869" w:type="pct"/>
            <w:tcBorders>
              <w:top w:val="single" w:sz="24" w:space="0" w:color="FFFFFF"/>
              <w:left w:val="nil"/>
              <w:bottom w:val="single" w:sz="12" w:space="0" w:color="FFFFFF"/>
              <w:right w:val="single" w:sz="8" w:space="0" w:color="FFFFFF"/>
            </w:tcBorders>
            <w:shd w:val="clear" w:color="000000" w:fill="BBE0E3"/>
            <w:vAlign w:val="center"/>
            <w:hideMark/>
          </w:tcPr>
          <w:p w14:paraId="562B00C8" w14:textId="77777777" w:rsidR="00AF1587" w:rsidRPr="00AF1587" w:rsidRDefault="00AF1587" w:rsidP="00AF1587">
            <w:pPr>
              <w:tabs>
                <w:tab w:val="clear" w:pos="720"/>
              </w:tabs>
              <w:jc w:val="center"/>
              <w:rPr>
                <w:rFonts w:ascii="Calibri" w:hAnsi="Calibri" w:cs="Calibri"/>
                <w:b/>
                <w:bCs/>
                <w:color w:val="000000"/>
                <w:sz w:val="18"/>
                <w:szCs w:val="18"/>
              </w:rPr>
            </w:pPr>
            <w:r w:rsidRPr="00AF1587">
              <w:rPr>
                <w:rFonts w:ascii="Calibri" w:hAnsi="Calibri" w:cs="Calibri"/>
                <w:b/>
                <w:bCs/>
                <w:color w:val="000000"/>
                <w:sz w:val="18"/>
                <w:szCs w:val="18"/>
              </w:rPr>
              <w:t>RFCW</w:t>
            </w:r>
          </w:p>
        </w:tc>
        <w:tc>
          <w:tcPr>
            <w:tcW w:w="808" w:type="pct"/>
            <w:tcBorders>
              <w:top w:val="single" w:sz="24" w:space="0" w:color="FFFFFF"/>
              <w:left w:val="nil"/>
              <w:bottom w:val="single" w:sz="12" w:space="0" w:color="FFFFFF"/>
              <w:right w:val="single" w:sz="8" w:space="0" w:color="FFFFFF"/>
            </w:tcBorders>
            <w:shd w:val="clear" w:color="000000" w:fill="BBE0E3"/>
            <w:vAlign w:val="center"/>
            <w:hideMark/>
          </w:tcPr>
          <w:p w14:paraId="4AC9DE55" w14:textId="77777777" w:rsidR="00AF1587" w:rsidRPr="00AF1587" w:rsidRDefault="00AF1587" w:rsidP="00AF1587">
            <w:pPr>
              <w:tabs>
                <w:tab w:val="clear" w:pos="720"/>
              </w:tabs>
              <w:jc w:val="center"/>
              <w:rPr>
                <w:rFonts w:ascii="Calibri" w:hAnsi="Calibri" w:cs="Calibri"/>
                <w:b/>
                <w:bCs/>
                <w:color w:val="000000"/>
                <w:sz w:val="18"/>
                <w:szCs w:val="18"/>
              </w:rPr>
            </w:pPr>
            <w:r w:rsidRPr="00AF1587">
              <w:rPr>
                <w:rFonts w:ascii="Calibri" w:hAnsi="Calibri" w:cs="Calibri"/>
                <w:b/>
                <w:bCs/>
                <w:color w:val="000000"/>
                <w:sz w:val="18"/>
                <w:szCs w:val="18"/>
              </w:rPr>
              <w:t>FRCC</w:t>
            </w:r>
          </w:p>
        </w:tc>
        <w:tc>
          <w:tcPr>
            <w:tcW w:w="700" w:type="pct"/>
            <w:tcBorders>
              <w:top w:val="single" w:sz="24" w:space="0" w:color="FFFFFF"/>
              <w:left w:val="nil"/>
              <w:bottom w:val="single" w:sz="12" w:space="0" w:color="FFFFFF"/>
              <w:right w:val="single" w:sz="24" w:space="0" w:color="FFFFFF"/>
            </w:tcBorders>
            <w:shd w:val="clear" w:color="000000" w:fill="BBE0E3"/>
            <w:vAlign w:val="center"/>
            <w:hideMark/>
          </w:tcPr>
          <w:p w14:paraId="3D634F60" w14:textId="77777777" w:rsidR="00AF1587" w:rsidRPr="00AF1587" w:rsidRDefault="00AF1587" w:rsidP="00AF1587">
            <w:pPr>
              <w:tabs>
                <w:tab w:val="clear" w:pos="720"/>
              </w:tabs>
              <w:jc w:val="center"/>
              <w:rPr>
                <w:rFonts w:ascii="Calibri" w:hAnsi="Calibri" w:cs="Calibri"/>
                <w:b/>
                <w:bCs/>
                <w:color w:val="000000"/>
                <w:sz w:val="18"/>
                <w:szCs w:val="18"/>
              </w:rPr>
            </w:pPr>
            <w:r w:rsidRPr="00AF1587">
              <w:rPr>
                <w:rFonts w:ascii="Calibri" w:hAnsi="Calibri" w:cs="Calibri"/>
                <w:b/>
                <w:bCs/>
                <w:color w:val="000000"/>
                <w:sz w:val="18"/>
                <w:szCs w:val="18"/>
              </w:rPr>
              <w:t>CAMX</w:t>
            </w:r>
          </w:p>
        </w:tc>
      </w:tr>
      <w:tr w:rsidR="00FD0484" w:rsidRPr="00AF1587" w14:paraId="64EFDF5F" w14:textId="77777777" w:rsidTr="00FD0484">
        <w:trPr>
          <w:trHeight w:val="375"/>
          <w:jc w:val="center"/>
        </w:trPr>
        <w:tc>
          <w:tcPr>
            <w:tcW w:w="1248" w:type="pct"/>
            <w:tcBorders>
              <w:top w:val="nil"/>
              <w:left w:val="single" w:sz="8" w:space="0" w:color="FFFFFF"/>
              <w:bottom w:val="single" w:sz="8" w:space="0" w:color="FFFFFF"/>
              <w:right w:val="single" w:sz="8" w:space="0" w:color="FFFFFF"/>
            </w:tcBorders>
            <w:shd w:val="clear" w:color="000000" w:fill="BBE0E3"/>
            <w:vAlign w:val="center"/>
            <w:hideMark/>
          </w:tcPr>
          <w:p w14:paraId="7458101D" w14:textId="549E9AE9" w:rsidR="00FD0484" w:rsidRPr="00AF1587" w:rsidRDefault="00FD0484" w:rsidP="00FD0484">
            <w:pPr>
              <w:tabs>
                <w:tab w:val="clear" w:pos="720"/>
              </w:tabs>
              <w:rPr>
                <w:rFonts w:ascii="Calibri" w:hAnsi="Calibri" w:cs="Calibri"/>
                <w:b/>
                <w:bCs/>
                <w:color w:val="000000"/>
                <w:sz w:val="18"/>
                <w:szCs w:val="18"/>
              </w:rPr>
            </w:pPr>
            <w:r w:rsidRPr="00AF1587">
              <w:rPr>
                <w:rFonts w:ascii="Calibri" w:hAnsi="Calibri" w:cs="Calibri"/>
                <w:b/>
                <w:bCs/>
                <w:color w:val="000000"/>
                <w:sz w:val="18"/>
                <w:szCs w:val="18"/>
              </w:rPr>
              <w:t>Acidification Potential</w:t>
            </w:r>
          </w:p>
        </w:tc>
        <w:tc>
          <w:tcPr>
            <w:tcW w:w="796" w:type="pct"/>
            <w:tcBorders>
              <w:top w:val="nil"/>
              <w:left w:val="nil"/>
              <w:bottom w:val="single" w:sz="8" w:space="0" w:color="FFFFFF"/>
              <w:right w:val="single" w:sz="8" w:space="0" w:color="FFFFFF"/>
            </w:tcBorders>
            <w:shd w:val="clear" w:color="000000" w:fill="E7F3F4"/>
            <w:vAlign w:val="center"/>
            <w:hideMark/>
          </w:tcPr>
          <w:p w14:paraId="716F2DAE" w14:textId="77777777" w:rsidR="00FD0484" w:rsidRPr="00AF1587" w:rsidRDefault="00FD0484" w:rsidP="00FD0484">
            <w:pPr>
              <w:tabs>
                <w:tab w:val="clear" w:pos="720"/>
              </w:tabs>
              <w:jc w:val="center"/>
              <w:rPr>
                <w:rFonts w:ascii="Calibri" w:hAnsi="Calibri" w:cs="Calibri"/>
                <w:color w:val="000000"/>
                <w:sz w:val="18"/>
                <w:szCs w:val="18"/>
              </w:rPr>
            </w:pPr>
            <w:r w:rsidRPr="00AF1587">
              <w:rPr>
                <w:rFonts w:ascii="Calibri" w:hAnsi="Calibri" w:cs="Calibri"/>
                <w:color w:val="000000"/>
                <w:sz w:val="18"/>
                <w:szCs w:val="18"/>
              </w:rPr>
              <w:t>kg SO</w:t>
            </w:r>
            <w:r w:rsidRPr="00F64AD0">
              <w:rPr>
                <w:rFonts w:ascii="Calibri" w:hAnsi="Calibri" w:cs="Calibri"/>
                <w:color w:val="000000"/>
                <w:sz w:val="18"/>
                <w:szCs w:val="18"/>
                <w:vertAlign w:val="subscript"/>
              </w:rPr>
              <w:t>2</w:t>
            </w:r>
            <w:r w:rsidRPr="00AF1587">
              <w:rPr>
                <w:rFonts w:ascii="Calibri" w:hAnsi="Calibri" w:cs="Calibri"/>
                <w:color w:val="000000"/>
                <w:sz w:val="18"/>
                <w:szCs w:val="18"/>
              </w:rPr>
              <w:t xml:space="preserve"> eq</w:t>
            </w:r>
          </w:p>
        </w:tc>
        <w:tc>
          <w:tcPr>
            <w:tcW w:w="579" w:type="pct"/>
            <w:tcBorders>
              <w:top w:val="nil"/>
              <w:left w:val="nil"/>
              <w:bottom w:val="single" w:sz="8" w:space="0" w:color="FFFFFF"/>
              <w:right w:val="single" w:sz="8" w:space="0" w:color="FFFFFF"/>
            </w:tcBorders>
            <w:shd w:val="clear" w:color="000000" w:fill="E7F3F4"/>
            <w:vAlign w:val="center"/>
          </w:tcPr>
          <w:p w14:paraId="513863DF" w14:textId="7D12AF28"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4.09E-03</w:t>
            </w:r>
          </w:p>
        </w:tc>
        <w:tc>
          <w:tcPr>
            <w:tcW w:w="869" w:type="pct"/>
            <w:tcBorders>
              <w:top w:val="nil"/>
              <w:left w:val="nil"/>
              <w:bottom w:val="single" w:sz="8" w:space="0" w:color="FFFFFF"/>
              <w:right w:val="single" w:sz="8" w:space="0" w:color="FFFFFF"/>
            </w:tcBorders>
            <w:shd w:val="clear" w:color="000000" w:fill="E7F3F4"/>
            <w:vAlign w:val="center"/>
          </w:tcPr>
          <w:p w14:paraId="7B5C3EFF" w14:textId="50D68F8F"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6.73E-03</w:t>
            </w:r>
          </w:p>
        </w:tc>
        <w:tc>
          <w:tcPr>
            <w:tcW w:w="808" w:type="pct"/>
            <w:tcBorders>
              <w:top w:val="nil"/>
              <w:left w:val="nil"/>
              <w:bottom w:val="single" w:sz="8" w:space="0" w:color="FFFFFF"/>
              <w:right w:val="single" w:sz="8" w:space="0" w:color="FFFFFF"/>
            </w:tcBorders>
            <w:shd w:val="clear" w:color="000000" w:fill="E7F3F4"/>
            <w:vAlign w:val="center"/>
          </w:tcPr>
          <w:p w14:paraId="1CE9A670" w14:textId="524E4EDE"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2.33E-03</w:t>
            </w:r>
          </w:p>
        </w:tc>
        <w:tc>
          <w:tcPr>
            <w:tcW w:w="700" w:type="pct"/>
            <w:tcBorders>
              <w:top w:val="nil"/>
              <w:left w:val="nil"/>
              <w:bottom w:val="single" w:sz="8" w:space="0" w:color="FFFFFF"/>
              <w:right w:val="single" w:sz="24" w:space="0" w:color="FFFFFF"/>
            </w:tcBorders>
            <w:shd w:val="clear" w:color="000000" w:fill="E7F3F4"/>
            <w:vAlign w:val="center"/>
          </w:tcPr>
          <w:p w14:paraId="4AA2DC72" w14:textId="21348666"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7.32E-04</w:t>
            </w:r>
          </w:p>
        </w:tc>
      </w:tr>
      <w:tr w:rsidR="00FD0484" w:rsidRPr="00AF1587" w14:paraId="50245F82" w14:textId="77777777" w:rsidTr="00FD0484">
        <w:trPr>
          <w:trHeight w:val="510"/>
          <w:jc w:val="center"/>
        </w:trPr>
        <w:tc>
          <w:tcPr>
            <w:tcW w:w="1248" w:type="pct"/>
            <w:tcBorders>
              <w:top w:val="nil"/>
              <w:left w:val="single" w:sz="8" w:space="0" w:color="FFFFFF"/>
              <w:bottom w:val="single" w:sz="8" w:space="0" w:color="FFFFFF"/>
              <w:right w:val="single" w:sz="8" w:space="0" w:color="FFFFFF"/>
            </w:tcBorders>
            <w:shd w:val="clear" w:color="000000" w:fill="BBE0E3"/>
            <w:vAlign w:val="center"/>
            <w:hideMark/>
          </w:tcPr>
          <w:p w14:paraId="6159372C" w14:textId="77777777" w:rsidR="00FD0484" w:rsidRPr="00AF1587" w:rsidRDefault="00FD0484" w:rsidP="00FD0484">
            <w:pPr>
              <w:tabs>
                <w:tab w:val="clear" w:pos="720"/>
              </w:tabs>
              <w:rPr>
                <w:rFonts w:ascii="Calibri" w:hAnsi="Calibri" w:cs="Calibri"/>
                <w:b/>
                <w:bCs/>
                <w:color w:val="000000"/>
                <w:sz w:val="18"/>
                <w:szCs w:val="18"/>
              </w:rPr>
            </w:pPr>
            <w:r w:rsidRPr="00AF1587">
              <w:rPr>
                <w:rFonts w:ascii="Calibri" w:hAnsi="Calibri" w:cs="Calibri"/>
                <w:b/>
                <w:bCs/>
                <w:color w:val="000000"/>
                <w:sz w:val="18"/>
                <w:szCs w:val="18"/>
              </w:rPr>
              <w:t>Cumulative Energy Demand</w:t>
            </w:r>
          </w:p>
        </w:tc>
        <w:tc>
          <w:tcPr>
            <w:tcW w:w="796" w:type="pct"/>
            <w:tcBorders>
              <w:top w:val="nil"/>
              <w:left w:val="nil"/>
              <w:bottom w:val="single" w:sz="8" w:space="0" w:color="FFFFFF"/>
              <w:right w:val="single" w:sz="8" w:space="0" w:color="FFFFFF"/>
            </w:tcBorders>
            <w:shd w:val="clear" w:color="000000" w:fill="F3F9FA"/>
            <w:vAlign w:val="center"/>
            <w:hideMark/>
          </w:tcPr>
          <w:p w14:paraId="36A66FE5" w14:textId="77777777" w:rsidR="00FD0484" w:rsidRPr="00AF1587" w:rsidRDefault="00FD0484" w:rsidP="00FD0484">
            <w:pPr>
              <w:tabs>
                <w:tab w:val="clear" w:pos="720"/>
              </w:tabs>
              <w:jc w:val="center"/>
              <w:rPr>
                <w:rFonts w:ascii="Calibri" w:hAnsi="Calibri" w:cs="Calibri"/>
                <w:color w:val="000000"/>
                <w:sz w:val="18"/>
                <w:szCs w:val="18"/>
              </w:rPr>
            </w:pPr>
            <w:r w:rsidRPr="00AF1587">
              <w:rPr>
                <w:rFonts w:ascii="Calibri" w:hAnsi="Calibri" w:cs="Calibri"/>
                <w:color w:val="000000"/>
                <w:sz w:val="18"/>
                <w:szCs w:val="18"/>
              </w:rPr>
              <w:t>MJ eq</w:t>
            </w:r>
          </w:p>
        </w:tc>
        <w:tc>
          <w:tcPr>
            <w:tcW w:w="579" w:type="pct"/>
            <w:tcBorders>
              <w:top w:val="nil"/>
              <w:left w:val="nil"/>
              <w:bottom w:val="single" w:sz="8" w:space="0" w:color="FFFFFF"/>
              <w:right w:val="single" w:sz="8" w:space="0" w:color="FFFFFF"/>
            </w:tcBorders>
            <w:shd w:val="clear" w:color="000000" w:fill="F3F9FA"/>
            <w:vAlign w:val="center"/>
          </w:tcPr>
          <w:p w14:paraId="2A1F8706" w14:textId="7714B22C"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1.07E+01</w:t>
            </w:r>
          </w:p>
        </w:tc>
        <w:tc>
          <w:tcPr>
            <w:tcW w:w="869" w:type="pct"/>
            <w:tcBorders>
              <w:top w:val="nil"/>
              <w:left w:val="nil"/>
              <w:bottom w:val="single" w:sz="8" w:space="0" w:color="FFFFFF"/>
              <w:right w:val="single" w:sz="8" w:space="0" w:color="FFFFFF"/>
            </w:tcBorders>
            <w:shd w:val="clear" w:color="000000" w:fill="F3F9FA"/>
            <w:vAlign w:val="center"/>
          </w:tcPr>
          <w:p w14:paraId="168BBB10" w14:textId="700427E2"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1.20E+01</w:t>
            </w:r>
          </w:p>
        </w:tc>
        <w:tc>
          <w:tcPr>
            <w:tcW w:w="808" w:type="pct"/>
            <w:tcBorders>
              <w:top w:val="nil"/>
              <w:left w:val="nil"/>
              <w:bottom w:val="single" w:sz="8" w:space="0" w:color="FFFFFF"/>
              <w:right w:val="single" w:sz="8" w:space="0" w:color="FFFFFF"/>
            </w:tcBorders>
            <w:shd w:val="clear" w:color="000000" w:fill="F3F9FA"/>
            <w:vAlign w:val="center"/>
          </w:tcPr>
          <w:p w14:paraId="09940C0A" w14:textId="6A7B0A80"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1.14E+01</w:t>
            </w:r>
          </w:p>
        </w:tc>
        <w:tc>
          <w:tcPr>
            <w:tcW w:w="700" w:type="pct"/>
            <w:tcBorders>
              <w:top w:val="nil"/>
              <w:left w:val="nil"/>
              <w:bottom w:val="single" w:sz="8" w:space="0" w:color="FFFFFF"/>
              <w:right w:val="single" w:sz="8" w:space="0" w:color="FFFFFF"/>
            </w:tcBorders>
            <w:shd w:val="clear" w:color="000000" w:fill="F3F9FA"/>
            <w:vAlign w:val="center"/>
          </w:tcPr>
          <w:p w14:paraId="0F9E8A17" w14:textId="0D4EC504"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9.96E+00</w:t>
            </w:r>
          </w:p>
        </w:tc>
      </w:tr>
      <w:tr w:rsidR="00FD0484" w:rsidRPr="00AF1587" w14:paraId="5160B8E0" w14:textId="77777777" w:rsidTr="00FD0484">
        <w:trPr>
          <w:trHeight w:val="510"/>
          <w:jc w:val="center"/>
        </w:trPr>
        <w:tc>
          <w:tcPr>
            <w:tcW w:w="1248" w:type="pct"/>
            <w:tcBorders>
              <w:top w:val="nil"/>
              <w:left w:val="single" w:sz="8" w:space="0" w:color="FFFFFF"/>
              <w:bottom w:val="single" w:sz="8" w:space="0" w:color="FFFFFF"/>
              <w:right w:val="single" w:sz="8" w:space="0" w:color="FFFFFF"/>
            </w:tcBorders>
            <w:shd w:val="clear" w:color="000000" w:fill="BBE0E3"/>
            <w:vAlign w:val="center"/>
            <w:hideMark/>
          </w:tcPr>
          <w:p w14:paraId="1E70DF30" w14:textId="12E9C444" w:rsidR="00FD0484" w:rsidRPr="00AF1587" w:rsidRDefault="00FD0484" w:rsidP="00FD0484">
            <w:pPr>
              <w:tabs>
                <w:tab w:val="clear" w:pos="720"/>
              </w:tabs>
              <w:rPr>
                <w:rFonts w:ascii="Calibri" w:hAnsi="Calibri" w:cs="Calibri"/>
                <w:b/>
                <w:bCs/>
                <w:color w:val="000000"/>
                <w:sz w:val="18"/>
                <w:szCs w:val="18"/>
              </w:rPr>
            </w:pPr>
            <w:r w:rsidRPr="00AF1587">
              <w:rPr>
                <w:rFonts w:ascii="Calibri" w:hAnsi="Calibri" w:cs="Calibri"/>
                <w:b/>
                <w:bCs/>
                <w:color w:val="000000"/>
                <w:sz w:val="18"/>
                <w:szCs w:val="18"/>
              </w:rPr>
              <w:t>Eutrophication Potential</w:t>
            </w:r>
          </w:p>
        </w:tc>
        <w:tc>
          <w:tcPr>
            <w:tcW w:w="796" w:type="pct"/>
            <w:tcBorders>
              <w:top w:val="nil"/>
              <w:left w:val="nil"/>
              <w:bottom w:val="single" w:sz="8" w:space="0" w:color="FFFFFF"/>
              <w:right w:val="single" w:sz="8" w:space="0" w:color="FFFFFF"/>
            </w:tcBorders>
            <w:shd w:val="clear" w:color="000000" w:fill="E7F3F4"/>
            <w:vAlign w:val="center"/>
            <w:hideMark/>
          </w:tcPr>
          <w:p w14:paraId="6B2EE98F" w14:textId="77777777" w:rsidR="00FD0484" w:rsidRPr="00AF1587" w:rsidRDefault="00FD0484" w:rsidP="00FD0484">
            <w:pPr>
              <w:tabs>
                <w:tab w:val="clear" w:pos="720"/>
              </w:tabs>
              <w:jc w:val="center"/>
              <w:rPr>
                <w:rFonts w:ascii="Calibri" w:hAnsi="Calibri" w:cs="Calibri"/>
                <w:color w:val="000000"/>
                <w:sz w:val="18"/>
                <w:szCs w:val="18"/>
              </w:rPr>
            </w:pPr>
            <w:r w:rsidRPr="00AF1587">
              <w:rPr>
                <w:rFonts w:ascii="Calibri" w:hAnsi="Calibri" w:cs="Calibri"/>
                <w:color w:val="000000"/>
                <w:sz w:val="18"/>
                <w:szCs w:val="18"/>
              </w:rPr>
              <w:t>kg N eq</w:t>
            </w:r>
          </w:p>
        </w:tc>
        <w:tc>
          <w:tcPr>
            <w:tcW w:w="579" w:type="pct"/>
            <w:tcBorders>
              <w:top w:val="nil"/>
              <w:left w:val="nil"/>
              <w:bottom w:val="single" w:sz="8" w:space="0" w:color="FFFFFF"/>
              <w:right w:val="single" w:sz="8" w:space="0" w:color="FFFFFF"/>
            </w:tcBorders>
            <w:shd w:val="clear" w:color="000000" w:fill="E7F3F4"/>
            <w:vAlign w:val="center"/>
          </w:tcPr>
          <w:p w14:paraId="01C30AD7" w14:textId="21E8EF3D"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6.57E-05</w:t>
            </w:r>
          </w:p>
        </w:tc>
        <w:tc>
          <w:tcPr>
            <w:tcW w:w="869" w:type="pct"/>
            <w:tcBorders>
              <w:top w:val="nil"/>
              <w:left w:val="nil"/>
              <w:bottom w:val="single" w:sz="8" w:space="0" w:color="FFFFFF"/>
              <w:right w:val="single" w:sz="8" w:space="0" w:color="FFFFFF"/>
            </w:tcBorders>
            <w:shd w:val="clear" w:color="000000" w:fill="E7F3F4"/>
            <w:vAlign w:val="center"/>
          </w:tcPr>
          <w:p w14:paraId="32837F32" w14:textId="002EC743"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1.01E-04</w:t>
            </w:r>
          </w:p>
        </w:tc>
        <w:tc>
          <w:tcPr>
            <w:tcW w:w="808" w:type="pct"/>
            <w:tcBorders>
              <w:top w:val="nil"/>
              <w:left w:val="nil"/>
              <w:bottom w:val="single" w:sz="8" w:space="0" w:color="FFFFFF"/>
              <w:right w:val="single" w:sz="8" w:space="0" w:color="FFFFFF"/>
            </w:tcBorders>
            <w:shd w:val="clear" w:color="000000" w:fill="E7F3F4"/>
            <w:vAlign w:val="center"/>
          </w:tcPr>
          <w:p w14:paraId="79B377A1" w14:textId="1D9F0F7D"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5.28E-05</w:t>
            </w:r>
          </w:p>
        </w:tc>
        <w:tc>
          <w:tcPr>
            <w:tcW w:w="700" w:type="pct"/>
            <w:tcBorders>
              <w:top w:val="nil"/>
              <w:left w:val="nil"/>
              <w:bottom w:val="single" w:sz="8" w:space="0" w:color="FFFFFF"/>
              <w:right w:val="single" w:sz="8" w:space="0" w:color="FFFFFF"/>
            </w:tcBorders>
            <w:shd w:val="clear" w:color="000000" w:fill="E7F3F4"/>
            <w:vAlign w:val="center"/>
          </w:tcPr>
          <w:p w14:paraId="750163DB" w14:textId="7A21E016"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2.40E-05</w:t>
            </w:r>
          </w:p>
        </w:tc>
      </w:tr>
      <w:tr w:rsidR="00FD0484" w:rsidRPr="00AF1587" w14:paraId="56BAAF0F" w14:textId="77777777" w:rsidTr="00FD0484">
        <w:trPr>
          <w:trHeight w:val="510"/>
          <w:jc w:val="center"/>
        </w:trPr>
        <w:tc>
          <w:tcPr>
            <w:tcW w:w="1248" w:type="pct"/>
            <w:tcBorders>
              <w:top w:val="nil"/>
              <w:left w:val="single" w:sz="8" w:space="0" w:color="FFFFFF"/>
              <w:bottom w:val="single" w:sz="8" w:space="0" w:color="FFFFFF"/>
              <w:right w:val="single" w:sz="8" w:space="0" w:color="FFFFFF"/>
            </w:tcBorders>
            <w:shd w:val="clear" w:color="000000" w:fill="BBE0E3"/>
            <w:vAlign w:val="center"/>
            <w:hideMark/>
          </w:tcPr>
          <w:p w14:paraId="06A14E02" w14:textId="6E53D4D9" w:rsidR="00FD0484" w:rsidRPr="00AF1587" w:rsidRDefault="00FD0484" w:rsidP="00FD0484">
            <w:pPr>
              <w:tabs>
                <w:tab w:val="clear" w:pos="720"/>
              </w:tabs>
              <w:rPr>
                <w:rFonts w:ascii="Calibri" w:hAnsi="Calibri" w:cs="Calibri"/>
                <w:b/>
                <w:bCs/>
                <w:color w:val="000000"/>
                <w:sz w:val="18"/>
                <w:szCs w:val="18"/>
              </w:rPr>
            </w:pPr>
            <w:r w:rsidRPr="00AF1587">
              <w:rPr>
                <w:rFonts w:ascii="Calibri" w:hAnsi="Calibri" w:cs="Calibri"/>
                <w:b/>
                <w:bCs/>
                <w:color w:val="000000"/>
                <w:sz w:val="18"/>
                <w:szCs w:val="18"/>
              </w:rPr>
              <w:t xml:space="preserve">Fossil </w:t>
            </w:r>
            <w:r>
              <w:rPr>
                <w:rFonts w:ascii="Calibri" w:hAnsi="Calibri" w:cs="Calibri"/>
                <w:b/>
                <w:bCs/>
                <w:color w:val="000000"/>
                <w:sz w:val="18"/>
                <w:szCs w:val="18"/>
              </w:rPr>
              <w:t>Fuel Depletion</w:t>
            </w:r>
          </w:p>
        </w:tc>
        <w:tc>
          <w:tcPr>
            <w:tcW w:w="796" w:type="pct"/>
            <w:tcBorders>
              <w:top w:val="nil"/>
              <w:left w:val="nil"/>
              <w:bottom w:val="single" w:sz="8" w:space="0" w:color="FFFFFF"/>
              <w:right w:val="single" w:sz="8" w:space="0" w:color="FFFFFF"/>
            </w:tcBorders>
            <w:shd w:val="clear" w:color="000000" w:fill="F3F9FA"/>
            <w:vAlign w:val="center"/>
            <w:hideMark/>
          </w:tcPr>
          <w:p w14:paraId="753A5407" w14:textId="77777777" w:rsidR="00FD0484" w:rsidRPr="00AF1587" w:rsidRDefault="00FD0484" w:rsidP="00FD0484">
            <w:pPr>
              <w:tabs>
                <w:tab w:val="clear" w:pos="720"/>
              </w:tabs>
              <w:jc w:val="center"/>
              <w:rPr>
                <w:rFonts w:ascii="Calibri" w:hAnsi="Calibri" w:cs="Calibri"/>
                <w:color w:val="000000"/>
                <w:sz w:val="18"/>
                <w:szCs w:val="18"/>
              </w:rPr>
            </w:pPr>
            <w:r w:rsidRPr="00AF1587">
              <w:rPr>
                <w:rFonts w:ascii="Calibri" w:hAnsi="Calibri" w:cs="Calibri"/>
                <w:color w:val="000000"/>
                <w:sz w:val="18"/>
                <w:szCs w:val="18"/>
              </w:rPr>
              <w:t>kg oil eq</w:t>
            </w:r>
          </w:p>
        </w:tc>
        <w:tc>
          <w:tcPr>
            <w:tcW w:w="579" w:type="pct"/>
            <w:tcBorders>
              <w:top w:val="nil"/>
              <w:left w:val="nil"/>
              <w:bottom w:val="single" w:sz="8" w:space="0" w:color="FFFFFF"/>
              <w:right w:val="single" w:sz="8" w:space="0" w:color="FFFFFF"/>
            </w:tcBorders>
            <w:shd w:val="clear" w:color="000000" w:fill="F3F9FA"/>
            <w:vAlign w:val="center"/>
          </w:tcPr>
          <w:p w14:paraId="59B67E50" w14:textId="009EA4A2"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2.01E-01</w:t>
            </w:r>
          </w:p>
        </w:tc>
        <w:tc>
          <w:tcPr>
            <w:tcW w:w="869" w:type="pct"/>
            <w:tcBorders>
              <w:top w:val="nil"/>
              <w:left w:val="nil"/>
              <w:bottom w:val="single" w:sz="8" w:space="0" w:color="FFFFFF"/>
              <w:right w:val="single" w:sz="8" w:space="0" w:color="FFFFFF"/>
            </w:tcBorders>
            <w:shd w:val="clear" w:color="000000" w:fill="F3F9FA"/>
            <w:vAlign w:val="center"/>
          </w:tcPr>
          <w:p w14:paraId="4918A0F3" w14:textId="611E790C"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2.49E-01</w:t>
            </w:r>
          </w:p>
        </w:tc>
        <w:tc>
          <w:tcPr>
            <w:tcW w:w="808" w:type="pct"/>
            <w:tcBorders>
              <w:top w:val="nil"/>
              <w:left w:val="nil"/>
              <w:bottom w:val="single" w:sz="8" w:space="0" w:color="FFFFFF"/>
              <w:right w:val="single" w:sz="8" w:space="0" w:color="FFFFFF"/>
            </w:tcBorders>
            <w:shd w:val="clear" w:color="000000" w:fill="F3F9FA"/>
            <w:vAlign w:val="center"/>
          </w:tcPr>
          <w:p w14:paraId="50E3549B" w14:textId="6916A2EA"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2.62E-01</w:t>
            </w:r>
          </w:p>
        </w:tc>
        <w:tc>
          <w:tcPr>
            <w:tcW w:w="700" w:type="pct"/>
            <w:tcBorders>
              <w:top w:val="nil"/>
              <w:left w:val="nil"/>
              <w:bottom w:val="single" w:sz="8" w:space="0" w:color="FFFFFF"/>
              <w:right w:val="single" w:sz="8" w:space="0" w:color="FFFFFF"/>
            </w:tcBorders>
            <w:shd w:val="clear" w:color="000000" w:fill="F3F9FA"/>
            <w:vAlign w:val="center"/>
          </w:tcPr>
          <w:p w14:paraId="3C319F57" w14:textId="2474E358"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1.75E-01</w:t>
            </w:r>
          </w:p>
        </w:tc>
      </w:tr>
      <w:tr w:rsidR="00FD0484" w:rsidRPr="00AF1587" w14:paraId="43A7B0EA" w14:textId="77777777" w:rsidTr="00FD0484">
        <w:trPr>
          <w:trHeight w:val="390"/>
          <w:jc w:val="center"/>
        </w:trPr>
        <w:tc>
          <w:tcPr>
            <w:tcW w:w="1248" w:type="pct"/>
            <w:tcBorders>
              <w:top w:val="nil"/>
              <w:left w:val="single" w:sz="8" w:space="0" w:color="FFFFFF"/>
              <w:bottom w:val="single" w:sz="8" w:space="0" w:color="FFFFFF"/>
              <w:right w:val="single" w:sz="8" w:space="0" w:color="FFFFFF"/>
            </w:tcBorders>
            <w:shd w:val="clear" w:color="000000" w:fill="BBE0E3"/>
            <w:vAlign w:val="center"/>
            <w:hideMark/>
          </w:tcPr>
          <w:p w14:paraId="52DAC636" w14:textId="29318A3C" w:rsidR="00FD0484" w:rsidRPr="00AF1587" w:rsidRDefault="00FD0484" w:rsidP="00FD0484">
            <w:pPr>
              <w:tabs>
                <w:tab w:val="clear" w:pos="720"/>
              </w:tabs>
              <w:rPr>
                <w:rFonts w:ascii="Calibri" w:hAnsi="Calibri" w:cs="Calibri"/>
                <w:b/>
                <w:bCs/>
                <w:color w:val="000000"/>
                <w:sz w:val="18"/>
                <w:szCs w:val="18"/>
              </w:rPr>
            </w:pPr>
            <w:r w:rsidRPr="00AF1587">
              <w:rPr>
                <w:rFonts w:ascii="Calibri" w:hAnsi="Calibri" w:cs="Calibri"/>
                <w:b/>
                <w:bCs/>
                <w:color w:val="000000"/>
                <w:sz w:val="18"/>
                <w:szCs w:val="18"/>
              </w:rPr>
              <w:t>Global Warming Potential</w:t>
            </w:r>
          </w:p>
        </w:tc>
        <w:tc>
          <w:tcPr>
            <w:tcW w:w="796" w:type="pct"/>
            <w:tcBorders>
              <w:top w:val="nil"/>
              <w:left w:val="nil"/>
              <w:bottom w:val="single" w:sz="8" w:space="0" w:color="FFFFFF"/>
              <w:right w:val="single" w:sz="8" w:space="0" w:color="FFFFFF"/>
            </w:tcBorders>
            <w:shd w:val="clear" w:color="000000" w:fill="E7F3F4"/>
            <w:vAlign w:val="center"/>
            <w:hideMark/>
          </w:tcPr>
          <w:p w14:paraId="2DF2F7CF" w14:textId="77777777" w:rsidR="00FD0484" w:rsidRPr="00AF1587" w:rsidRDefault="00FD0484" w:rsidP="00FD0484">
            <w:pPr>
              <w:tabs>
                <w:tab w:val="clear" w:pos="720"/>
              </w:tabs>
              <w:jc w:val="center"/>
              <w:rPr>
                <w:rFonts w:ascii="Calibri" w:hAnsi="Calibri" w:cs="Calibri"/>
                <w:color w:val="000000"/>
                <w:sz w:val="18"/>
                <w:szCs w:val="18"/>
              </w:rPr>
            </w:pPr>
            <w:r w:rsidRPr="00AF1587">
              <w:rPr>
                <w:rFonts w:ascii="Calibri" w:hAnsi="Calibri" w:cs="Calibri"/>
                <w:color w:val="000000"/>
                <w:sz w:val="18"/>
                <w:szCs w:val="18"/>
              </w:rPr>
              <w:t>kg CO</w:t>
            </w:r>
            <w:r w:rsidRPr="00F64AD0">
              <w:rPr>
                <w:rFonts w:ascii="Calibri" w:hAnsi="Calibri" w:cs="Calibri"/>
                <w:color w:val="000000"/>
                <w:sz w:val="18"/>
                <w:szCs w:val="18"/>
                <w:vertAlign w:val="subscript"/>
              </w:rPr>
              <w:t>2</w:t>
            </w:r>
            <w:r w:rsidRPr="00AF1587">
              <w:rPr>
                <w:rFonts w:ascii="Calibri" w:hAnsi="Calibri" w:cs="Calibri"/>
                <w:color w:val="000000"/>
                <w:sz w:val="18"/>
                <w:szCs w:val="18"/>
              </w:rPr>
              <w:t xml:space="preserve"> eq</w:t>
            </w:r>
          </w:p>
        </w:tc>
        <w:tc>
          <w:tcPr>
            <w:tcW w:w="579" w:type="pct"/>
            <w:tcBorders>
              <w:top w:val="nil"/>
              <w:left w:val="nil"/>
              <w:bottom w:val="single" w:sz="8" w:space="0" w:color="FFFFFF"/>
              <w:right w:val="single" w:sz="8" w:space="0" w:color="FFFFFF"/>
            </w:tcBorders>
            <w:shd w:val="clear" w:color="000000" w:fill="E7F3F4"/>
            <w:vAlign w:val="center"/>
          </w:tcPr>
          <w:p w14:paraId="5D199325" w14:textId="334275DF"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6.63E-01</w:t>
            </w:r>
          </w:p>
        </w:tc>
        <w:tc>
          <w:tcPr>
            <w:tcW w:w="869" w:type="pct"/>
            <w:tcBorders>
              <w:top w:val="nil"/>
              <w:left w:val="nil"/>
              <w:bottom w:val="single" w:sz="8" w:space="0" w:color="FFFFFF"/>
              <w:right w:val="single" w:sz="8" w:space="0" w:color="FFFFFF"/>
            </w:tcBorders>
            <w:shd w:val="clear" w:color="000000" w:fill="E7F3F4"/>
            <w:vAlign w:val="center"/>
          </w:tcPr>
          <w:p w14:paraId="392ECF34" w14:textId="17B0A9C1"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8.76E-01</w:t>
            </w:r>
          </w:p>
        </w:tc>
        <w:tc>
          <w:tcPr>
            <w:tcW w:w="808" w:type="pct"/>
            <w:tcBorders>
              <w:top w:val="nil"/>
              <w:left w:val="nil"/>
              <w:bottom w:val="single" w:sz="8" w:space="0" w:color="FFFFFF"/>
              <w:right w:val="single" w:sz="8" w:space="0" w:color="FFFFFF"/>
            </w:tcBorders>
            <w:shd w:val="clear" w:color="000000" w:fill="E7F3F4"/>
            <w:vAlign w:val="center"/>
          </w:tcPr>
          <w:p w14:paraId="53CFD2C9" w14:textId="6F6D1E5D"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7.82E-01</w:t>
            </w:r>
          </w:p>
        </w:tc>
        <w:tc>
          <w:tcPr>
            <w:tcW w:w="700" w:type="pct"/>
            <w:tcBorders>
              <w:top w:val="nil"/>
              <w:left w:val="nil"/>
              <w:bottom w:val="single" w:sz="8" w:space="0" w:color="FFFFFF"/>
              <w:right w:val="single" w:sz="8" w:space="0" w:color="FFFFFF"/>
            </w:tcBorders>
            <w:shd w:val="clear" w:color="000000" w:fill="E7F3F4"/>
            <w:vAlign w:val="center"/>
          </w:tcPr>
          <w:p w14:paraId="66D63B24" w14:textId="4832BA0A"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5.02E-01</w:t>
            </w:r>
          </w:p>
        </w:tc>
      </w:tr>
      <w:tr w:rsidR="00FD0484" w:rsidRPr="00AF1587" w14:paraId="784FFB9B" w14:textId="77777777" w:rsidTr="00FD0484">
        <w:trPr>
          <w:trHeight w:val="570"/>
          <w:jc w:val="center"/>
        </w:trPr>
        <w:tc>
          <w:tcPr>
            <w:tcW w:w="1248" w:type="pct"/>
            <w:tcBorders>
              <w:top w:val="nil"/>
              <w:left w:val="single" w:sz="8" w:space="0" w:color="FFFFFF"/>
              <w:bottom w:val="single" w:sz="8" w:space="0" w:color="FFFFFF"/>
              <w:right w:val="single" w:sz="8" w:space="0" w:color="FFFFFF"/>
            </w:tcBorders>
            <w:shd w:val="clear" w:color="000000" w:fill="BBE0E3"/>
            <w:vAlign w:val="center"/>
            <w:hideMark/>
          </w:tcPr>
          <w:p w14:paraId="133ADCDF" w14:textId="77777777" w:rsidR="00FD0484" w:rsidRPr="00AF1587" w:rsidRDefault="00FD0484" w:rsidP="00FD0484">
            <w:pPr>
              <w:tabs>
                <w:tab w:val="clear" w:pos="720"/>
              </w:tabs>
              <w:rPr>
                <w:rFonts w:ascii="Calibri" w:hAnsi="Calibri" w:cs="Calibri"/>
                <w:b/>
                <w:bCs/>
                <w:color w:val="000000"/>
                <w:sz w:val="18"/>
                <w:szCs w:val="18"/>
              </w:rPr>
            </w:pPr>
            <w:r w:rsidRPr="00AF1587">
              <w:rPr>
                <w:rFonts w:ascii="Calibri" w:hAnsi="Calibri" w:cs="Calibri"/>
                <w:b/>
                <w:bCs/>
                <w:color w:val="000000"/>
                <w:sz w:val="18"/>
                <w:szCs w:val="18"/>
              </w:rPr>
              <w:t>Particulate Matter Formation Potential</w:t>
            </w:r>
          </w:p>
        </w:tc>
        <w:tc>
          <w:tcPr>
            <w:tcW w:w="796" w:type="pct"/>
            <w:tcBorders>
              <w:top w:val="nil"/>
              <w:left w:val="nil"/>
              <w:bottom w:val="single" w:sz="8" w:space="0" w:color="FFFFFF"/>
              <w:right w:val="single" w:sz="8" w:space="0" w:color="FFFFFF"/>
            </w:tcBorders>
            <w:shd w:val="clear" w:color="000000" w:fill="F3F9FA"/>
            <w:vAlign w:val="center"/>
            <w:hideMark/>
          </w:tcPr>
          <w:p w14:paraId="54382503" w14:textId="77777777" w:rsidR="00FD0484" w:rsidRPr="00AF1587" w:rsidRDefault="00FD0484" w:rsidP="00FD0484">
            <w:pPr>
              <w:tabs>
                <w:tab w:val="clear" w:pos="720"/>
              </w:tabs>
              <w:jc w:val="center"/>
              <w:rPr>
                <w:rFonts w:ascii="Calibri" w:hAnsi="Calibri" w:cs="Calibri"/>
                <w:color w:val="000000"/>
                <w:sz w:val="18"/>
                <w:szCs w:val="18"/>
              </w:rPr>
            </w:pPr>
            <w:r w:rsidRPr="00AF1587">
              <w:rPr>
                <w:rFonts w:ascii="Calibri" w:hAnsi="Calibri" w:cs="Calibri"/>
                <w:color w:val="000000"/>
                <w:sz w:val="18"/>
                <w:szCs w:val="18"/>
              </w:rPr>
              <w:t>kg PM2.5 eq</w:t>
            </w:r>
          </w:p>
        </w:tc>
        <w:tc>
          <w:tcPr>
            <w:tcW w:w="579" w:type="pct"/>
            <w:tcBorders>
              <w:top w:val="nil"/>
              <w:left w:val="nil"/>
              <w:bottom w:val="single" w:sz="8" w:space="0" w:color="FFFFFF"/>
              <w:right w:val="single" w:sz="8" w:space="0" w:color="FFFFFF"/>
            </w:tcBorders>
            <w:shd w:val="clear" w:color="000000" w:fill="F3F9FA"/>
            <w:vAlign w:val="center"/>
          </w:tcPr>
          <w:p w14:paraId="08F0C14E" w14:textId="5D17ECF8"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2.15E-04</w:t>
            </w:r>
          </w:p>
        </w:tc>
        <w:tc>
          <w:tcPr>
            <w:tcW w:w="869" w:type="pct"/>
            <w:tcBorders>
              <w:top w:val="nil"/>
              <w:left w:val="nil"/>
              <w:bottom w:val="single" w:sz="8" w:space="0" w:color="FFFFFF"/>
              <w:right w:val="single" w:sz="8" w:space="0" w:color="FFFFFF"/>
            </w:tcBorders>
            <w:shd w:val="clear" w:color="000000" w:fill="F3F9FA"/>
            <w:vAlign w:val="center"/>
          </w:tcPr>
          <w:p w14:paraId="17347F51" w14:textId="79EAD00A"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3.41E-04</w:t>
            </w:r>
          </w:p>
        </w:tc>
        <w:tc>
          <w:tcPr>
            <w:tcW w:w="808" w:type="pct"/>
            <w:tcBorders>
              <w:top w:val="nil"/>
              <w:left w:val="nil"/>
              <w:bottom w:val="single" w:sz="8" w:space="0" w:color="FFFFFF"/>
              <w:right w:val="single" w:sz="8" w:space="0" w:color="FFFFFF"/>
            </w:tcBorders>
            <w:shd w:val="clear" w:color="000000" w:fill="F3F9FA"/>
            <w:vAlign w:val="center"/>
          </w:tcPr>
          <w:p w14:paraId="5404FFD2" w14:textId="403C09B1"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1.71E-04</w:t>
            </w:r>
          </w:p>
        </w:tc>
        <w:tc>
          <w:tcPr>
            <w:tcW w:w="700" w:type="pct"/>
            <w:tcBorders>
              <w:top w:val="nil"/>
              <w:left w:val="nil"/>
              <w:bottom w:val="single" w:sz="8" w:space="0" w:color="FFFFFF"/>
              <w:right w:val="single" w:sz="8" w:space="0" w:color="FFFFFF"/>
            </w:tcBorders>
            <w:shd w:val="clear" w:color="000000" w:fill="F3F9FA"/>
            <w:vAlign w:val="center"/>
          </w:tcPr>
          <w:p w14:paraId="5ED6FA5F" w14:textId="5A4CA118"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5.65E-05</w:t>
            </w:r>
          </w:p>
        </w:tc>
      </w:tr>
      <w:tr w:rsidR="00FD0484" w:rsidRPr="00AF1587" w14:paraId="1B54DEEF" w14:textId="77777777" w:rsidTr="00FD0484">
        <w:trPr>
          <w:trHeight w:val="510"/>
          <w:jc w:val="center"/>
        </w:trPr>
        <w:tc>
          <w:tcPr>
            <w:tcW w:w="1248" w:type="pct"/>
            <w:tcBorders>
              <w:top w:val="nil"/>
              <w:left w:val="single" w:sz="8" w:space="0" w:color="FFFFFF"/>
              <w:bottom w:val="single" w:sz="8" w:space="0" w:color="FFFFFF"/>
              <w:right w:val="single" w:sz="8" w:space="0" w:color="FFFFFF"/>
            </w:tcBorders>
            <w:shd w:val="clear" w:color="000000" w:fill="BBE0E3"/>
            <w:vAlign w:val="center"/>
            <w:hideMark/>
          </w:tcPr>
          <w:p w14:paraId="2F745522" w14:textId="77777777" w:rsidR="00FD0484" w:rsidRPr="00AF1587" w:rsidRDefault="00FD0484" w:rsidP="00FD0484">
            <w:pPr>
              <w:tabs>
                <w:tab w:val="clear" w:pos="720"/>
              </w:tabs>
              <w:rPr>
                <w:rFonts w:ascii="Calibri" w:hAnsi="Calibri" w:cs="Calibri"/>
                <w:b/>
                <w:bCs/>
                <w:color w:val="000000"/>
                <w:sz w:val="18"/>
                <w:szCs w:val="18"/>
              </w:rPr>
            </w:pPr>
            <w:r w:rsidRPr="00AF1587">
              <w:rPr>
                <w:rFonts w:ascii="Calibri" w:hAnsi="Calibri" w:cs="Calibri"/>
                <w:b/>
                <w:bCs/>
                <w:color w:val="000000"/>
                <w:sz w:val="18"/>
                <w:szCs w:val="18"/>
              </w:rPr>
              <w:t>Smog Formation Potential</w:t>
            </w:r>
          </w:p>
        </w:tc>
        <w:tc>
          <w:tcPr>
            <w:tcW w:w="796" w:type="pct"/>
            <w:tcBorders>
              <w:top w:val="nil"/>
              <w:left w:val="nil"/>
              <w:bottom w:val="single" w:sz="8" w:space="0" w:color="FFFFFF"/>
              <w:right w:val="single" w:sz="8" w:space="0" w:color="FFFFFF"/>
            </w:tcBorders>
            <w:shd w:val="clear" w:color="000000" w:fill="E7F3F4"/>
            <w:vAlign w:val="center"/>
            <w:hideMark/>
          </w:tcPr>
          <w:p w14:paraId="1CF2BB84" w14:textId="77777777" w:rsidR="00FD0484" w:rsidRPr="00AF1587" w:rsidRDefault="00FD0484" w:rsidP="00FD0484">
            <w:pPr>
              <w:tabs>
                <w:tab w:val="clear" w:pos="720"/>
              </w:tabs>
              <w:jc w:val="center"/>
              <w:rPr>
                <w:rFonts w:ascii="Calibri" w:hAnsi="Calibri" w:cs="Calibri"/>
                <w:color w:val="000000"/>
                <w:sz w:val="18"/>
                <w:szCs w:val="18"/>
              </w:rPr>
            </w:pPr>
            <w:r w:rsidRPr="00AF1587">
              <w:rPr>
                <w:rFonts w:ascii="Calibri" w:hAnsi="Calibri" w:cs="Calibri"/>
                <w:color w:val="000000"/>
                <w:sz w:val="18"/>
                <w:szCs w:val="18"/>
              </w:rPr>
              <w:t>kg O</w:t>
            </w:r>
            <w:r w:rsidRPr="00F64AD0">
              <w:rPr>
                <w:rFonts w:ascii="Calibri" w:hAnsi="Calibri" w:cs="Calibri"/>
                <w:color w:val="000000"/>
                <w:sz w:val="18"/>
                <w:szCs w:val="18"/>
                <w:vertAlign w:val="subscript"/>
              </w:rPr>
              <w:t>3</w:t>
            </w:r>
            <w:r w:rsidRPr="00AF1587">
              <w:rPr>
                <w:rFonts w:ascii="Calibri" w:hAnsi="Calibri" w:cs="Calibri"/>
                <w:color w:val="000000"/>
                <w:sz w:val="18"/>
                <w:szCs w:val="18"/>
              </w:rPr>
              <w:t xml:space="preserve"> eq</w:t>
            </w:r>
          </w:p>
        </w:tc>
        <w:tc>
          <w:tcPr>
            <w:tcW w:w="579" w:type="pct"/>
            <w:tcBorders>
              <w:top w:val="nil"/>
              <w:left w:val="nil"/>
              <w:bottom w:val="single" w:sz="8" w:space="0" w:color="FFFFFF"/>
              <w:right w:val="single" w:sz="8" w:space="0" w:color="FFFFFF"/>
            </w:tcBorders>
            <w:shd w:val="clear" w:color="000000" w:fill="E7F3F4"/>
            <w:vAlign w:val="center"/>
          </w:tcPr>
          <w:p w14:paraId="27107957" w14:textId="48CCEEBC"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3.67E-02</w:t>
            </w:r>
          </w:p>
        </w:tc>
        <w:tc>
          <w:tcPr>
            <w:tcW w:w="869" w:type="pct"/>
            <w:tcBorders>
              <w:top w:val="nil"/>
              <w:left w:val="nil"/>
              <w:bottom w:val="single" w:sz="8" w:space="0" w:color="FFFFFF"/>
              <w:right w:val="single" w:sz="8" w:space="0" w:color="FFFFFF"/>
            </w:tcBorders>
            <w:shd w:val="clear" w:color="000000" w:fill="E7F3F4"/>
            <w:vAlign w:val="center"/>
          </w:tcPr>
          <w:p w14:paraId="3E0BD5E6" w14:textId="78EF740A"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5.64E-02</w:t>
            </w:r>
          </w:p>
        </w:tc>
        <w:tc>
          <w:tcPr>
            <w:tcW w:w="808" w:type="pct"/>
            <w:tcBorders>
              <w:top w:val="nil"/>
              <w:left w:val="nil"/>
              <w:bottom w:val="single" w:sz="8" w:space="0" w:color="FFFFFF"/>
              <w:right w:val="single" w:sz="8" w:space="0" w:color="FFFFFF"/>
            </w:tcBorders>
            <w:shd w:val="clear" w:color="000000" w:fill="E7F3F4"/>
            <w:vAlign w:val="center"/>
          </w:tcPr>
          <w:p w14:paraId="6719A37B" w14:textId="1543AA5B"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2.94E-02</w:t>
            </w:r>
          </w:p>
        </w:tc>
        <w:tc>
          <w:tcPr>
            <w:tcW w:w="700" w:type="pct"/>
            <w:tcBorders>
              <w:top w:val="nil"/>
              <w:left w:val="nil"/>
              <w:bottom w:val="single" w:sz="8" w:space="0" w:color="FFFFFF"/>
              <w:right w:val="single" w:sz="8" w:space="0" w:color="FFFFFF"/>
            </w:tcBorders>
            <w:shd w:val="clear" w:color="000000" w:fill="E7F3F4"/>
            <w:vAlign w:val="center"/>
          </w:tcPr>
          <w:p w14:paraId="5DA19819" w14:textId="5FEB2F50"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1.36E-02</w:t>
            </w:r>
          </w:p>
        </w:tc>
      </w:tr>
      <w:tr w:rsidR="00FD0484" w:rsidRPr="00AF1587" w14:paraId="5E1DC596" w14:textId="77777777" w:rsidTr="00FD0484">
        <w:trPr>
          <w:trHeight w:val="360"/>
          <w:jc w:val="center"/>
        </w:trPr>
        <w:tc>
          <w:tcPr>
            <w:tcW w:w="1248" w:type="pct"/>
            <w:tcBorders>
              <w:top w:val="nil"/>
              <w:left w:val="single" w:sz="8" w:space="0" w:color="FFFFFF"/>
              <w:bottom w:val="single" w:sz="8" w:space="0" w:color="FFFFFF"/>
              <w:right w:val="single" w:sz="8" w:space="0" w:color="FFFFFF"/>
            </w:tcBorders>
            <w:shd w:val="clear" w:color="000000" w:fill="BBE0E3"/>
            <w:vAlign w:val="center"/>
            <w:hideMark/>
          </w:tcPr>
          <w:p w14:paraId="21F94739" w14:textId="77777777" w:rsidR="00FD0484" w:rsidRPr="00AF1587" w:rsidRDefault="00FD0484" w:rsidP="00FD0484">
            <w:pPr>
              <w:tabs>
                <w:tab w:val="clear" w:pos="720"/>
              </w:tabs>
              <w:rPr>
                <w:rFonts w:ascii="Calibri" w:hAnsi="Calibri" w:cs="Calibri"/>
                <w:b/>
                <w:bCs/>
                <w:color w:val="000000"/>
                <w:sz w:val="18"/>
                <w:szCs w:val="18"/>
              </w:rPr>
            </w:pPr>
            <w:r w:rsidRPr="00AF1587">
              <w:rPr>
                <w:rFonts w:ascii="Calibri" w:hAnsi="Calibri" w:cs="Calibri"/>
                <w:b/>
                <w:bCs/>
                <w:color w:val="000000"/>
                <w:sz w:val="18"/>
                <w:szCs w:val="18"/>
              </w:rPr>
              <w:t>Solid Waste by Weight</w:t>
            </w:r>
          </w:p>
        </w:tc>
        <w:tc>
          <w:tcPr>
            <w:tcW w:w="796" w:type="pct"/>
            <w:tcBorders>
              <w:top w:val="nil"/>
              <w:left w:val="nil"/>
              <w:bottom w:val="single" w:sz="8" w:space="0" w:color="FFFFFF"/>
              <w:right w:val="single" w:sz="8" w:space="0" w:color="FFFFFF"/>
            </w:tcBorders>
            <w:shd w:val="clear" w:color="000000" w:fill="F3F9FA"/>
            <w:vAlign w:val="center"/>
            <w:hideMark/>
          </w:tcPr>
          <w:p w14:paraId="732E2BB9" w14:textId="54FE878C" w:rsidR="00FD0484" w:rsidRPr="00AF1587" w:rsidRDefault="00FD0484" w:rsidP="00FD0484">
            <w:pPr>
              <w:tabs>
                <w:tab w:val="clear" w:pos="720"/>
              </w:tabs>
              <w:jc w:val="center"/>
              <w:rPr>
                <w:rFonts w:ascii="Calibri" w:hAnsi="Calibri" w:cs="Calibri"/>
                <w:color w:val="000000"/>
                <w:sz w:val="18"/>
                <w:szCs w:val="18"/>
              </w:rPr>
            </w:pPr>
            <w:r w:rsidRPr="00AF1587">
              <w:rPr>
                <w:rFonts w:ascii="Calibri" w:hAnsi="Calibri" w:cs="Calibri"/>
                <w:color w:val="000000"/>
                <w:sz w:val="18"/>
                <w:szCs w:val="18"/>
              </w:rPr>
              <w:t>kg</w:t>
            </w:r>
          </w:p>
        </w:tc>
        <w:tc>
          <w:tcPr>
            <w:tcW w:w="579" w:type="pct"/>
            <w:tcBorders>
              <w:top w:val="nil"/>
              <w:left w:val="nil"/>
              <w:bottom w:val="single" w:sz="8" w:space="0" w:color="FFFFFF"/>
              <w:right w:val="single" w:sz="8" w:space="0" w:color="FFFFFF"/>
            </w:tcBorders>
            <w:shd w:val="clear" w:color="000000" w:fill="F3F9FA"/>
            <w:vAlign w:val="center"/>
          </w:tcPr>
          <w:p w14:paraId="4D504620" w14:textId="5C82EA20"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7.58E-02</w:t>
            </w:r>
          </w:p>
        </w:tc>
        <w:tc>
          <w:tcPr>
            <w:tcW w:w="869" w:type="pct"/>
            <w:tcBorders>
              <w:top w:val="nil"/>
              <w:left w:val="nil"/>
              <w:bottom w:val="single" w:sz="8" w:space="0" w:color="FFFFFF"/>
              <w:right w:val="single" w:sz="8" w:space="0" w:color="FFFFFF"/>
            </w:tcBorders>
            <w:shd w:val="clear" w:color="000000" w:fill="F3F9FA"/>
            <w:vAlign w:val="center"/>
          </w:tcPr>
          <w:p w14:paraId="1B9F2573" w14:textId="255CB434"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1.30E-01</w:t>
            </w:r>
          </w:p>
        </w:tc>
        <w:tc>
          <w:tcPr>
            <w:tcW w:w="808" w:type="pct"/>
            <w:tcBorders>
              <w:top w:val="nil"/>
              <w:left w:val="nil"/>
              <w:bottom w:val="single" w:sz="8" w:space="0" w:color="FFFFFF"/>
              <w:right w:val="single" w:sz="8" w:space="0" w:color="FFFFFF"/>
            </w:tcBorders>
            <w:shd w:val="clear" w:color="000000" w:fill="F3F9FA"/>
            <w:vAlign w:val="center"/>
          </w:tcPr>
          <w:p w14:paraId="436C6EDD" w14:textId="7079FBEA"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3.15E-02</w:t>
            </w:r>
          </w:p>
        </w:tc>
        <w:tc>
          <w:tcPr>
            <w:tcW w:w="700" w:type="pct"/>
            <w:tcBorders>
              <w:top w:val="nil"/>
              <w:left w:val="nil"/>
              <w:bottom w:val="single" w:sz="8" w:space="0" w:color="FFFFFF"/>
              <w:right w:val="single" w:sz="8" w:space="0" w:color="FFFFFF"/>
            </w:tcBorders>
            <w:shd w:val="clear" w:color="000000" w:fill="F3F9FA"/>
            <w:vAlign w:val="center"/>
          </w:tcPr>
          <w:p w14:paraId="31E5F611" w14:textId="12C235B9"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5.36E-03</w:t>
            </w:r>
          </w:p>
        </w:tc>
      </w:tr>
      <w:tr w:rsidR="00FD0484" w:rsidRPr="00AF1587" w14:paraId="1027AD1F" w14:textId="77777777" w:rsidTr="00FD0484">
        <w:trPr>
          <w:trHeight w:val="510"/>
          <w:jc w:val="center"/>
        </w:trPr>
        <w:tc>
          <w:tcPr>
            <w:tcW w:w="1248" w:type="pct"/>
            <w:tcBorders>
              <w:top w:val="nil"/>
              <w:left w:val="single" w:sz="8" w:space="0" w:color="FFFFFF"/>
              <w:bottom w:val="single" w:sz="8" w:space="0" w:color="FFFFFF"/>
              <w:right w:val="single" w:sz="8" w:space="0" w:color="FFFFFF"/>
            </w:tcBorders>
            <w:shd w:val="clear" w:color="000000" w:fill="BBE0E3"/>
            <w:vAlign w:val="center"/>
            <w:hideMark/>
          </w:tcPr>
          <w:p w14:paraId="3731FC69" w14:textId="77777777" w:rsidR="00FD0484" w:rsidRPr="00AF1587" w:rsidRDefault="00FD0484" w:rsidP="00FD0484">
            <w:pPr>
              <w:tabs>
                <w:tab w:val="clear" w:pos="720"/>
              </w:tabs>
              <w:rPr>
                <w:rFonts w:ascii="Calibri" w:hAnsi="Calibri" w:cs="Calibri"/>
                <w:b/>
                <w:bCs/>
                <w:color w:val="000000"/>
                <w:sz w:val="18"/>
                <w:szCs w:val="18"/>
              </w:rPr>
            </w:pPr>
            <w:r w:rsidRPr="00AF1587">
              <w:rPr>
                <w:rFonts w:ascii="Calibri" w:hAnsi="Calibri" w:cs="Calibri"/>
                <w:b/>
                <w:bCs/>
                <w:color w:val="000000"/>
                <w:sz w:val="18"/>
                <w:szCs w:val="18"/>
              </w:rPr>
              <w:t>Water Consumption</w:t>
            </w:r>
          </w:p>
        </w:tc>
        <w:tc>
          <w:tcPr>
            <w:tcW w:w="796" w:type="pct"/>
            <w:tcBorders>
              <w:top w:val="nil"/>
              <w:left w:val="nil"/>
              <w:bottom w:val="single" w:sz="8" w:space="0" w:color="FFFFFF"/>
              <w:right w:val="single" w:sz="8" w:space="0" w:color="FFFFFF"/>
            </w:tcBorders>
            <w:shd w:val="clear" w:color="000000" w:fill="E7F3F4"/>
            <w:vAlign w:val="center"/>
            <w:hideMark/>
          </w:tcPr>
          <w:p w14:paraId="13AD17B9" w14:textId="77777777" w:rsidR="00FD0484" w:rsidRPr="00AF1587" w:rsidRDefault="00FD0484" w:rsidP="00FD0484">
            <w:pPr>
              <w:tabs>
                <w:tab w:val="clear" w:pos="720"/>
              </w:tabs>
              <w:jc w:val="center"/>
              <w:rPr>
                <w:rFonts w:ascii="Calibri" w:hAnsi="Calibri" w:cs="Calibri"/>
                <w:color w:val="000000"/>
                <w:sz w:val="18"/>
                <w:szCs w:val="18"/>
              </w:rPr>
            </w:pPr>
            <w:r w:rsidRPr="00AF1587">
              <w:rPr>
                <w:rFonts w:ascii="Calibri" w:hAnsi="Calibri" w:cs="Calibri"/>
                <w:color w:val="000000"/>
                <w:sz w:val="18"/>
                <w:szCs w:val="18"/>
              </w:rPr>
              <w:t>liter H2O</w:t>
            </w:r>
          </w:p>
        </w:tc>
        <w:tc>
          <w:tcPr>
            <w:tcW w:w="579" w:type="pct"/>
            <w:tcBorders>
              <w:top w:val="nil"/>
              <w:left w:val="nil"/>
              <w:bottom w:val="single" w:sz="8" w:space="0" w:color="FFFFFF"/>
              <w:right w:val="single" w:sz="8" w:space="0" w:color="FFFFFF"/>
            </w:tcBorders>
            <w:shd w:val="clear" w:color="000000" w:fill="E7F3F4"/>
            <w:vAlign w:val="center"/>
          </w:tcPr>
          <w:p w14:paraId="7273C3EF" w14:textId="3F93BB78"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4.10E+00</w:t>
            </w:r>
          </w:p>
        </w:tc>
        <w:tc>
          <w:tcPr>
            <w:tcW w:w="869" w:type="pct"/>
            <w:tcBorders>
              <w:top w:val="nil"/>
              <w:left w:val="nil"/>
              <w:bottom w:val="single" w:sz="8" w:space="0" w:color="FFFFFF"/>
              <w:right w:val="single" w:sz="8" w:space="0" w:color="FFFFFF"/>
            </w:tcBorders>
            <w:shd w:val="clear" w:color="000000" w:fill="E7F3F4"/>
            <w:vAlign w:val="center"/>
          </w:tcPr>
          <w:p w14:paraId="5E309CB6" w14:textId="218BCC74"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2.46E+00</w:t>
            </w:r>
          </w:p>
        </w:tc>
        <w:tc>
          <w:tcPr>
            <w:tcW w:w="808" w:type="pct"/>
            <w:tcBorders>
              <w:top w:val="nil"/>
              <w:left w:val="nil"/>
              <w:bottom w:val="single" w:sz="8" w:space="0" w:color="FFFFFF"/>
              <w:right w:val="single" w:sz="8" w:space="0" w:color="FFFFFF"/>
            </w:tcBorders>
            <w:shd w:val="clear" w:color="000000" w:fill="E7F3F4"/>
            <w:vAlign w:val="center"/>
          </w:tcPr>
          <w:p w14:paraId="09F8D9BF" w14:textId="0B2F3A29"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5.63E-01</w:t>
            </w:r>
          </w:p>
        </w:tc>
        <w:tc>
          <w:tcPr>
            <w:tcW w:w="700" w:type="pct"/>
            <w:tcBorders>
              <w:top w:val="nil"/>
              <w:left w:val="nil"/>
              <w:bottom w:val="single" w:sz="8" w:space="0" w:color="FFFFFF"/>
              <w:right w:val="single" w:sz="8" w:space="0" w:color="FFFFFF"/>
            </w:tcBorders>
            <w:shd w:val="clear" w:color="000000" w:fill="E7F3F4"/>
            <w:vAlign w:val="center"/>
          </w:tcPr>
          <w:p w14:paraId="2AC62FE2" w14:textId="2DD6FD54" w:rsidR="00FD0484" w:rsidRPr="00AF1587" w:rsidRDefault="00FD0484" w:rsidP="00FD0484">
            <w:pPr>
              <w:tabs>
                <w:tab w:val="clear" w:pos="720"/>
              </w:tabs>
              <w:jc w:val="center"/>
              <w:rPr>
                <w:rFonts w:ascii="Calibri" w:hAnsi="Calibri" w:cs="Calibri"/>
                <w:color w:val="000000"/>
                <w:sz w:val="18"/>
                <w:szCs w:val="18"/>
              </w:rPr>
            </w:pPr>
            <w:r w:rsidRPr="00FD0484">
              <w:rPr>
                <w:rFonts w:ascii="Calibri" w:hAnsi="Calibri" w:cs="Calibri"/>
                <w:color w:val="000000"/>
                <w:sz w:val="18"/>
                <w:szCs w:val="18"/>
              </w:rPr>
              <w:t>4.61E+00</w:t>
            </w:r>
          </w:p>
        </w:tc>
      </w:tr>
    </w:tbl>
    <w:p w14:paraId="00E4205B" w14:textId="77777777" w:rsidR="00EC163C" w:rsidRPr="003D269A" w:rsidRDefault="00EC163C" w:rsidP="0054313B">
      <w:pPr>
        <w:pStyle w:val="ListParagraph"/>
        <w:tabs>
          <w:tab w:val="clear" w:pos="720"/>
        </w:tabs>
        <w:ind w:left="0"/>
        <w:jc w:val="both"/>
      </w:pPr>
    </w:p>
    <w:p w14:paraId="70E58DA5" w14:textId="0E9F6B61" w:rsidR="008B2905" w:rsidRDefault="0078513A" w:rsidP="008B2905">
      <w:pPr>
        <w:tabs>
          <w:tab w:val="clear" w:pos="720"/>
        </w:tabs>
        <w:jc w:val="both"/>
      </w:pPr>
      <w:r>
        <w:rPr>
          <w:noProof/>
        </w:rPr>
        <w:lastRenderedPageBreak/>
        <w:drawing>
          <wp:inline distT="0" distB="0" distL="0" distR="0" wp14:anchorId="14E721DC" wp14:editId="25EAA060">
            <wp:extent cx="5943600" cy="3180715"/>
            <wp:effectExtent l="0" t="0" r="0" b="635"/>
            <wp:docPr id="19" name="Chart 19">
              <a:extLst xmlns:a="http://schemas.openxmlformats.org/drawingml/2006/main">
                <a:ext uri="{FF2B5EF4-FFF2-40B4-BE49-F238E27FC236}">
                  <a16:creationId xmlns:a16="http://schemas.microsoft.com/office/drawing/2014/main" id="{345E2D91-7735-47C0-95EE-EF21D88C0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C50B6F" w14:textId="1EF71F2F" w:rsidR="003D269A" w:rsidRDefault="003D269A" w:rsidP="00B17F75">
      <w:pPr>
        <w:pStyle w:val="FigureTitle"/>
      </w:pPr>
      <w:bookmarkStart w:id="320" w:name="_Ref524530909"/>
      <w:bookmarkStart w:id="321" w:name="_Ref524530902"/>
      <w:bookmarkStart w:id="322" w:name="_Toc533009208"/>
      <w:r>
        <w:t xml:space="preserve">Figure </w:t>
      </w:r>
      <w:r w:rsidR="005810D9">
        <w:fldChar w:fldCharType="begin"/>
      </w:r>
      <w:r w:rsidR="005810D9">
        <w:instrText xml:space="preserve"> SEQ Figure \* ARABIC </w:instrText>
      </w:r>
      <w:r w:rsidR="005810D9">
        <w:fldChar w:fldCharType="separate"/>
      </w:r>
      <w:r w:rsidR="008072BC">
        <w:t>11</w:t>
      </w:r>
      <w:r w:rsidR="005810D9">
        <w:fldChar w:fldCharType="end"/>
      </w:r>
      <w:bookmarkEnd w:id="320"/>
      <w:r>
        <w:t xml:space="preserve">. </w:t>
      </w:r>
      <w:r w:rsidR="006F7BE3">
        <w:t>I</w:t>
      </w:r>
      <w:r>
        <w:t xml:space="preserve">mpacts </w:t>
      </w:r>
      <w:r w:rsidR="00264443">
        <w:t xml:space="preserve">per day </w:t>
      </w:r>
      <w:r>
        <w:t xml:space="preserve">of </w:t>
      </w:r>
      <w:r w:rsidR="00344FAB">
        <w:t>large and medium scale</w:t>
      </w:r>
      <w:r>
        <w:t xml:space="preserve"> AWG operation </w:t>
      </w:r>
      <w:r w:rsidR="00344FAB">
        <w:t>with</w:t>
      </w:r>
      <w:r>
        <w:t xml:space="preserve"> Average U.S., RFCW, FRCC and CAMX eG</w:t>
      </w:r>
      <w:r w:rsidR="00EC7F7F">
        <w:t>RID</w:t>
      </w:r>
      <w:r>
        <w:t xml:space="preserve"> locations</w:t>
      </w:r>
      <w:bookmarkEnd w:id="321"/>
      <w:r w:rsidR="006F7BE3">
        <w:t xml:space="preserve"> shown as percent of maximum</w:t>
      </w:r>
      <w:r w:rsidR="00A64903">
        <w:t xml:space="preserve"> for select impact categories</w:t>
      </w:r>
      <w:r w:rsidR="0040683D">
        <w:t>.</w:t>
      </w:r>
      <w:bookmarkEnd w:id="322"/>
    </w:p>
    <w:p w14:paraId="4563AFA3" w14:textId="77777777" w:rsidR="00466C4D" w:rsidRPr="00466C4D" w:rsidRDefault="00466C4D" w:rsidP="00466C4D"/>
    <w:p w14:paraId="5EA2AAD9" w14:textId="6B7A1C84" w:rsidR="00E81F21" w:rsidRDefault="00E81F21" w:rsidP="001842BF">
      <w:pPr>
        <w:pStyle w:val="Heading4"/>
      </w:pPr>
      <w:bookmarkStart w:id="323" w:name="_Ref524952102"/>
      <w:r w:rsidRPr="00E81F21">
        <w:t>Re</w:t>
      </w:r>
      <w:r w:rsidR="00C73942">
        <w:t>us</w:t>
      </w:r>
      <w:r w:rsidRPr="00E81F21">
        <w:t xml:space="preserve">able </w:t>
      </w:r>
      <w:r w:rsidR="007C79B2">
        <w:t>C</w:t>
      </w:r>
      <w:r w:rsidRPr="00E81F21">
        <w:t xml:space="preserve">ontainer </w:t>
      </w:r>
      <w:r w:rsidR="007C79B2">
        <w:t>W</w:t>
      </w:r>
      <w:r w:rsidRPr="00E81F21">
        <w:t xml:space="preserve">ashing </w:t>
      </w:r>
      <w:r w:rsidR="007C79B2">
        <w:t>M</w:t>
      </w:r>
      <w:r w:rsidRPr="00E81F21">
        <w:t>ethod</w:t>
      </w:r>
      <w:bookmarkEnd w:id="323"/>
    </w:p>
    <w:p w14:paraId="0881CB30" w14:textId="67FD4E09" w:rsidR="0071310B" w:rsidRDefault="00891080" w:rsidP="00B04757">
      <w:pPr>
        <w:pStyle w:val="BodyText"/>
      </w:pPr>
      <w:r>
        <w:t>For the AWG systems, impacts decrease for all categories approximately 33% when shifting from handwashing of the reusable container to no washing. Impacts are affected universally, as the water used for washing in an emergency situation is assumed to be generated by the AWG unit.</w:t>
      </w:r>
    </w:p>
    <w:p w14:paraId="17AD53A4" w14:textId="5BC36AE5" w:rsidR="003D269A" w:rsidRDefault="003D269A" w:rsidP="008B2905">
      <w:pPr>
        <w:tabs>
          <w:tab w:val="clear" w:pos="720"/>
        </w:tabs>
        <w:jc w:val="both"/>
      </w:pPr>
    </w:p>
    <w:p w14:paraId="72E8BF9C" w14:textId="1A6E9719" w:rsidR="0061437A" w:rsidRPr="00EA1BAF" w:rsidRDefault="006D4ED0" w:rsidP="006D4ED0">
      <w:pPr>
        <w:pStyle w:val="Heading4"/>
      </w:pPr>
      <w:r w:rsidRPr="00EA1BAF">
        <w:t>Water Produced per Day</w:t>
      </w:r>
    </w:p>
    <w:p w14:paraId="1FA76A2F" w14:textId="539F5F62" w:rsidR="00EA1BAF" w:rsidRPr="00EA1BAF" w:rsidRDefault="00EA1BAF" w:rsidP="00B17F75">
      <w:pPr>
        <w:pStyle w:val="BodyText"/>
      </w:pPr>
      <w:r w:rsidRPr="00EA1BAF">
        <w:t>This sensitivity analysis compares the impacts associated with maximum daily water production and minimum daily water production</w:t>
      </w:r>
      <w:r>
        <w:t xml:space="preserve">. </w:t>
      </w:r>
      <w:r>
        <w:fldChar w:fldCharType="begin"/>
      </w:r>
      <w:r>
        <w:instrText xml:space="preserve"> REF _Ref525120866 \h </w:instrText>
      </w:r>
      <w:r>
        <w:fldChar w:fldCharType="separate"/>
      </w:r>
      <w:r w:rsidR="008072BC">
        <w:t xml:space="preserve">Figure </w:t>
      </w:r>
      <w:r w:rsidR="008072BC">
        <w:rPr>
          <w:noProof/>
        </w:rPr>
        <w:t>12</w:t>
      </w:r>
      <w:r>
        <w:fldChar w:fldCharType="end"/>
      </w:r>
      <w:r>
        <w:t xml:space="preserve"> shows the </w:t>
      </w:r>
      <w:r w:rsidR="00E02CF8">
        <w:t>impacts associated with the average volume of water produced daily by the AWGs for all three scales and both vendors, as a percent of maximum impact in each impact category. The error bars show the variability in impacts associated with the maximum and minimum water produced by each AWG. The errors are calculated as the average of the maximum and minimum impacts for each impact category for each AWG vendor and scale. The highest variability is seen for Watergen medium scale and EcoloBlue large and medium scale AWGs particularly for the cumulative energy demand, water consumption</w:t>
      </w:r>
      <w:r w:rsidR="00EC7F7F">
        <w:t>,</w:t>
      </w:r>
      <w:r w:rsidR="00E02CF8">
        <w:t xml:space="preserve"> and global warming potential. The vendors provided detailed performance data for the daily volume produced by these three AWGs</w:t>
      </w:r>
      <w:r w:rsidR="005C6339">
        <w:t>,</w:t>
      </w:r>
      <w:r w:rsidR="00E02CF8">
        <w:t xml:space="preserve"> which is why the variability in impacts is </w:t>
      </w:r>
      <w:r w:rsidR="005C6339">
        <w:t>larger</w:t>
      </w:r>
      <w:r w:rsidR="00E02CF8">
        <w:t xml:space="preserve"> as compared to the other three AWGs for which the detailed performance data was not available.</w:t>
      </w:r>
      <w:r w:rsidR="00DF31DC">
        <w:t xml:space="preserve"> Because operational data is a static kWh usage per L, the actual electricity for operation does not vary on a functional unit basis. The difference in the results shown here are, </w:t>
      </w:r>
      <w:r w:rsidR="00DF31DC">
        <w:lastRenderedPageBreak/>
        <w:t>therefore, primarily related to capital equipment requirements after standardization over total AWG lifetime water production.</w:t>
      </w:r>
    </w:p>
    <w:p w14:paraId="4AF86434" w14:textId="6F176D0D" w:rsidR="00845BBF" w:rsidRDefault="000C14F3" w:rsidP="00627C12">
      <w:pPr>
        <w:tabs>
          <w:tab w:val="clear" w:pos="720"/>
          <w:tab w:val="left" w:pos="0"/>
        </w:tabs>
        <w:rPr>
          <w:highlight w:val="yellow"/>
        </w:rPr>
      </w:pPr>
      <w:r>
        <w:rPr>
          <w:noProof/>
        </w:rPr>
        <w:drawing>
          <wp:inline distT="0" distB="0" distL="0" distR="0" wp14:anchorId="70BF6DA7" wp14:editId="1D75D6D2">
            <wp:extent cx="6419850" cy="3952875"/>
            <wp:effectExtent l="0" t="0" r="0" b="0"/>
            <wp:docPr id="23" name="Chart 23">
              <a:extLst xmlns:a="http://schemas.openxmlformats.org/drawingml/2006/main">
                <a:ext uri="{FF2B5EF4-FFF2-40B4-BE49-F238E27FC236}">
                  <a16:creationId xmlns:a16="http://schemas.microsoft.com/office/drawing/2014/main" id="{6DB93357-0998-47D0-BD4F-33EACE657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50742F" w14:textId="0F988989" w:rsidR="00845BBF" w:rsidRPr="00845BBF" w:rsidRDefault="00EA1BAF" w:rsidP="00B17F75">
      <w:pPr>
        <w:pStyle w:val="FigureTitle"/>
        <w:rPr>
          <w:highlight w:val="yellow"/>
        </w:rPr>
      </w:pPr>
      <w:bookmarkStart w:id="324" w:name="_Ref525120866"/>
      <w:bookmarkStart w:id="325" w:name="_Toc533009209"/>
      <w:r>
        <w:t xml:space="preserve">Figure </w:t>
      </w:r>
      <w:r w:rsidR="000C6707">
        <w:fldChar w:fldCharType="begin"/>
      </w:r>
      <w:r w:rsidR="000C6707">
        <w:instrText xml:space="preserve"> SEQ Figure \* ARABIC </w:instrText>
      </w:r>
      <w:r w:rsidR="000C6707">
        <w:fldChar w:fldCharType="separate"/>
      </w:r>
      <w:r w:rsidR="008072BC">
        <w:t>12</w:t>
      </w:r>
      <w:r w:rsidR="000C6707">
        <w:fldChar w:fldCharType="end"/>
      </w:r>
      <w:bookmarkEnd w:id="324"/>
      <w:r>
        <w:t>. Percent of maximum impacts of average daily water produced with error bars showing the range of impacts associated with maximum and minimum daily water produced</w:t>
      </w:r>
      <w:r w:rsidR="00DF31DC">
        <w:t>.</w:t>
      </w:r>
      <w:bookmarkEnd w:id="325"/>
    </w:p>
    <w:p w14:paraId="2BD630C9" w14:textId="7FA6C514" w:rsidR="008B2905" w:rsidRPr="00B548CA" w:rsidRDefault="008B2905" w:rsidP="008B2905">
      <w:pPr>
        <w:pStyle w:val="Heading3"/>
      </w:pPr>
      <w:bookmarkStart w:id="326" w:name="_Toc525246219"/>
      <w:bookmarkStart w:id="327" w:name="_Toc533009177"/>
      <w:r>
        <w:t xml:space="preserve">Sensitivity Analyses </w:t>
      </w:r>
      <w:r w:rsidR="002E3CD2">
        <w:t xml:space="preserve">for </w:t>
      </w:r>
      <w:r>
        <w:t>Bottled Water Systems</w:t>
      </w:r>
      <w:bookmarkEnd w:id="326"/>
      <w:bookmarkEnd w:id="327"/>
    </w:p>
    <w:p w14:paraId="45688838" w14:textId="7C78F3BA" w:rsidR="00324296" w:rsidRDefault="00324296" w:rsidP="001842BF">
      <w:pPr>
        <w:pStyle w:val="Heading4"/>
      </w:pPr>
      <w:r w:rsidRPr="00324296">
        <w:t xml:space="preserve">Weight </w:t>
      </w:r>
      <w:r w:rsidR="00885C44">
        <w:t>O</w:t>
      </w:r>
      <w:r w:rsidRPr="00324296">
        <w:t xml:space="preserve">ptions for 16.9 oz </w:t>
      </w:r>
      <w:r w:rsidR="006379CB">
        <w:t xml:space="preserve">Single-serve </w:t>
      </w:r>
      <w:r w:rsidR="00885C44">
        <w:t>B</w:t>
      </w:r>
      <w:r w:rsidRPr="00324296">
        <w:t xml:space="preserve">ottle (with </w:t>
      </w:r>
      <w:r w:rsidR="00BF12A7">
        <w:t xml:space="preserve">and without </w:t>
      </w:r>
      <w:r w:rsidR="00885C44">
        <w:t>R</w:t>
      </w:r>
      <w:r w:rsidRPr="00324296">
        <w:t xml:space="preserve">ecycled </w:t>
      </w:r>
      <w:r w:rsidR="00885C44">
        <w:t>C</w:t>
      </w:r>
      <w:r w:rsidRPr="00324296">
        <w:t>ontent)</w:t>
      </w:r>
    </w:p>
    <w:p w14:paraId="6A326ADF" w14:textId="2D35147C" w:rsidR="00E3689A" w:rsidRPr="00E3689A" w:rsidRDefault="00E3689A" w:rsidP="00B17F75">
      <w:pPr>
        <w:pStyle w:val="BodyText"/>
      </w:pPr>
      <w:r w:rsidRPr="00E3689A">
        <w:t xml:space="preserve">Two lightweight bottles were assessed in this </w:t>
      </w:r>
      <w:r w:rsidR="0061437A">
        <w:t>sensitivity analysis</w:t>
      </w:r>
      <w:r w:rsidRPr="00E3689A">
        <w:t>, each using virgin PET and</w:t>
      </w:r>
      <w:r w:rsidR="0061437A">
        <w:t xml:space="preserve"> up to</w:t>
      </w:r>
      <w:r w:rsidRPr="00E3689A">
        <w:t xml:space="preserve"> 10% recycled content</w:t>
      </w:r>
      <w:r w:rsidR="0061437A">
        <w:t>,</w:t>
      </w:r>
      <w:r w:rsidR="00A637FA">
        <w:t xml:space="preserve"> respectively</w:t>
      </w:r>
      <w:r w:rsidRPr="00E3689A">
        <w:t xml:space="preserve">. </w:t>
      </w:r>
      <w:r>
        <w:t xml:space="preserve">The default lightweight 16.9 oz bottle weights 9.3 grams </w:t>
      </w:r>
      <w:r w:rsidR="001244E2">
        <w:t>(minimum)</w:t>
      </w:r>
      <w:r w:rsidR="00B479D6">
        <w:t xml:space="preserve"> </w:t>
      </w:r>
      <w:r>
        <w:t>and has no recycled content. The sensitivity analysis include</w:t>
      </w:r>
      <w:r w:rsidR="00FB7840">
        <w:t>s</w:t>
      </w:r>
      <w:r>
        <w:t xml:space="preserve"> comparison with </w:t>
      </w:r>
      <w:r w:rsidR="00FB7840">
        <w:t xml:space="preserve">a </w:t>
      </w:r>
      <w:r>
        <w:t xml:space="preserve">9.3 gram bottle with 10% recycled content, </w:t>
      </w:r>
      <w:r w:rsidR="002A3342">
        <w:t>a 10.9 gram bottle</w:t>
      </w:r>
      <w:r w:rsidR="001244E2">
        <w:t xml:space="preserve"> (maximum)</w:t>
      </w:r>
      <w:r w:rsidR="002A3342">
        <w:t xml:space="preserve"> </w:t>
      </w:r>
      <w:r w:rsidR="00FB7840">
        <w:t xml:space="preserve">made </w:t>
      </w:r>
      <w:r w:rsidR="002A3342">
        <w:t xml:space="preserve">with virgin PET and a 10.9 gram bottle with 10% recycled content. The percentage change in impacts from switching from </w:t>
      </w:r>
      <w:r w:rsidR="001244E2">
        <w:t xml:space="preserve">the </w:t>
      </w:r>
      <w:r w:rsidR="002A3342">
        <w:t>default</w:t>
      </w:r>
      <w:r w:rsidR="001244E2">
        <w:t xml:space="preserve"> weight and recycled content</w:t>
      </w:r>
      <w:r w:rsidR="002A3342">
        <w:t xml:space="preserve"> to the three options</w:t>
      </w:r>
      <w:r w:rsidR="00BF397B">
        <w:t xml:space="preserve"> discussed</w:t>
      </w:r>
      <w:r>
        <w:t xml:space="preserve"> is shown in </w:t>
      </w:r>
      <w:r>
        <w:fldChar w:fldCharType="begin"/>
      </w:r>
      <w:r>
        <w:instrText xml:space="preserve"> REF _Ref524624450 \h </w:instrText>
      </w:r>
      <w:r>
        <w:fldChar w:fldCharType="separate"/>
      </w:r>
      <w:r w:rsidR="008072BC">
        <w:t xml:space="preserve">Figure </w:t>
      </w:r>
      <w:r w:rsidR="008072BC">
        <w:rPr>
          <w:noProof/>
        </w:rPr>
        <w:t>13</w:t>
      </w:r>
      <w:r>
        <w:fldChar w:fldCharType="end"/>
      </w:r>
      <w:r w:rsidR="002A3342">
        <w:t xml:space="preserve">. Adding recycled content </w:t>
      </w:r>
      <w:r w:rsidR="00FB7840">
        <w:t xml:space="preserve">further </w:t>
      </w:r>
      <w:r w:rsidR="002A3342">
        <w:t xml:space="preserve">reduces </w:t>
      </w:r>
      <w:r w:rsidR="00FB7840">
        <w:t xml:space="preserve">the </w:t>
      </w:r>
      <w:r w:rsidR="002A3342">
        <w:t>impacts</w:t>
      </w:r>
      <w:r w:rsidR="00FB7840">
        <w:t xml:space="preserve"> for the 9.3 gram bottle system,</w:t>
      </w:r>
      <w:r w:rsidR="002A3342">
        <w:t xml:space="preserve"> however increasing the weight of the bottle even slightly increases impacts across all impact categories.</w:t>
      </w:r>
      <w:r w:rsidR="0061050A">
        <w:t xml:space="preserve"> Adding 10% recycled content still makes the reusable jug a desirable alternative except in the case of handwashing where</w:t>
      </w:r>
      <w:r w:rsidR="00EC7F7F">
        <w:t>as</w:t>
      </w:r>
      <w:r w:rsidR="0061050A">
        <w:t xml:space="preserve"> </w:t>
      </w:r>
      <w:r w:rsidR="00EC7F7F">
        <w:t xml:space="preserve">the </w:t>
      </w:r>
      <w:r w:rsidR="0061050A">
        <w:t xml:space="preserve">reusable jug has higher water consumption as compared with the </w:t>
      </w:r>
      <w:r w:rsidR="009B2365">
        <w:t>single-serve</w:t>
      </w:r>
      <w:r w:rsidR="0061050A">
        <w:t xml:space="preserve"> bottle. </w:t>
      </w:r>
      <w:r w:rsidR="00523721">
        <w:t xml:space="preserve">Including recycled contents in the bottles reduced greenhouse gas emissions and energy demanded as compared to manufacturing bottles </w:t>
      </w:r>
      <w:r w:rsidR="00523721">
        <w:lastRenderedPageBreak/>
        <w:t xml:space="preserve">from virgin PET. </w:t>
      </w:r>
      <w:r w:rsidR="0061050A">
        <w:t xml:space="preserve">As compared with the AWGs systems, the impacts associated with </w:t>
      </w:r>
      <w:r w:rsidR="002974BC">
        <w:t xml:space="preserve">all four scenarios of </w:t>
      </w:r>
      <w:r w:rsidR="0061050A">
        <w:t xml:space="preserve">the </w:t>
      </w:r>
      <w:r w:rsidR="009B2365">
        <w:t>single-serve</w:t>
      </w:r>
      <w:r w:rsidR="0061050A">
        <w:t xml:space="preserve"> bottle </w:t>
      </w:r>
      <w:r w:rsidR="002974BC">
        <w:t>(weight and recycled content) are higher than those of AWG of both vendors for acidification potential, eutrophication potential, particulate matter formation, smog formation</w:t>
      </w:r>
      <w:r w:rsidR="00EC7F7F">
        <w:t>,</w:t>
      </w:r>
      <w:r w:rsidR="002974BC">
        <w:t xml:space="preserve"> and solid waste by weight impact categories if the AWGs are using CAMX energy mix and producing any (minimum, maximum or average) daily volume of water.</w:t>
      </w:r>
      <w:r w:rsidR="00247EF2">
        <w:t xml:space="preserve"> Using a reduced emissions energy mix option does make AWG a lower impact alternative to </w:t>
      </w:r>
      <w:r w:rsidR="009B2365">
        <w:t>single-serve</w:t>
      </w:r>
      <w:r w:rsidR="00247EF2">
        <w:t xml:space="preserve"> bottled water for select impact categories</w:t>
      </w:r>
      <w:r w:rsidR="00486248">
        <w:t xml:space="preserve"> (see </w:t>
      </w:r>
      <w:r w:rsidR="002C01CD">
        <w:fldChar w:fldCharType="begin"/>
      </w:r>
      <w:r w:rsidR="002C01CD">
        <w:instrText xml:space="preserve"> REF _Ref525245388 \r \h </w:instrText>
      </w:r>
      <w:r w:rsidR="002C01CD">
        <w:fldChar w:fldCharType="separate"/>
      </w:r>
      <w:r w:rsidR="008072BC">
        <w:t>Appendix B</w:t>
      </w:r>
      <w:r w:rsidR="002C01CD">
        <w:fldChar w:fldCharType="end"/>
      </w:r>
      <w:r w:rsidR="00486248">
        <w:t xml:space="preserve"> for the results)</w:t>
      </w:r>
      <w:r w:rsidR="00247EF2">
        <w:t>.</w:t>
      </w:r>
      <w:r w:rsidR="00C66A30">
        <w:t xml:space="preserve"> </w:t>
      </w:r>
    </w:p>
    <w:p w14:paraId="501163EA" w14:textId="77777777" w:rsidR="00C75017" w:rsidRPr="00C75017" w:rsidRDefault="00C75017" w:rsidP="0067316D">
      <w:pPr>
        <w:tabs>
          <w:tab w:val="clear" w:pos="720"/>
        </w:tabs>
        <w:jc w:val="both"/>
        <w:rPr>
          <w:b/>
        </w:rPr>
      </w:pPr>
    </w:p>
    <w:p w14:paraId="573705C3" w14:textId="54BCB1C8" w:rsidR="00C75017" w:rsidRDefault="00DA757A" w:rsidP="001842BF">
      <w:pPr>
        <w:tabs>
          <w:tab w:val="clear" w:pos="720"/>
        </w:tabs>
        <w:rPr>
          <w:b/>
        </w:rPr>
      </w:pPr>
      <w:r>
        <w:rPr>
          <w:noProof/>
        </w:rPr>
        <w:drawing>
          <wp:inline distT="0" distB="0" distL="0" distR="0" wp14:anchorId="69FECEAE" wp14:editId="048F7036">
            <wp:extent cx="5943600" cy="4061460"/>
            <wp:effectExtent l="0" t="0" r="0" b="0"/>
            <wp:docPr id="18" name="Chart 18">
              <a:extLst xmlns:a="http://schemas.openxmlformats.org/drawingml/2006/main">
                <a:ext uri="{FF2B5EF4-FFF2-40B4-BE49-F238E27FC236}">
                  <a16:creationId xmlns:a16="http://schemas.microsoft.com/office/drawing/2014/main" id="{7277CFC4-B25B-4DCA-AB24-C9EAA79E0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71A6B9" w14:textId="74C22CCA" w:rsidR="00C75017" w:rsidRDefault="00E3689A" w:rsidP="00B17F75">
      <w:pPr>
        <w:pStyle w:val="FigureTitle"/>
      </w:pPr>
      <w:bookmarkStart w:id="328" w:name="_Ref524624450"/>
      <w:bookmarkStart w:id="329" w:name="_Toc533009210"/>
      <w:r>
        <w:t xml:space="preserve">Figure </w:t>
      </w:r>
      <w:r w:rsidR="005810D9">
        <w:fldChar w:fldCharType="begin"/>
      </w:r>
      <w:r w:rsidR="005810D9">
        <w:instrText xml:space="preserve"> SEQ Figure \* ARABIC </w:instrText>
      </w:r>
      <w:r w:rsidR="005810D9">
        <w:fldChar w:fldCharType="separate"/>
      </w:r>
      <w:r w:rsidR="008072BC">
        <w:t>13</w:t>
      </w:r>
      <w:r w:rsidR="005810D9">
        <w:fldChar w:fldCharType="end"/>
      </w:r>
      <w:bookmarkEnd w:id="328"/>
      <w:r>
        <w:t xml:space="preserve">. Sensitivity to </w:t>
      </w:r>
      <w:r w:rsidR="00FB7840">
        <w:t>bottle weight</w:t>
      </w:r>
      <w:r w:rsidR="00AA6CA8">
        <w:t>s</w:t>
      </w:r>
      <w:r w:rsidR="00BD593D">
        <w:t xml:space="preserve"> of 9.3g (minimum) and 10.9g (maximum)</w:t>
      </w:r>
      <w:r w:rsidR="00FB7840">
        <w:t xml:space="preserve"> and recycled content</w:t>
      </w:r>
      <w:r w:rsidR="00BD593D">
        <w:t>s (RC) of 0 percent and 10 percent</w:t>
      </w:r>
      <w:r w:rsidR="00AA6CA8">
        <w:t>.</w:t>
      </w:r>
      <w:bookmarkEnd w:id="329"/>
    </w:p>
    <w:p w14:paraId="2F85249C" w14:textId="77777777" w:rsidR="00C75017" w:rsidRPr="00C75017" w:rsidRDefault="00C75017" w:rsidP="00FB7840">
      <w:pPr>
        <w:tabs>
          <w:tab w:val="clear" w:pos="720"/>
        </w:tabs>
        <w:jc w:val="both"/>
        <w:rPr>
          <w:b/>
        </w:rPr>
      </w:pPr>
    </w:p>
    <w:p w14:paraId="303E1075" w14:textId="142F2E4F" w:rsidR="002D1BA8" w:rsidRDefault="002D1BA8" w:rsidP="001842BF">
      <w:pPr>
        <w:pStyle w:val="Heading4"/>
      </w:pPr>
      <w:r w:rsidRPr="002D1BA8">
        <w:t xml:space="preserve">Variation in </w:t>
      </w:r>
      <w:r w:rsidR="00FF6EA1">
        <w:t>T</w:t>
      </w:r>
      <w:r w:rsidRPr="002D1BA8">
        <w:t xml:space="preserve">ransport </w:t>
      </w:r>
      <w:r w:rsidR="00FF6EA1">
        <w:t>D</w:t>
      </w:r>
      <w:r w:rsidRPr="002D1BA8">
        <w:t xml:space="preserve">istances for </w:t>
      </w:r>
      <w:r w:rsidR="00EC7F7F">
        <w:t>Reusable</w:t>
      </w:r>
      <w:r w:rsidRPr="002D1BA8">
        <w:t xml:space="preserve"> </w:t>
      </w:r>
      <w:r w:rsidR="00FF6EA1">
        <w:t>J</w:t>
      </w:r>
      <w:r w:rsidRPr="002D1BA8">
        <w:t>ug</w:t>
      </w:r>
    </w:p>
    <w:p w14:paraId="131EEF1C" w14:textId="567258CE" w:rsidR="00FB7840" w:rsidRDefault="00CB7128" w:rsidP="00B17F75">
      <w:pPr>
        <w:pStyle w:val="BodyText"/>
      </w:pPr>
      <w:r>
        <w:t>In the baseline analysis, the use of diesel</w:t>
      </w:r>
      <w:r w:rsidR="00EC7F7F">
        <w:t>-</w:t>
      </w:r>
      <w:r>
        <w:t xml:space="preserve">based transportation of reusable bottled water shows high impacts across all impact categories especially smog formation potential, global warming potential and fossil </w:t>
      </w:r>
      <w:r w:rsidR="006F4495">
        <w:t xml:space="preserve">fuel </w:t>
      </w:r>
      <w:r>
        <w:t>depletion</w:t>
      </w:r>
      <w:r w:rsidR="002D02DC">
        <w:t>,</w:t>
      </w:r>
      <w:r>
        <w:t xml:space="preserve"> so we carried out a sensitivity analysis for the transportation distance. The default assumption is 75 miles and we studied the impacts of a longer (maximum) distance of 125 miles and a shorter (minimum) distance of 25 miles.</w:t>
      </w:r>
      <w:r w:rsidR="00FB7840">
        <w:t xml:space="preserve"> </w:t>
      </w:r>
      <w:r w:rsidR="00FB7840">
        <w:fldChar w:fldCharType="begin"/>
      </w:r>
      <w:r w:rsidR="00FB7840">
        <w:instrText xml:space="preserve"> REF _Ref524625146 \h </w:instrText>
      </w:r>
      <w:r w:rsidR="00FB7840">
        <w:fldChar w:fldCharType="separate"/>
      </w:r>
      <w:r w:rsidR="008072BC">
        <w:t xml:space="preserve">Figure </w:t>
      </w:r>
      <w:r w:rsidR="008072BC">
        <w:rPr>
          <w:noProof/>
        </w:rPr>
        <w:t>14</w:t>
      </w:r>
      <w:r w:rsidR="00FB7840">
        <w:fldChar w:fldCharType="end"/>
      </w:r>
      <w:r>
        <w:t xml:space="preserve"> </w:t>
      </w:r>
      <w:r w:rsidR="00B479D6">
        <w:t>shows</w:t>
      </w:r>
      <w:r>
        <w:t xml:space="preserve"> </w:t>
      </w:r>
      <w:r w:rsidR="00B479D6">
        <w:t>the percentage change in impacts if a minimum or maximum distance were chosen instead of the default 75 miles. The figure highlights that impac</w:t>
      </w:r>
      <w:r w:rsidR="002A2D17">
        <w:t>ts</w:t>
      </w:r>
      <w:r w:rsidR="00B479D6">
        <w:t xml:space="preserve"> across all impact categories increase if the distance is increased and decrease with a shorter distance travelled to and from the </w:t>
      </w:r>
      <w:r w:rsidR="00B479D6">
        <w:lastRenderedPageBreak/>
        <w:t>users.</w:t>
      </w:r>
      <w:r w:rsidR="00502CDA">
        <w:t xml:space="preserve"> These impacts are higher for transportation of a filled jug from the plant to the user as opposed to the transportation of empty jugs from user to the plant. When comparing results of this sensitivity analysis to the AWG LCA results, </w:t>
      </w:r>
      <w:r w:rsidR="004274AD">
        <w:t>t</w:t>
      </w:r>
      <w:r w:rsidR="00502CDA">
        <w:t xml:space="preserve">he overall impacts of the reusable jug </w:t>
      </w:r>
      <w:r w:rsidR="004274AD">
        <w:t xml:space="preserve">with maximum transportation distance scenario </w:t>
      </w:r>
      <w:r w:rsidR="00502CDA">
        <w:t>remain low for all categories except for smog formation potential under the CAMX grid mix scenario and water consumption under the FRCC scenario</w:t>
      </w:r>
      <w:r w:rsidR="004274AD">
        <w:t xml:space="preserve"> for AWGs producing maximum daily volume of water</w:t>
      </w:r>
      <w:r w:rsidR="00486248">
        <w:t xml:space="preserve"> (see </w:t>
      </w:r>
      <w:r w:rsidR="0032320C">
        <w:fldChar w:fldCharType="begin"/>
      </w:r>
      <w:r w:rsidR="0032320C">
        <w:instrText xml:space="preserve"> REF _Ref525245388 \r \h </w:instrText>
      </w:r>
      <w:r w:rsidR="0032320C">
        <w:fldChar w:fldCharType="separate"/>
      </w:r>
      <w:r w:rsidR="008072BC">
        <w:t>Appendix B</w:t>
      </w:r>
      <w:r w:rsidR="0032320C">
        <w:fldChar w:fldCharType="end"/>
      </w:r>
      <w:r w:rsidR="00486248">
        <w:t xml:space="preserve"> for the results)</w:t>
      </w:r>
      <w:r w:rsidR="004274AD">
        <w:t xml:space="preserve">. </w:t>
      </w:r>
    </w:p>
    <w:p w14:paraId="2295819D" w14:textId="2EF0A07B" w:rsidR="004A6CC1" w:rsidRDefault="00B90AD0" w:rsidP="004A6CC1">
      <w:pPr>
        <w:pStyle w:val="ListParagraph"/>
        <w:tabs>
          <w:tab w:val="clear" w:pos="720"/>
        </w:tabs>
        <w:ind w:left="0"/>
        <w:rPr>
          <w:b/>
        </w:rPr>
      </w:pPr>
      <w:r>
        <w:rPr>
          <w:noProof/>
        </w:rPr>
        <w:drawing>
          <wp:inline distT="0" distB="0" distL="0" distR="0" wp14:anchorId="60495E55" wp14:editId="54A22C91">
            <wp:extent cx="6315075" cy="3819525"/>
            <wp:effectExtent l="0" t="0" r="0" b="0"/>
            <wp:docPr id="24" name="Chart 24">
              <a:extLst xmlns:a="http://schemas.openxmlformats.org/drawingml/2006/main">
                <a:ext uri="{FF2B5EF4-FFF2-40B4-BE49-F238E27FC236}">
                  <a16:creationId xmlns:a16="http://schemas.microsoft.com/office/drawing/2014/main" id="{AD62F9B3-6082-4712-841A-6687774DF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166DC3" w14:textId="69C35D1B" w:rsidR="00CB7128" w:rsidRDefault="00A64903" w:rsidP="00B17F75">
      <w:pPr>
        <w:pStyle w:val="FigureTitle"/>
      </w:pPr>
      <w:bookmarkStart w:id="330" w:name="_Ref524625146"/>
      <w:bookmarkStart w:id="331" w:name="_Toc533009211"/>
      <w:r>
        <w:t xml:space="preserve">Figure </w:t>
      </w:r>
      <w:r w:rsidR="005810D9">
        <w:fldChar w:fldCharType="begin"/>
      </w:r>
      <w:r w:rsidR="005810D9">
        <w:instrText xml:space="preserve"> SEQ Figure \* ARABIC </w:instrText>
      </w:r>
      <w:r w:rsidR="005810D9">
        <w:fldChar w:fldCharType="separate"/>
      </w:r>
      <w:r w:rsidR="008072BC">
        <w:t>14</w:t>
      </w:r>
      <w:r w:rsidR="005810D9">
        <w:fldChar w:fldCharType="end"/>
      </w:r>
      <w:bookmarkEnd w:id="330"/>
      <w:r>
        <w:t xml:space="preserve">. </w:t>
      </w:r>
      <w:r w:rsidR="00FB7840">
        <w:t xml:space="preserve">Sensitivity to transportation distance of reusable </w:t>
      </w:r>
      <w:r w:rsidR="002D02DC">
        <w:t>jug</w:t>
      </w:r>
      <w:r w:rsidR="00FB7840">
        <w:t xml:space="preserve"> to and from the user</w:t>
      </w:r>
      <w:r w:rsidR="001842BF">
        <w:t>.</w:t>
      </w:r>
      <w:bookmarkEnd w:id="331"/>
    </w:p>
    <w:p w14:paraId="181BB3C6" w14:textId="69086491" w:rsidR="006763BD" w:rsidRDefault="006763BD" w:rsidP="00324296">
      <w:pPr>
        <w:jc w:val="both"/>
      </w:pPr>
    </w:p>
    <w:p w14:paraId="6CE904F7" w14:textId="011AB230" w:rsidR="006763BD" w:rsidRDefault="006763BD" w:rsidP="001842BF">
      <w:pPr>
        <w:pStyle w:val="Heading4"/>
      </w:pPr>
      <w:r w:rsidRPr="006763BD">
        <w:t xml:space="preserve">Recycling </w:t>
      </w:r>
      <w:r w:rsidR="00596A45">
        <w:t>A</w:t>
      </w:r>
      <w:r w:rsidRPr="006763BD">
        <w:t xml:space="preserve">llocation </w:t>
      </w:r>
      <w:r w:rsidR="00596A45">
        <w:t>M</w:t>
      </w:r>
      <w:r w:rsidRPr="006763BD">
        <w:t>ethod (</w:t>
      </w:r>
      <w:r w:rsidR="00596A45">
        <w:t>S</w:t>
      </w:r>
      <w:r w:rsidRPr="006763BD">
        <w:t xml:space="preserve">ystem </w:t>
      </w:r>
      <w:r w:rsidR="00596A45">
        <w:t>E</w:t>
      </w:r>
      <w:r w:rsidRPr="006763BD">
        <w:t xml:space="preserve">xpansion versus </w:t>
      </w:r>
      <w:r w:rsidR="00596A45">
        <w:t>C</w:t>
      </w:r>
      <w:r w:rsidRPr="006763BD">
        <w:t>ut-off)</w:t>
      </w:r>
    </w:p>
    <w:p w14:paraId="7437927E" w14:textId="1AF4902E" w:rsidR="006364AC" w:rsidRDefault="002A2D17" w:rsidP="00B17F75">
      <w:pPr>
        <w:pStyle w:val="BodyText"/>
      </w:pPr>
      <w:r w:rsidRPr="006364AC">
        <w:t xml:space="preserve">Using system expansion to include recycling of bottles </w:t>
      </w:r>
      <w:r w:rsidR="0052691A" w:rsidRPr="006364AC">
        <w:t>instead of the cut-off method provides</w:t>
      </w:r>
      <w:r w:rsidRPr="006364AC">
        <w:t xml:space="preserve"> significant reduction in cumulative energy demand </w:t>
      </w:r>
      <w:r w:rsidR="00B80B53" w:rsidRPr="006364AC">
        <w:t>and global warming potential</w:t>
      </w:r>
      <w:r w:rsidR="002D02DC">
        <w:t>,</w:t>
      </w:r>
      <w:r w:rsidR="00B80B53" w:rsidRPr="006364AC">
        <w:t xml:space="preserve"> </w:t>
      </w:r>
      <w:r w:rsidR="0052691A" w:rsidRPr="006364AC">
        <w:t>but an increase in water consumption for both the single-serve and multi-serve bottle system as highlighted in</w:t>
      </w:r>
      <w:r w:rsidR="002A5634" w:rsidRPr="006364AC">
        <w:t xml:space="preserve"> </w:t>
      </w:r>
      <w:r w:rsidR="002A5634" w:rsidRPr="006364AC">
        <w:fldChar w:fldCharType="begin"/>
      </w:r>
      <w:r w:rsidR="002A5634" w:rsidRPr="006364AC">
        <w:instrText xml:space="preserve"> REF _Ref525075662 \h </w:instrText>
      </w:r>
      <w:r w:rsidR="006364AC">
        <w:instrText xml:space="preserve"> \* MERGEFORMAT </w:instrText>
      </w:r>
      <w:r w:rsidR="002A5634" w:rsidRPr="006364AC">
        <w:fldChar w:fldCharType="separate"/>
      </w:r>
      <w:r w:rsidR="003267CA">
        <w:t>Table 15</w:t>
      </w:r>
      <w:r w:rsidR="002A5634" w:rsidRPr="006364AC">
        <w:fldChar w:fldCharType="end"/>
      </w:r>
      <w:r w:rsidRPr="006364AC">
        <w:t xml:space="preserve">. </w:t>
      </w:r>
      <w:r w:rsidR="006364AC">
        <w:t>S</w:t>
      </w:r>
      <w:r w:rsidR="006364AC" w:rsidRPr="006364AC">
        <w:t>ystem expansion incorporates avoided virgin product credit</w:t>
      </w:r>
      <w:r w:rsidR="00F84100">
        <w:t xml:space="preserve"> </w:t>
      </w:r>
      <w:r w:rsidR="00386218">
        <w:t xml:space="preserve">where </w:t>
      </w:r>
      <w:r w:rsidR="00386218" w:rsidRPr="00386218">
        <w:t>the product</w:t>
      </w:r>
      <w:r w:rsidR="005C6339">
        <w:t xml:space="preserve"> (bottle)</w:t>
      </w:r>
      <w:r w:rsidR="00386218" w:rsidRPr="00386218">
        <w:t xml:space="preserve"> is given "credit"</w:t>
      </w:r>
      <w:r w:rsidR="00386218">
        <w:t xml:space="preserve"> </w:t>
      </w:r>
      <w:r w:rsidR="00386218" w:rsidRPr="00386218">
        <w:t>for the potential recycled material included</w:t>
      </w:r>
      <w:r w:rsidR="005C6339">
        <w:t>, which displaces the need for virgin PET production</w:t>
      </w:r>
      <w:r w:rsidR="006364AC" w:rsidRPr="006364AC">
        <w:t xml:space="preserve">. Water </w:t>
      </w:r>
      <w:r w:rsidR="006364AC">
        <w:t xml:space="preserve">consumption </w:t>
      </w:r>
      <w:r w:rsidR="006364AC" w:rsidRPr="006364AC">
        <w:t xml:space="preserve">is higher </w:t>
      </w:r>
      <w:r w:rsidR="006364AC">
        <w:t xml:space="preserve">because </w:t>
      </w:r>
      <w:r w:rsidR="006364AC" w:rsidRPr="006364AC">
        <w:t xml:space="preserve">system expansion also incorporates recycling burdens at </w:t>
      </w:r>
      <w:r w:rsidR="006364AC">
        <w:t xml:space="preserve">end of life. The </w:t>
      </w:r>
      <w:r w:rsidR="006364AC" w:rsidRPr="006364AC">
        <w:t xml:space="preserve">washing </w:t>
      </w:r>
      <w:r w:rsidR="006364AC">
        <w:t xml:space="preserve">of </w:t>
      </w:r>
      <w:r w:rsidR="006364AC" w:rsidRPr="006364AC">
        <w:t xml:space="preserve">the flake during </w:t>
      </w:r>
      <w:r w:rsidR="00A636E7">
        <w:t xml:space="preserve">the </w:t>
      </w:r>
      <w:r w:rsidR="006364AC" w:rsidRPr="006364AC">
        <w:t>recycling processes</w:t>
      </w:r>
      <w:r w:rsidR="00A636E7">
        <w:t>,</w:t>
      </w:r>
      <w:r w:rsidR="006364AC">
        <w:t xml:space="preserve"> </w:t>
      </w:r>
      <w:r w:rsidR="00A636E7">
        <w:t>in order to manufacture</w:t>
      </w:r>
      <w:r w:rsidR="006364AC" w:rsidRPr="006364AC">
        <w:t xml:space="preserve"> a product that is able to displace virgin material</w:t>
      </w:r>
      <w:r w:rsidR="00A636E7">
        <w:t>,</w:t>
      </w:r>
      <w:r w:rsidR="006364AC">
        <w:t xml:space="preserve"> is a water intensive process.</w:t>
      </w:r>
    </w:p>
    <w:p w14:paraId="6599FDC3" w14:textId="77777777" w:rsidR="00300060" w:rsidRPr="006364AC" w:rsidRDefault="00300060" w:rsidP="002D02DC">
      <w:pPr>
        <w:pStyle w:val="BodyText"/>
        <w:ind w:firstLine="0"/>
      </w:pPr>
    </w:p>
    <w:tbl>
      <w:tblPr>
        <w:tblW w:w="5000" w:type="pct"/>
        <w:jc w:val="center"/>
        <w:tblCellMar>
          <w:left w:w="0" w:type="dxa"/>
          <w:right w:w="0" w:type="dxa"/>
        </w:tblCellMar>
        <w:tblLook w:val="04A0" w:firstRow="1" w:lastRow="0" w:firstColumn="1" w:lastColumn="0" w:noHBand="0" w:noVBand="1"/>
      </w:tblPr>
      <w:tblGrid>
        <w:gridCol w:w="2336"/>
        <w:gridCol w:w="1453"/>
        <w:gridCol w:w="1145"/>
        <w:gridCol w:w="953"/>
        <w:gridCol w:w="824"/>
        <w:gridCol w:w="852"/>
        <w:gridCol w:w="953"/>
        <w:gridCol w:w="824"/>
      </w:tblGrid>
      <w:tr w:rsidR="00B17F75" w:rsidRPr="005917A6" w14:paraId="036C894A" w14:textId="77777777" w:rsidTr="00F222AA">
        <w:trPr>
          <w:trHeight w:val="539"/>
          <w:tblHeader/>
          <w:jc w:val="center"/>
        </w:trPr>
        <w:tc>
          <w:tcPr>
            <w:tcW w:w="5000" w:type="pct"/>
            <w:gridSpan w:val="8"/>
            <w:tcBorders>
              <w:top w:val="single" w:sz="8" w:space="0" w:color="FFFFFF"/>
              <w:left w:val="single" w:sz="8" w:space="0" w:color="FFFFFF"/>
              <w:right w:val="single" w:sz="8" w:space="0" w:color="FFFFFF"/>
            </w:tcBorders>
            <w:shd w:val="clear" w:color="auto" w:fill="auto"/>
            <w:vAlign w:val="center"/>
          </w:tcPr>
          <w:p w14:paraId="3AC06EEF" w14:textId="451272AA" w:rsidR="00B17F75" w:rsidRPr="005917A6" w:rsidRDefault="00B17F75" w:rsidP="00B17F75">
            <w:pPr>
              <w:pStyle w:val="TableTitle"/>
              <w:rPr>
                <w:rFonts w:ascii="Calibri" w:hAnsi="Calibri" w:cs="Calibri"/>
                <w:bCs/>
                <w:color w:val="000000"/>
                <w:sz w:val="20"/>
              </w:rPr>
            </w:pPr>
            <w:bookmarkStart w:id="332" w:name="_Ref525075662"/>
            <w:bookmarkStart w:id="333" w:name="_Toc533009195"/>
            <w:r>
              <w:lastRenderedPageBreak/>
              <w:t xml:space="preserve">Table </w:t>
            </w:r>
            <w:r>
              <w:rPr>
                <w:noProof/>
              </w:rPr>
              <w:fldChar w:fldCharType="begin"/>
            </w:r>
            <w:r>
              <w:rPr>
                <w:noProof/>
              </w:rPr>
              <w:instrText xml:space="preserve"> SEQ Table \* ARABIC </w:instrText>
            </w:r>
            <w:r>
              <w:rPr>
                <w:noProof/>
              </w:rPr>
              <w:fldChar w:fldCharType="separate"/>
            </w:r>
            <w:r w:rsidR="003267CA">
              <w:rPr>
                <w:noProof/>
              </w:rPr>
              <w:t>15</w:t>
            </w:r>
            <w:r>
              <w:rPr>
                <w:noProof/>
              </w:rPr>
              <w:fldChar w:fldCharType="end"/>
            </w:r>
            <w:bookmarkEnd w:id="332"/>
            <w:r>
              <w:t xml:space="preserve">. Sensitivity to </w:t>
            </w:r>
            <w:r w:rsidR="00320CB9">
              <w:t>R</w:t>
            </w:r>
            <w:r>
              <w:t xml:space="preserve">ecycling </w:t>
            </w:r>
            <w:r w:rsidR="00320CB9">
              <w:t>A</w:t>
            </w:r>
            <w:r>
              <w:t xml:space="preserve">llocation </w:t>
            </w:r>
            <w:r w:rsidR="00320CB9">
              <w:t>M</w:t>
            </w:r>
            <w:r>
              <w:t xml:space="preserve">ethod for the </w:t>
            </w:r>
            <w:r w:rsidR="009B2365">
              <w:t>Single-Serve</w:t>
            </w:r>
            <w:r>
              <w:t xml:space="preserve"> and </w:t>
            </w:r>
            <w:r w:rsidR="00320CB9">
              <w:t>M</w:t>
            </w:r>
            <w:r>
              <w:t xml:space="preserve">ulti-serve </w:t>
            </w:r>
            <w:r w:rsidR="00320CB9">
              <w:t>B</w:t>
            </w:r>
            <w:r>
              <w:t xml:space="preserve">ottled </w:t>
            </w:r>
            <w:r w:rsidR="00320CB9">
              <w:t>W</w:t>
            </w:r>
            <w:r>
              <w:t xml:space="preserve">ater </w:t>
            </w:r>
            <w:r w:rsidR="00320CB9">
              <w:t>S</w:t>
            </w:r>
            <w:r>
              <w:t xml:space="preserve">ystems for </w:t>
            </w:r>
            <w:r w:rsidR="00320CB9">
              <w:t>S</w:t>
            </w:r>
            <w:r>
              <w:t xml:space="preserve">elect </w:t>
            </w:r>
            <w:r w:rsidR="00320CB9">
              <w:t>I</w:t>
            </w:r>
            <w:r>
              <w:t xml:space="preserve">mpact </w:t>
            </w:r>
            <w:r w:rsidR="00320CB9">
              <w:t>C</w:t>
            </w:r>
            <w:r>
              <w:t>ategories</w:t>
            </w:r>
            <w:r w:rsidR="003267CA">
              <w:t xml:space="preserve"> when Shifting to System Expansion</w:t>
            </w:r>
            <w:r w:rsidR="005C6339">
              <w:t xml:space="preserve"> (per Liter Water Delivered)</w:t>
            </w:r>
            <w:bookmarkEnd w:id="333"/>
          </w:p>
        </w:tc>
      </w:tr>
      <w:tr w:rsidR="002A5634" w:rsidRPr="005917A6" w14:paraId="762F1CAF" w14:textId="2FCF599B" w:rsidTr="00B17F75">
        <w:trPr>
          <w:trHeight w:val="539"/>
          <w:tblHeader/>
          <w:jc w:val="center"/>
        </w:trPr>
        <w:tc>
          <w:tcPr>
            <w:tcW w:w="1251" w:type="pct"/>
            <w:vMerge w:val="restart"/>
            <w:tcBorders>
              <w:top w:val="single" w:sz="8" w:space="0" w:color="FFFFFF"/>
              <w:left w:val="single" w:sz="8" w:space="0" w:color="FFFFFF"/>
              <w:right w:val="single" w:sz="8" w:space="0" w:color="FFFFFF"/>
            </w:tcBorders>
            <w:shd w:val="clear" w:color="auto" w:fill="BBE0E3"/>
            <w:vAlign w:val="center"/>
          </w:tcPr>
          <w:p w14:paraId="1CB609A9" w14:textId="77777777" w:rsidR="002A5634" w:rsidRPr="005917A6" w:rsidRDefault="002A5634" w:rsidP="002A5634">
            <w:pPr>
              <w:jc w:val="center"/>
              <w:rPr>
                <w:rFonts w:ascii="Calibri" w:hAnsi="Calibri" w:cs="Calibri"/>
                <w:b/>
                <w:bCs/>
                <w:color w:val="000000"/>
                <w:sz w:val="20"/>
              </w:rPr>
            </w:pPr>
            <w:r w:rsidRPr="005917A6">
              <w:rPr>
                <w:rFonts w:ascii="Calibri" w:hAnsi="Calibri" w:cs="Calibri"/>
                <w:b/>
                <w:bCs/>
                <w:color w:val="000000"/>
                <w:sz w:val="20"/>
              </w:rPr>
              <w:t>Impact category</w:t>
            </w:r>
          </w:p>
        </w:tc>
        <w:tc>
          <w:tcPr>
            <w:tcW w:w="778" w:type="pct"/>
            <w:vMerge w:val="restart"/>
            <w:tcBorders>
              <w:top w:val="single" w:sz="8" w:space="0" w:color="FFFFFF"/>
              <w:left w:val="single" w:sz="8" w:space="0" w:color="FFFFFF"/>
              <w:right w:val="single" w:sz="8" w:space="0" w:color="FFFFFF"/>
            </w:tcBorders>
            <w:shd w:val="clear" w:color="auto" w:fill="BBE0E3"/>
            <w:tcMar>
              <w:top w:w="15" w:type="dxa"/>
              <w:left w:w="108" w:type="dxa"/>
              <w:bottom w:w="0" w:type="dxa"/>
              <w:right w:w="108" w:type="dxa"/>
            </w:tcMar>
            <w:vAlign w:val="center"/>
          </w:tcPr>
          <w:p w14:paraId="0E9D57B6" w14:textId="75ECB5C6" w:rsidR="002A5634" w:rsidRPr="005917A6" w:rsidRDefault="002A5634" w:rsidP="002A5634">
            <w:pPr>
              <w:jc w:val="center"/>
              <w:rPr>
                <w:rFonts w:ascii="Calibri" w:hAnsi="Calibri" w:cs="Calibri"/>
                <w:b/>
                <w:bCs/>
                <w:color w:val="000000"/>
                <w:sz w:val="20"/>
              </w:rPr>
            </w:pPr>
            <w:r w:rsidRPr="005917A6">
              <w:rPr>
                <w:rFonts w:ascii="Calibri" w:hAnsi="Calibri" w:cs="Calibri"/>
                <w:b/>
                <w:bCs/>
                <w:color w:val="000000"/>
                <w:sz w:val="20"/>
              </w:rPr>
              <w:t>Units</w:t>
            </w:r>
          </w:p>
        </w:tc>
        <w:tc>
          <w:tcPr>
            <w:tcW w:w="613"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453AA740" w14:textId="5A4F4008" w:rsidR="002A5634" w:rsidRPr="005917A6" w:rsidRDefault="002A5634" w:rsidP="005C6339">
            <w:pPr>
              <w:jc w:val="center"/>
              <w:rPr>
                <w:rFonts w:asciiTheme="majorHAnsi" w:hAnsiTheme="majorHAnsi" w:cstheme="majorHAnsi"/>
                <w:b/>
                <w:color w:val="FFFFFF" w:themeColor="background1"/>
                <w:sz w:val="20"/>
              </w:rPr>
            </w:pPr>
            <w:r w:rsidRPr="005917A6">
              <w:rPr>
                <w:rFonts w:ascii="Calibri" w:hAnsi="Calibri" w:cs="Calibri"/>
                <w:b/>
                <w:bCs/>
                <w:color w:val="000000"/>
                <w:sz w:val="20"/>
              </w:rPr>
              <w:t>Cut-off</w:t>
            </w:r>
          </w:p>
        </w:tc>
        <w:tc>
          <w:tcPr>
            <w:tcW w:w="510"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061DD167" w14:textId="2D58555D" w:rsidR="002A5634" w:rsidRPr="005917A6" w:rsidRDefault="002A5634" w:rsidP="005C6339">
            <w:pPr>
              <w:jc w:val="center"/>
              <w:rPr>
                <w:rFonts w:ascii="Calibri" w:hAnsi="Calibri" w:cs="Calibri"/>
                <w:b/>
                <w:bCs/>
                <w:color w:val="000000"/>
                <w:sz w:val="20"/>
              </w:rPr>
            </w:pPr>
            <w:r w:rsidRPr="005917A6">
              <w:rPr>
                <w:rFonts w:ascii="Calibri" w:hAnsi="Calibri" w:cs="Calibri"/>
                <w:b/>
                <w:bCs/>
                <w:color w:val="000000"/>
                <w:sz w:val="20"/>
              </w:rPr>
              <w:t>System Expansion</w:t>
            </w:r>
          </w:p>
        </w:tc>
        <w:tc>
          <w:tcPr>
            <w:tcW w:w="441"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34E2341C" w14:textId="26354BAA" w:rsidR="002A5634" w:rsidRPr="005917A6" w:rsidRDefault="002A5634" w:rsidP="005C6339">
            <w:pPr>
              <w:jc w:val="center"/>
              <w:rPr>
                <w:rFonts w:ascii="Calibri" w:hAnsi="Calibri" w:cs="Calibri"/>
                <w:b/>
                <w:bCs/>
                <w:color w:val="000000"/>
                <w:sz w:val="20"/>
              </w:rPr>
            </w:pPr>
          </w:p>
        </w:tc>
        <w:tc>
          <w:tcPr>
            <w:tcW w:w="456"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5EAA98EB" w14:textId="27F46344" w:rsidR="002A5634" w:rsidRPr="005917A6" w:rsidRDefault="002A5634" w:rsidP="005C6339">
            <w:pPr>
              <w:jc w:val="center"/>
              <w:rPr>
                <w:rFonts w:ascii="Calibri" w:hAnsi="Calibri" w:cs="Calibri"/>
                <w:b/>
                <w:bCs/>
                <w:color w:val="000000"/>
                <w:sz w:val="20"/>
              </w:rPr>
            </w:pPr>
            <w:r w:rsidRPr="005917A6">
              <w:rPr>
                <w:rFonts w:ascii="Calibri" w:hAnsi="Calibri" w:cs="Calibri"/>
                <w:b/>
                <w:bCs/>
                <w:color w:val="000000"/>
                <w:sz w:val="20"/>
              </w:rPr>
              <w:t>Cut-off</w:t>
            </w:r>
          </w:p>
        </w:tc>
        <w:tc>
          <w:tcPr>
            <w:tcW w:w="510"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4B572948" w14:textId="6590FAA6" w:rsidR="002A5634" w:rsidRPr="005917A6" w:rsidRDefault="002A5634" w:rsidP="005C6339">
            <w:pPr>
              <w:jc w:val="center"/>
              <w:rPr>
                <w:rFonts w:ascii="Calibri" w:hAnsi="Calibri" w:cs="Calibri"/>
                <w:b/>
                <w:bCs/>
                <w:color w:val="000000"/>
                <w:sz w:val="20"/>
              </w:rPr>
            </w:pPr>
            <w:r w:rsidRPr="005917A6">
              <w:rPr>
                <w:rFonts w:ascii="Calibri" w:hAnsi="Calibri" w:cs="Calibri"/>
                <w:b/>
                <w:bCs/>
                <w:color w:val="000000"/>
                <w:sz w:val="20"/>
              </w:rPr>
              <w:t>System Expansion</w:t>
            </w:r>
          </w:p>
        </w:tc>
        <w:tc>
          <w:tcPr>
            <w:tcW w:w="441" w:type="pct"/>
            <w:tcBorders>
              <w:top w:val="single" w:sz="8" w:space="0" w:color="FFFFFF"/>
              <w:left w:val="single" w:sz="8" w:space="0" w:color="FFFFFF"/>
              <w:bottom w:val="single" w:sz="24" w:space="0" w:color="FFFFFF"/>
              <w:right w:val="single" w:sz="8" w:space="0" w:color="FFFFFF"/>
            </w:tcBorders>
            <w:shd w:val="clear" w:color="auto" w:fill="BBE0E3"/>
            <w:vAlign w:val="bottom"/>
          </w:tcPr>
          <w:p w14:paraId="40AD501F" w14:textId="65A46DF4" w:rsidR="002A5634" w:rsidRPr="005917A6" w:rsidRDefault="002A5634" w:rsidP="005C6339">
            <w:pPr>
              <w:jc w:val="center"/>
              <w:rPr>
                <w:rFonts w:ascii="Calibri" w:hAnsi="Calibri" w:cs="Calibri"/>
                <w:b/>
                <w:bCs/>
                <w:color w:val="000000"/>
                <w:sz w:val="20"/>
              </w:rPr>
            </w:pPr>
          </w:p>
        </w:tc>
      </w:tr>
      <w:tr w:rsidR="002A5634" w:rsidRPr="005917A6" w14:paraId="590B0D35" w14:textId="53E793AC" w:rsidTr="00B17F75">
        <w:trPr>
          <w:trHeight w:val="339"/>
          <w:tblHeader/>
          <w:jc w:val="center"/>
        </w:trPr>
        <w:tc>
          <w:tcPr>
            <w:tcW w:w="1251" w:type="pct"/>
            <w:vMerge/>
            <w:tcBorders>
              <w:left w:val="single" w:sz="8" w:space="0" w:color="FFFFFF"/>
              <w:bottom w:val="single" w:sz="8" w:space="0" w:color="FFFFFF"/>
              <w:right w:val="single" w:sz="8" w:space="0" w:color="FFFFFF"/>
            </w:tcBorders>
            <w:shd w:val="clear" w:color="auto" w:fill="BBE0E3"/>
            <w:vAlign w:val="center"/>
          </w:tcPr>
          <w:p w14:paraId="086C6EFF" w14:textId="77777777" w:rsidR="002A5634" w:rsidRPr="005917A6" w:rsidRDefault="002A5634" w:rsidP="002A5634">
            <w:pPr>
              <w:rPr>
                <w:rFonts w:asciiTheme="majorHAnsi" w:hAnsiTheme="majorHAnsi" w:cstheme="majorHAnsi"/>
                <w:b/>
                <w:sz w:val="20"/>
              </w:rPr>
            </w:pPr>
          </w:p>
        </w:tc>
        <w:tc>
          <w:tcPr>
            <w:tcW w:w="778" w:type="pct"/>
            <w:vMerge/>
            <w:tcBorders>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bottom"/>
          </w:tcPr>
          <w:p w14:paraId="42EAE535" w14:textId="755EA406" w:rsidR="002A5634" w:rsidRPr="005917A6" w:rsidRDefault="002A5634" w:rsidP="002A5634">
            <w:pPr>
              <w:rPr>
                <w:rFonts w:asciiTheme="majorHAnsi" w:hAnsiTheme="majorHAnsi" w:cstheme="majorHAnsi"/>
                <w:sz w:val="20"/>
              </w:rPr>
            </w:pPr>
          </w:p>
        </w:tc>
        <w:tc>
          <w:tcPr>
            <w:tcW w:w="613" w:type="pct"/>
            <w:tcBorders>
              <w:top w:val="single" w:sz="24" w:space="0" w:color="FFFFFF"/>
              <w:left w:val="single" w:sz="8" w:space="0" w:color="FFFFFF"/>
              <w:bottom w:val="single" w:sz="8" w:space="0" w:color="FFFFFF"/>
              <w:right w:val="single" w:sz="8" w:space="0" w:color="FFFFFF"/>
            </w:tcBorders>
            <w:shd w:val="clear" w:color="auto" w:fill="E7F3F4"/>
            <w:vAlign w:val="bottom"/>
          </w:tcPr>
          <w:p w14:paraId="4868016A" w14:textId="5E3B8FB3" w:rsidR="002A5634" w:rsidRPr="00B17F75" w:rsidRDefault="002A5634" w:rsidP="00B17F75">
            <w:pPr>
              <w:jc w:val="center"/>
              <w:rPr>
                <w:rFonts w:asciiTheme="majorHAnsi" w:hAnsiTheme="majorHAnsi" w:cstheme="majorHAnsi"/>
                <w:b/>
                <w:sz w:val="20"/>
              </w:rPr>
            </w:pPr>
            <w:r w:rsidRPr="00B17F75">
              <w:rPr>
                <w:rFonts w:ascii="Calibri" w:hAnsi="Calibri" w:cs="Calibri"/>
                <w:b/>
                <w:i/>
                <w:iCs/>
                <w:color w:val="000000"/>
                <w:sz w:val="20"/>
              </w:rPr>
              <w:t>Single-serve bottle</w:t>
            </w:r>
          </w:p>
        </w:tc>
        <w:tc>
          <w:tcPr>
            <w:tcW w:w="510" w:type="pct"/>
            <w:tcBorders>
              <w:top w:val="single" w:sz="24" w:space="0" w:color="FFFFFF"/>
              <w:left w:val="single" w:sz="8" w:space="0" w:color="FFFFFF"/>
              <w:bottom w:val="single" w:sz="8" w:space="0" w:color="FFFFFF"/>
              <w:right w:val="single" w:sz="8" w:space="0" w:color="FFFFFF"/>
            </w:tcBorders>
            <w:shd w:val="clear" w:color="auto" w:fill="E7F3F4"/>
            <w:vAlign w:val="bottom"/>
          </w:tcPr>
          <w:p w14:paraId="61A8102C" w14:textId="2E04A4D0" w:rsidR="002A5634" w:rsidRPr="00B17F75" w:rsidRDefault="002A5634" w:rsidP="00B17F75">
            <w:pPr>
              <w:jc w:val="center"/>
              <w:rPr>
                <w:rFonts w:ascii="Calibri" w:hAnsi="Calibri" w:cs="Calibri"/>
                <w:b/>
                <w:bCs/>
                <w:color w:val="000000"/>
                <w:sz w:val="20"/>
              </w:rPr>
            </w:pPr>
            <w:r w:rsidRPr="00B17F75">
              <w:rPr>
                <w:rFonts w:ascii="Calibri" w:hAnsi="Calibri" w:cs="Calibri"/>
                <w:b/>
                <w:i/>
                <w:iCs/>
                <w:color w:val="000000"/>
                <w:sz w:val="20"/>
              </w:rPr>
              <w:t>Single-serve bottle</w:t>
            </w:r>
          </w:p>
        </w:tc>
        <w:tc>
          <w:tcPr>
            <w:tcW w:w="441" w:type="pct"/>
            <w:tcBorders>
              <w:top w:val="single" w:sz="24" w:space="0" w:color="FFFFFF"/>
              <w:left w:val="single" w:sz="8" w:space="0" w:color="FFFFFF"/>
              <w:bottom w:val="single" w:sz="8" w:space="0" w:color="FFFFFF"/>
              <w:right w:val="single" w:sz="8" w:space="0" w:color="FFFFFF"/>
            </w:tcBorders>
            <w:shd w:val="clear" w:color="auto" w:fill="E7F3F4"/>
            <w:vAlign w:val="bottom"/>
          </w:tcPr>
          <w:p w14:paraId="30B7B817" w14:textId="77777777" w:rsidR="002A5634" w:rsidRDefault="002A5634" w:rsidP="00B17F75">
            <w:pPr>
              <w:jc w:val="center"/>
              <w:rPr>
                <w:rFonts w:ascii="Calibri" w:hAnsi="Calibri" w:cs="Calibri"/>
                <w:b/>
                <w:i/>
                <w:iCs/>
                <w:color w:val="000000"/>
                <w:sz w:val="20"/>
              </w:rPr>
            </w:pPr>
            <w:r w:rsidRPr="00B17F75">
              <w:rPr>
                <w:rFonts w:ascii="Calibri" w:hAnsi="Calibri" w:cs="Calibri"/>
                <w:b/>
                <w:i/>
                <w:iCs/>
                <w:color w:val="000000"/>
                <w:sz w:val="20"/>
              </w:rPr>
              <w:t>% change</w:t>
            </w:r>
          </w:p>
          <w:p w14:paraId="4681BD3E" w14:textId="03495E6A" w:rsidR="003267CA" w:rsidRPr="00B17F75" w:rsidRDefault="003267CA" w:rsidP="00B17F75">
            <w:pPr>
              <w:jc w:val="center"/>
              <w:rPr>
                <w:rFonts w:ascii="Calibri" w:hAnsi="Calibri" w:cs="Calibri"/>
                <w:b/>
                <w:bCs/>
                <w:color w:val="000000"/>
                <w:sz w:val="20"/>
              </w:rPr>
            </w:pPr>
          </w:p>
        </w:tc>
        <w:tc>
          <w:tcPr>
            <w:tcW w:w="456" w:type="pct"/>
            <w:tcBorders>
              <w:top w:val="single" w:sz="24" w:space="0" w:color="FFFFFF"/>
              <w:left w:val="single" w:sz="8" w:space="0" w:color="FFFFFF"/>
              <w:bottom w:val="single" w:sz="8" w:space="0" w:color="FFFFFF"/>
              <w:right w:val="single" w:sz="8" w:space="0" w:color="FFFFFF"/>
            </w:tcBorders>
            <w:shd w:val="clear" w:color="auto" w:fill="E7F3F4"/>
            <w:vAlign w:val="bottom"/>
          </w:tcPr>
          <w:p w14:paraId="4F5F4A14" w14:textId="6C4644F6" w:rsidR="002A5634" w:rsidRPr="00B17F75" w:rsidRDefault="002A5634" w:rsidP="00B17F75">
            <w:pPr>
              <w:jc w:val="center"/>
              <w:rPr>
                <w:rFonts w:ascii="Calibri" w:hAnsi="Calibri" w:cs="Calibri"/>
                <w:b/>
                <w:bCs/>
                <w:color w:val="000000"/>
                <w:sz w:val="20"/>
              </w:rPr>
            </w:pPr>
            <w:r w:rsidRPr="00B17F75">
              <w:rPr>
                <w:rFonts w:ascii="Calibri" w:hAnsi="Calibri" w:cs="Calibri"/>
                <w:b/>
                <w:i/>
                <w:iCs/>
                <w:color w:val="000000"/>
                <w:sz w:val="20"/>
              </w:rPr>
              <w:t>Reusable Jug</w:t>
            </w:r>
          </w:p>
        </w:tc>
        <w:tc>
          <w:tcPr>
            <w:tcW w:w="510" w:type="pct"/>
            <w:tcBorders>
              <w:top w:val="single" w:sz="24" w:space="0" w:color="FFFFFF"/>
              <w:left w:val="single" w:sz="8" w:space="0" w:color="FFFFFF"/>
              <w:bottom w:val="single" w:sz="8" w:space="0" w:color="FFFFFF"/>
              <w:right w:val="single" w:sz="8" w:space="0" w:color="FFFFFF"/>
            </w:tcBorders>
            <w:shd w:val="clear" w:color="auto" w:fill="E7F3F4"/>
            <w:vAlign w:val="bottom"/>
          </w:tcPr>
          <w:p w14:paraId="0B761E69" w14:textId="5ED07852" w:rsidR="002A5634" w:rsidRPr="00B17F75" w:rsidRDefault="002A5634" w:rsidP="00B17F75">
            <w:pPr>
              <w:jc w:val="center"/>
              <w:rPr>
                <w:rFonts w:ascii="Calibri" w:hAnsi="Calibri" w:cs="Calibri"/>
                <w:b/>
                <w:bCs/>
                <w:color w:val="000000"/>
                <w:sz w:val="20"/>
              </w:rPr>
            </w:pPr>
            <w:r w:rsidRPr="00B17F75">
              <w:rPr>
                <w:rFonts w:ascii="Calibri" w:hAnsi="Calibri" w:cs="Calibri"/>
                <w:b/>
                <w:i/>
                <w:iCs/>
                <w:color w:val="000000"/>
                <w:sz w:val="20"/>
              </w:rPr>
              <w:t>Reusable Jug</w:t>
            </w:r>
          </w:p>
        </w:tc>
        <w:tc>
          <w:tcPr>
            <w:tcW w:w="441" w:type="pct"/>
            <w:tcBorders>
              <w:top w:val="single" w:sz="24" w:space="0" w:color="FFFFFF"/>
              <w:left w:val="single" w:sz="8" w:space="0" w:color="FFFFFF"/>
              <w:bottom w:val="single" w:sz="8" w:space="0" w:color="FFFFFF"/>
              <w:right w:val="single" w:sz="8" w:space="0" w:color="FFFFFF"/>
            </w:tcBorders>
            <w:shd w:val="clear" w:color="auto" w:fill="E7F3F4"/>
            <w:vAlign w:val="bottom"/>
          </w:tcPr>
          <w:p w14:paraId="3E1547AA" w14:textId="77777777" w:rsidR="002A5634" w:rsidRDefault="002A5634" w:rsidP="00B17F75">
            <w:pPr>
              <w:jc w:val="center"/>
              <w:rPr>
                <w:rFonts w:ascii="Calibri" w:hAnsi="Calibri" w:cs="Calibri"/>
                <w:b/>
                <w:i/>
                <w:iCs/>
                <w:color w:val="000000"/>
                <w:sz w:val="20"/>
              </w:rPr>
            </w:pPr>
            <w:r w:rsidRPr="00B17F75">
              <w:rPr>
                <w:rFonts w:ascii="Calibri" w:hAnsi="Calibri" w:cs="Calibri"/>
                <w:b/>
                <w:i/>
                <w:iCs/>
                <w:color w:val="000000"/>
                <w:sz w:val="20"/>
              </w:rPr>
              <w:t>% change</w:t>
            </w:r>
            <w:r w:rsidR="002D02DC">
              <w:rPr>
                <w:rFonts w:ascii="Calibri" w:hAnsi="Calibri" w:cs="Calibri"/>
                <w:b/>
                <w:i/>
                <w:iCs/>
                <w:color w:val="000000"/>
                <w:sz w:val="20"/>
              </w:rPr>
              <w:t xml:space="preserve"> </w:t>
            </w:r>
          </w:p>
          <w:p w14:paraId="7619023A" w14:textId="00C26E7C" w:rsidR="003267CA" w:rsidRPr="00B17F75" w:rsidRDefault="003267CA" w:rsidP="00B17F75">
            <w:pPr>
              <w:jc w:val="center"/>
              <w:rPr>
                <w:rFonts w:ascii="Calibri" w:hAnsi="Calibri" w:cs="Calibri"/>
                <w:b/>
                <w:bCs/>
                <w:color w:val="000000"/>
                <w:sz w:val="20"/>
              </w:rPr>
            </w:pPr>
          </w:p>
        </w:tc>
      </w:tr>
      <w:tr w:rsidR="00BE5A17" w:rsidRPr="005917A6" w14:paraId="77934204" w14:textId="3877559F" w:rsidTr="00926802">
        <w:trPr>
          <w:trHeight w:val="395"/>
          <w:jc w:val="center"/>
        </w:trPr>
        <w:tc>
          <w:tcPr>
            <w:tcW w:w="1251" w:type="pct"/>
            <w:tcBorders>
              <w:top w:val="single" w:sz="8" w:space="0" w:color="FFFFFF"/>
              <w:left w:val="single" w:sz="8" w:space="0" w:color="FFFFFF"/>
              <w:bottom w:val="single" w:sz="8" w:space="0" w:color="FFFFFF"/>
              <w:right w:val="single" w:sz="8" w:space="0" w:color="FFFFFF"/>
            </w:tcBorders>
            <w:shd w:val="clear" w:color="auto" w:fill="BBE0E3"/>
            <w:vAlign w:val="bottom"/>
          </w:tcPr>
          <w:p w14:paraId="7607718E" w14:textId="48ECDE0D" w:rsidR="00BE5A17" w:rsidRPr="005917A6" w:rsidRDefault="00BE5A17" w:rsidP="00BE5A17">
            <w:pPr>
              <w:rPr>
                <w:rFonts w:asciiTheme="majorHAnsi" w:hAnsiTheme="majorHAnsi" w:cstheme="majorHAnsi"/>
                <w:b/>
                <w:sz w:val="20"/>
              </w:rPr>
            </w:pPr>
            <w:r w:rsidRPr="005917A6">
              <w:rPr>
                <w:rFonts w:ascii="Calibri" w:hAnsi="Calibri" w:cs="Calibri"/>
                <w:b/>
                <w:bCs/>
                <w:color w:val="000000"/>
                <w:sz w:val="20"/>
              </w:rPr>
              <w:t>Cumulative Energy Demand</w:t>
            </w:r>
          </w:p>
        </w:tc>
        <w:tc>
          <w:tcPr>
            <w:tcW w:w="778"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bottom"/>
          </w:tcPr>
          <w:p w14:paraId="169C38EB" w14:textId="66574839" w:rsidR="00BE5A17" w:rsidRPr="005917A6" w:rsidRDefault="00BE5A17" w:rsidP="00BE5A17">
            <w:pPr>
              <w:rPr>
                <w:rFonts w:asciiTheme="majorHAnsi" w:hAnsiTheme="majorHAnsi" w:cstheme="majorHAnsi"/>
                <w:sz w:val="20"/>
              </w:rPr>
            </w:pPr>
            <w:r w:rsidRPr="005917A6">
              <w:rPr>
                <w:rFonts w:ascii="Calibri" w:hAnsi="Calibri" w:cs="Calibri"/>
                <w:b/>
                <w:bCs/>
                <w:color w:val="000000"/>
                <w:sz w:val="20"/>
              </w:rPr>
              <w:t>MJ</w:t>
            </w:r>
          </w:p>
        </w:tc>
        <w:tc>
          <w:tcPr>
            <w:tcW w:w="61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2404B3E" w14:textId="2A37D5B6"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2.54E+00</w:t>
            </w:r>
          </w:p>
        </w:tc>
        <w:tc>
          <w:tcPr>
            <w:tcW w:w="5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5FB57E4" w14:textId="3B0E7E69"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2.19E+00</w:t>
            </w:r>
          </w:p>
        </w:tc>
        <w:tc>
          <w:tcPr>
            <w:tcW w:w="441"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1526DF0" w14:textId="04FDE047"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-1</w:t>
            </w:r>
            <w:r w:rsidR="003267CA">
              <w:rPr>
                <w:rFonts w:ascii="Calibri" w:hAnsi="Calibri" w:cs="Calibri"/>
                <w:color w:val="000000"/>
                <w:sz w:val="18"/>
                <w:szCs w:val="18"/>
              </w:rPr>
              <w:t>3.58%</w:t>
            </w:r>
          </w:p>
        </w:tc>
        <w:tc>
          <w:tcPr>
            <w:tcW w:w="45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03591CD" w14:textId="43DD9DF4"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9.32E-01</w:t>
            </w:r>
          </w:p>
        </w:tc>
        <w:tc>
          <w:tcPr>
            <w:tcW w:w="5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B489047" w14:textId="2801817E"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6.90E-01</w:t>
            </w:r>
          </w:p>
        </w:tc>
        <w:tc>
          <w:tcPr>
            <w:tcW w:w="441"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51C73A0" w14:textId="334F77EA" w:rsidR="00BE5A17" w:rsidRPr="00BE5A17" w:rsidRDefault="003267CA" w:rsidP="00BE5A17">
            <w:pPr>
              <w:jc w:val="center"/>
              <w:rPr>
                <w:rFonts w:ascii="Calibri" w:hAnsi="Calibri" w:cs="Calibri"/>
                <w:color w:val="000000"/>
                <w:sz w:val="18"/>
                <w:szCs w:val="18"/>
              </w:rPr>
            </w:pPr>
            <w:r>
              <w:rPr>
                <w:rFonts w:ascii="Calibri" w:hAnsi="Calibri" w:cs="Calibri"/>
                <w:color w:val="000000"/>
                <w:sz w:val="18"/>
                <w:szCs w:val="18"/>
              </w:rPr>
              <w:t>-25.93%</w:t>
            </w:r>
          </w:p>
        </w:tc>
      </w:tr>
      <w:tr w:rsidR="00BE5A17" w:rsidRPr="005917A6" w14:paraId="179D75DB" w14:textId="3F8CAA2D" w:rsidTr="00926802">
        <w:trPr>
          <w:trHeight w:val="395"/>
          <w:jc w:val="center"/>
        </w:trPr>
        <w:tc>
          <w:tcPr>
            <w:tcW w:w="1251" w:type="pct"/>
            <w:tcBorders>
              <w:top w:val="single" w:sz="8" w:space="0" w:color="FFFFFF"/>
              <w:left w:val="single" w:sz="8" w:space="0" w:color="FFFFFF"/>
              <w:bottom w:val="single" w:sz="8" w:space="0" w:color="FFFFFF"/>
              <w:right w:val="single" w:sz="8" w:space="0" w:color="FFFFFF"/>
            </w:tcBorders>
            <w:shd w:val="clear" w:color="auto" w:fill="BBE0E3"/>
            <w:vAlign w:val="bottom"/>
          </w:tcPr>
          <w:p w14:paraId="67589202" w14:textId="248DC495" w:rsidR="00BE5A17" w:rsidRPr="005917A6" w:rsidRDefault="00BE5A17" w:rsidP="00BE5A17">
            <w:pPr>
              <w:rPr>
                <w:rFonts w:asciiTheme="majorHAnsi" w:hAnsiTheme="majorHAnsi" w:cstheme="majorHAnsi"/>
                <w:b/>
                <w:bCs/>
                <w:sz w:val="20"/>
              </w:rPr>
            </w:pPr>
            <w:r w:rsidRPr="005917A6">
              <w:rPr>
                <w:rFonts w:ascii="Calibri" w:hAnsi="Calibri" w:cs="Calibri"/>
                <w:b/>
                <w:bCs/>
                <w:color w:val="000000"/>
                <w:sz w:val="20"/>
              </w:rPr>
              <w:t>Global Warming Potential</w:t>
            </w:r>
          </w:p>
        </w:tc>
        <w:tc>
          <w:tcPr>
            <w:tcW w:w="778"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bottom"/>
          </w:tcPr>
          <w:p w14:paraId="4BE63F8D" w14:textId="43A272B4" w:rsidR="00BE5A17" w:rsidRPr="005917A6" w:rsidRDefault="00BE5A17" w:rsidP="00BE5A17">
            <w:pPr>
              <w:rPr>
                <w:rFonts w:asciiTheme="majorHAnsi" w:hAnsiTheme="majorHAnsi" w:cstheme="majorHAnsi"/>
                <w:sz w:val="20"/>
              </w:rPr>
            </w:pPr>
            <w:r w:rsidRPr="005917A6">
              <w:rPr>
                <w:rFonts w:ascii="Calibri" w:hAnsi="Calibri" w:cs="Calibri"/>
                <w:b/>
                <w:bCs/>
                <w:color w:val="000000"/>
                <w:sz w:val="20"/>
              </w:rPr>
              <w:t>kg CO</w:t>
            </w:r>
            <w:r w:rsidRPr="005C6339">
              <w:rPr>
                <w:rFonts w:ascii="Calibri" w:hAnsi="Calibri" w:cs="Calibri"/>
                <w:b/>
                <w:bCs/>
                <w:color w:val="000000"/>
                <w:sz w:val="20"/>
                <w:vertAlign w:val="subscript"/>
              </w:rPr>
              <w:t>2</w:t>
            </w:r>
            <w:r w:rsidRPr="005917A6">
              <w:rPr>
                <w:rFonts w:ascii="Calibri" w:hAnsi="Calibri" w:cs="Calibri"/>
                <w:b/>
                <w:bCs/>
                <w:color w:val="000000"/>
                <w:sz w:val="20"/>
              </w:rPr>
              <w:t xml:space="preserve"> eq</w:t>
            </w:r>
          </w:p>
        </w:tc>
        <w:tc>
          <w:tcPr>
            <w:tcW w:w="61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B20E27B" w14:textId="6E6E6100"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1.18E-01</w:t>
            </w:r>
          </w:p>
        </w:tc>
        <w:tc>
          <w:tcPr>
            <w:tcW w:w="5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24DDECE" w14:textId="1B8C2AEC"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1.09E-01</w:t>
            </w:r>
          </w:p>
        </w:tc>
        <w:tc>
          <w:tcPr>
            <w:tcW w:w="441"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0CFADEC" w14:textId="5CB9BCF4"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-7.55</w:t>
            </w:r>
            <w:r w:rsidR="003267CA">
              <w:rPr>
                <w:rFonts w:ascii="Calibri" w:hAnsi="Calibri" w:cs="Calibri"/>
                <w:color w:val="000000"/>
                <w:sz w:val="18"/>
                <w:szCs w:val="18"/>
              </w:rPr>
              <w:t>%</w:t>
            </w:r>
          </w:p>
        </w:tc>
        <w:tc>
          <w:tcPr>
            <w:tcW w:w="45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5E5BB0C" w14:textId="12D1F141"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6.06E-02</w:t>
            </w:r>
          </w:p>
        </w:tc>
        <w:tc>
          <w:tcPr>
            <w:tcW w:w="5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CBB5A93" w14:textId="1B21062F"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4.68E-02</w:t>
            </w:r>
          </w:p>
        </w:tc>
        <w:tc>
          <w:tcPr>
            <w:tcW w:w="441"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12694D27" w14:textId="759CAC8E" w:rsidR="00BE5A17" w:rsidRPr="00BE5A17" w:rsidRDefault="003267CA" w:rsidP="00BE5A17">
            <w:pPr>
              <w:jc w:val="center"/>
              <w:rPr>
                <w:rFonts w:ascii="Calibri" w:hAnsi="Calibri" w:cs="Calibri"/>
                <w:color w:val="000000"/>
                <w:sz w:val="18"/>
                <w:szCs w:val="18"/>
              </w:rPr>
            </w:pPr>
            <w:r>
              <w:rPr>
                <w:rFonts w:ascii="Calibri" w:hAnsi="Calibri" w:cs="Calibri"/>
                <w:color w:val="000000"/>
                <w:sz w:val="18"/>
                <w:szCs w:val="18"/>
              </w:rPr>
              <w:t>-22.72%</w:t>
            </w:r>
          </w:p>
        </w:tc>
      </w:tr>
      <w:tr w:rsidR="00BE5A17" w:rsidRPr="005917A6" w14:paraId="61DEB3A8" w14:textId="6CC18B9C" w:rsidTr="00926802">
        <w:trPr>
          <w:trHeight w:val="395"/>
          <w:jc w:val="center"/>
        </w:trPr>
        <w:tc>
          <w:tcPr>
            <w:tcW w:w="1251" w:type="pct"/>
            <w:tcBorders>
              <w:top w:val="single" w:sz="8" w:space="0" w:color="FFFFFF"/>
              <w:left w:val="single" w:sz="8" w:space="0" w:color="FFFFFF"/>
              <w:bottom w:val="single" w:sz="8" w:space="0" w:color="FFFFFF"/>
              <w:right w:val="single" w:sz="8" w:space="0" w:color="FFFFFF"/>
            </w:tcBorders>
            <w:shd w:val="clear" w:color="auto" w:fill="BBE0E3"/>
            <w:vAlign w:val="bottom"/>
          </w:tcPr>
          <w:p w14:paraId="006DE392" w14:textId="4A1741BA" w:rsidR="00BE5A17" w:rsidRPr="005917A6" w:rsidRDefault="00BE5A17" w:rsidP="00BE5A17">
            <w:pPr>
              <w:rPr>
                <w:rFonts w:ascii="Calibri" w:hAnsi="Calibri" w:cs="Calibri"/>
                <w:b/>
                <w:bCs/>
                <w:color w:val="000000"/>
                <w:sz w:val="20"/>
              </w:rPr>
            </w:pPr>
            <w:r w:rsidRPr="005917A6">
              <w:rPr>
                <w:rFonts w:ascii="Calibri" w:hAnsi="Calibri" w:cs="Calibri"/>
                <w:b/>
                <w:bCs/>
                <w:color w:val="000000"/>
                <w:sz w:val="20"/>
              </w:rPr>
              <w:t>Water Consumption</w:t>
            </w:r>
          </w:p>
        </w:tc>
        <w:tc>
          <w:tcPr>
            <w:tcW w:w="778"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bottom"/>
          </w:tcPr>
          <w:p w14:paraId="12C00BBE" w14:textId="79414A58" w:rsidR="00BE5A17" w:rsidRPr="005917A6" w:rsidRDefault="00BE5A17" w:rsidP="00BE5A17">
            <w:pPr>
              <w:rPr>
                <w:rFonts w:ascii="Calibri" w:hAnsi="Calibri" w:cs="Calibri"/>
                <w:b/>
                <w:bCs/>
                <w:color w:val="000000"/>
                <w:sz w:val="20"/>
              </w:rPr>
            </w:pPr>
            <w:r w:rsidRPr="005917A6">
              <w:rPr>
                <w:rFonts w:ascii="Calibri" w:hAnsi="Calibri" w:cs="Calibri"/>
                <w:b/>
                <w:bCs/>
                <w:color w:val="000000"/>
                <w:sz w:val="20"/>
              </w:rPr>
              <w:t>liter H</w:t>
            </w:r>
            <w:r w:rsidRPr="005C6339">
              <w:rPr>
                <w:rFonts w:ascii="Calibri" w:hAnsi="Calibri" w:cs="Calibri"/>
                <w:b/>
                <w:bCs/>
                <w:color w:val="000000"/>
                <w:sz w:val="20"/>
                <w:vertAlign w:val="subscript"/>
              </w:rPr>
              <w:t>2</w:t>
            </w:r>
            <w:r w:rsidRPr="005917A6">
              <w:rPr>
                <w:rFonts w:ascii="Calibri" w:hAnsi="Calibri" w:cs="Calibri"/>
                <w:b/>
                <w:bCs/>
                <w:color w:val="000000"/>
                <w:sz w:val="20"/>
              </w:rPr>
              <w:t>O</w:t>
            </w:r>
          </w:p>
        </w:tc>
        <w:tc>
          <w:tcPr>
            <w:tcW w:w="613"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C8F383C" w14:textId="0A30B421"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1.62E+00</w:t>
            </w:r>
          </w:p>
        </w:tc>
        <w:tc>
          <w:tcPr>
            <w:tcW w:w="5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4D6D54B0" w14:textId="097AFFF4"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1.62E+00</w:t>
            </w:r>
          </w:p>
        </w:tc>
        <w:tc>
          <w:tcPr>
            <w:tcW w:w="441"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656C1F8" w14:textId="60A126C3" w:rsidR="00BE5A17" w:rsidRPr="00BE5A17" w:rsidRDefault="003267CA" w:rsidP="003267CA">
            <w:pPr>
              <w:rPr>
                <w:rFonts w:ascii="Calibri" w:hAnsi="Calibri" w:cs="Calibri"/>
                <w:color w:val="000000"/>
                <w:sz w:val="18"/>
                <w:szCs w:val="18"/>
              </w:rPr>
            </w:pPr>
            <w:r>
              <w:rPr>
                <w:rFonts w:ascii="Calibri" w:hAnsi="Calibri" w:cs="Calibri"/>
                <w:color w:val="000000"/>
                <w:sz w:val="18"/>
                <w:szCs w:val="18"/>
              </w:rPr>
              <w:t xml:space="preserve">     0.10%</w:t>
            </w:r>
          </w:p>
        </w:tc>
        <w:tc>
          <w:tcPr>
            <w:tcW w:w="456"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95C45B8" w14:textId="4B464E31"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2.01E+00</w:t>
            </w:r>
          </w:p>
        </w:tc>
        <w:tc>
          <w:tcPr>
            <w:tcW w:w="510"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63EBA325" w14:textId="6332992C"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1.83E+00</w:t>
            </w:r>
          </w:p>
        </w:tc>
        <w:tc>
          <w:tcPr>
            <w:tcW w:w="441"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815D396" w14:textId="7EADFC68" w:rsidR="00BE5A17" w:rsidRPr="00BE5A17" w:rsidRDefault="00BE5A17" w:rsidP="00BE5A17">
            <w:pPr>
              <w:jc w:val="center"/>
              <w:rPr>
                <w:rFonts w:ascii="Calibri" w:hAnsi="Calibri" w:cs="Calibri"/>
                <w:color w:val="000000"/>
                <w:sz w:val="18"/>
                <w:szCs w:val="18"/>
              </w:rPr>
            </w:pPr>
            <w:r w:rsidRPr="00BE5A17">
              <w:rPr>
                <w:rFonts w:ascii="Calibri" w:hAnsi="Calibri" w:cs="Calibri"/>
                <w:color w:val="000000"/>
                <w:sz w:val="18"/>
                <w:szCs w:val="18"/>
              </w:rPr>
              <w:t>-9.40</w:t>
            </w:r>
            <w:r w:rsidR="003267CA">
              <w:rPr>
                <w:rFonts w:ascii="Calibri" w:hAnsi="Calibri" w:cs="Calibri"/>
                <w:color w:val="000000"/>
                <w:sz w:val="18"/>
                <w:szCs w:val="18"/>
              </w:rPr>
              <w:t>%</w:t>
            </w:r>
          </w:p>
        </w:tc>
      </w:tr>
    </w:tbl>
    <w:p w14:paraId="0F5282AB" w14:textId="1901BB09" w:rsidR="008467FD" w:rsidRDefault="008467FD" w:rsidP="008467FD"/>
    <w:p w14:paraId="727110CC" w14:textId="77777777" w:rsidR="00B17F75" w:rsidRPr="008467FD" w:rsidRDefault="00B17F75" w:rsidP="008467FD"/>
    <w:p w14:paraId="0B109D89" w14:textId="6E3A39F9" w:rsidR="006763BD" w:rsidRDefault="006763BD" w:rsidP="001842BF">
      <w:pPr>
        <w:pStyle w:val="Heading4"/>
      </w:pPr>
      <w:r w:rsidRPr="006763BD">
        <w:t xml:space="preserve">Bottled </w:t>
      </w:r>
      <w:r w:rsidR="00596A45">
        <w:t>W</w:t>
      </w:r>
      <w:r w:rsidRPr="006763BD">
        <w:t xml:space="preserve">ater </w:t>
      </w:r>
      <w:r w:rsidR="00596A45">
        <w:t>S</w:t>
      </w:r>
      <w:r w:rsidRPr="006763BD">
        <w:t>ource</w:t>
      </w:r>
      <w:r w:rsidR="007B141B">
        <w:t xml:space="preserve"> (</w:t>
      </w:r>
      <w:r w:rsidR="00596A45">
        <w:t>S</w:t>
      </w:r>
      <w:r w:rsidR="007B141B">
        <w:t xml:space="preserve">pring </w:t>
      </w:r>
      <w:r w:rsidR="00596A45">
        <w:t>W</w:t>
      </w:r>
      <w:r w:rsidR="007B141B">
        <w:t xml:space="preserve">ater vs. </w:t>
      </w:r>
      <w:r w:rsidR="00596A45">
        <w:t>T</w:t>
      </w:r>
      <w:r w:rsidR="007B141B">
        <w:t xml:space="preserve">reated </w:t>
      </w:r>
      <w:r w:rsidR="00596A45">
        <w:t>M</w:t>
      </w:r>
      <w:r w:rsidR="007B141B">
        <w:t xml:space="preserve">unicipal </w:t>
      </w:r>
      <w:r w:rsidR="00596A45">
        <w:t>W</w:t>
      </w:r>
      <w:r w:rsidR="007B141B">
        <w:t>ater)</w:t>
      </w:r>
    </w:p>
    <w:p w14:paraId="03EEEFC8" w14:textId="0C1C649E" w:rsidR="007B141B" w:rsidRDefault="00A32E06" w:rsidP="00B17F75">
      <w:pPr>
        <w:pStyle w:val="BodyText"/>
      </w:pPr>
      <w:r w:rsidRPr="00A32E06">
        <w:t>The percent change in select impacts</w:t>
      </w:r>
      <w:r>
        <w:t xml:space="preserve"> from using treated municipal water instead of spring water</w:t>
      </w:r>
      <w:r w:rsidRPr="00A32E06">
        <w:t xml:space="preserve"> </w:t>
      </w:r>
      <w:r>
        <w:t xml:space="preserve">is highlighted in </w:t>
      </w:r>
      <w:r w:rsidR="00492A5F">
        <w:fldChar w:fldCharType="begin"/>
      </w:r>
      <w:r w:rsidR="00492A5F">
        <w:instrText xml:space="preserve"> REF _Ref525246807 \h </w:instrText>
      </w:r>
      <w:r w:rsidR="00492A5F">
        <w:fldChar w:fldCharType="separate"/>
      </w:r>
      <w:r w:rsidR="003267CA">
        <w:t xml:space="preserve">Table </w:t>
      </w:r>
      <w:r w:rsidR="003267CA">
        <w:rPr>
          <w:noProof/>
        </w:rPr>
        <w:t>16</w:t>
      </w:r>
      <w:r w:rsidR="00492A5F">
        <w:fldChar w:fldCharType="end"/>
      </w:r>
      <w:r>
        <w:t xml:space="preserve"> for both bottled water systems. The impacts </w:t>
      </w:r>
      <w:r w:rsidR="00F5154F">
        <w:t xml:space="preserve">of using treated municipal water </w:t>
      </w:r>
      <w:r>
        <w:t>are higher for both systems for select impact categories of cumulative energy demand, global warming potential and water consumption.</w:t>
      </w:r>
      <w:r w:rsidR="00F5154F" w:rsidRPr="00F5154F">
        <w:t xml:space="preserve"> </w:t>
      </w:r>
      <w:r w:rsidR="00F5154F">
        <w:t>W</w:t>
      </w:r>
      <w:r w:rsidR="00F5154F" w:rsidRPr="00F5154F">
        <w:t xml:space="preserve">ater consumption is higher </w:t>
      </w:r>
      <w:r w:rsidR="00F5154F">
        <w:t>because</w:t>
      </w:r>
      <w:r w:rsidR="00F5154F" w:rsidRPr="00F5154F">
        <w:t xml:space="preserve"> treated municipal water has significant losses during distribution (in piping system from drinking water treatment plant to filling plant)</w:t>
      </w:r>
      <w:r w:rsidR="00F5154F">
        <w:t xml:space="preserve"> and the treatment process is more energy intensive than the treatments carried out for using spring water.</w:t>
      </w:r>
    </w:p>
    <w:p w14:paraId="2A71DF57" w14:textId="1E833A7E" w:rsidR="001842BF" w:rsidRDefault="001842BF" w:rsidP="00B17F75">
      <w:pPr>
        <w:pStyle w:val="TableTitle"/>
      </w:pPr>
      <w:bookmarkStart w:id="334" w:name="_Ref525246807"/>
      <w:bookmarkStart w:id="335" w:name="_Toc533009196"/>
      <w:r>
        <w:t xml:space="preserve">Table </w:t>
      </w:r>
      <w:r>
        <w:rPr>
          <w:noProof/>
        </w:rPr>
        <w:fldChar w:fldCharType="begin"/>
      </w:r>
      <w:r>
        <w:rPr>
          <w:noProof/>
        </w:rPr>
        <w:instrText xml:space="preserve"> SEQ Table \* ARABIC </w:instrText>
      </w:r>
      <w:r>
        <w:rPr>
          <w:noProof/>
        </w:rPr>
        <w:fldChar w:fldCharType="separate"/>
      </w:r>
      <w:r w:rsidR="003267CA">
        <w:rPr>
          <w:noProof/>
        </w:rPr>
        <w:t>16</w:t>
      </w:r>
      <w:r>
        <w:rPr>
          <w:noProof/>
        </w:rPr>
        <w:fldChar w:fldCharType="end"/>
      </w:r>
      <w:bookmarkEnd w:id="334"/>
      <w:r>
        <w:t>. Sensitivity to the Source of Water for the Single-serve and Multi-serve Bottled Water Systems for Select Impact Categories</w:t>
      </w:r>
      <w:r w:rsidR="006C0AF7">
        <w:t xml:space="preserve"> when Shifting to Municipal Water Treatment</w:t>
      </w:r>
      <w:bookmarkEnd w:id="335"/>
    </w:p>
    <w:tbl>
      <w:tblPr>
        <w:tblW w:w="7460" w:type="dxa"/>
        <w:jc w:val="center"/>
        <w:tblCellMar>
          <w:left w:w="0" w:type="dxa"/>
          <w:right w:w="0" w:type="dxa"/>
        </w:tblCellMar>
        <w:tblLook w:val="04A0" w:firstRow="1" w:lastRow="0" w:firstColumn="1" w:lastColumn="0" w:noHBand="0" w:noVBand="1"/>
      </w:tblPr>
      <w:tblGrid>
        <w:gridCol w:w="3590"/>
        <w:gridCol w:w="2160"/>
        <w:gridCol w:w="1710"/>
      </w:tblGrid>
      <w:tr w:rsidR="008A2DEA" w:rsidRPr="00102BE4" w14:paraId="7255D18D" w14:textId="77777777" w:rsidTr="008A2DEA">
        <w:trPr>
          <w:trHeight w:val="527"/>
          <w:jc w:val="center"/>
        </w:trPr>
        <w:tc>
          <w:tcPr>
            <w:tcW w:w="3590" w:type="dxa"/>
            <w:vMerge w:val="restart"/>
            <w:tcBorders>
              <w:top w:val="single" w:sz="8" w:space="0" w:color="FFFFFF"/>
              <w:left w:val="single" w:sz="8" w:space="0" w:color="FFFFFF"/>
              <w:right w:val="single" w:sz="8" w:space="0" w:color="FFFFFF"/>
            </w:tcBorders>
            <w:shd w:val="clear" w:color="auto" w:fill="BBE0E3"/>
            <w:vAlign w:val="center"/>
          </w:tcPr>
          <w:p w14:paraId="152EC577" w14:textId="16D81A36" w:rsidR="008A2DEA" w:rsidRPr="00492A5F" w:rsidRDefault="008A2DEA" w:rsidP="008A2DEA">
            <w:pPr>
              <w:jc w:val="center"/>
              <w:rPr>
                <w:rFonts w:asciiTheme="majorHAnsi" w:hAnsiTheme="majorHAnsi" w:cstheme="majorHAnsi"/>
                <w:b/>
                <w:color w:val="FFFFFF" w:themeColor="background1"/>
                <w:sz w:val="20"/>
              </w:rPr>
            </w:pPr>
            <w:r w:rsidRPr="00492A5F">
              <w:rPr>
                <w:rFonts w:ascii="Calibri" w:hAnsi="Calibri" w:cs="Calibri"/>
                <w:b/>
                <w:bCs/>
                <w:color w:val="000000"/>
                <w:sz w:val="20"/>
              </w:rPr>
              <w:t>Impact category</w:t>
            </w:r>
          </w:p>
        </w:tc>
        <w:tc>
          <w:tcPr>
            <w:tcW w:w="21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bottom"/>
          </w:tcPr>
          <w:p w14:paraId="39627453" w14:textId="6B9EFD0A" w:rsidR="008A2DEA" w:rsidRPr="00492A5F" w:rsidRDefault="008A2DEA" w:rsidP="008007E7">
            <w:pPr>
              <w:jc w:val="center"/>
              <w:rPr>
                <w:rFonts w:asciiTheme="majorHAnsi" w:hAnsiTheme="majorHAnsi" w:cstheme="majorHAnsi"/>
                <w:b/>
                <w:color w:val="FFFFFF" w:themeColor="background1"/>
                <w:sz w:val="20"/>
              </w:rPr>
            </w:pPr>
            <w:r w:rsidRPr="00492A5F">
              <w:rPr>
                <w:rFonts w:ascii="Calibri" w:hAnsi="Calibri" w:cs="Calibri"/>
                <w:b/>
                <w:bCs/>
                <w:color w:val="000000"/>
                <w:sz w:val="20"/>
              </w:rPr>
              <w:t>Single-serve bottle</w:t>
            </w:r>
          </w:p>
        </w:tc>
        <w:tc>
          <w:tcPr>
            <w:tcW w:w="1710" w:type="dxa"/>
            <w:tcBorders>
              <w:top w:val="single" w:sz="8" w:space="0" w:color="FFFFFF"/>
              <w:left w:val="single" w:sz="8" w:space="0" w:color="FFFFFF"/>
              <w:bottom w:val="single" w:sz="24" w:space="0" w:color="FFFFFF"/>
              <w:right w:val="single" w:sz="8" w:space="0" w:color="FFFFFF"/>
            </w:tcBorders>
            <w:shd w:val="clear" w:color="auto" w:fill="BBE0E3"/>
            <w:vAlign w:val="bottom"/>
          </w:tcPr>
          <w:p w14:paraId="11155664" w14:textId="4D5E6C48" w:rsidR="008A2DEA" w:rsidRPr="00492A5F" w:rsidRDefault="008A2DEA" w:rsidP="008007E7">
            <w:pPr>
              <w:jc w:val="center"/>
              <w:rPr>
                <w:rFonts w:asciiTheme="majorHAnsi" w:hAnsiTheme="majorHAnsi" w:cstheme="majorHAnsi"/>
                <w:b/>
                <w:color w:val="FFFFFF" w:themeColor="background1"/>
                <w:sz w:val="20"/>
              </w:rPr>
            </w:pPr>
            <w:r w:rsidRPr="00492A5F">
              <w:rPr>
                <w:rFonts w:ascii="Calibri" w:hAnsi="Calibri" w:cs="Calibri"/>
                <w:b/>
                <w:bCs/>
                <w:color w:val="000000"/>
                <w:sz w:val="20"/>
              </w:rPr>
              <w:t>Reusable Jug</w:t>
            </w:r>
          </w:p>
        </w:tc>
      </w:tr>
      <w:tr w:rsidR="008A2DEA" w:rsidRPr="00102BE4" w14:paraId="11D8AB5B" w14:textId="77777777" w:rsidTr="00B17F75">
        <w:trPr>
          <w:trHeight w:val="332"/>
          <w:jc w:val="center"/>
        </w:trPr>
        <w:tc>
          <w:tcPr>
            <w:tcW w:w="3590" w:type="dxa"/>
            <w:vMerge/>
            <w:tcBorders>
              <w:left w:val="single" w:sz="8" w:space="0" w:color="FFFFFF"/>
              <w:bottom w:val="single" w:sz="8" w:space="0" w:color="FFFFFF"/>
              <w:right w:val="single" w:sz="8" w:space="0" w:color="FFFFFF"/>
            </w:tcBorders>
            <w:shd w:val="clear" w:color="auto" w:fill="BBE0E3"/>
            <w:vAlign w:val="center"/>
          </w:tcPr>
          <w:p w14:paraId="203A5635" w14:textId="77777777" w:rsidR="008A2DEA" w:rsidRPr="00492A5F" w:rsidRDefault="008A2DEA" w:rsidP="00673F69">
            <w:pPr>
              <w:rPr>
                <w:rFonts w:asciiTheme="majorHAnsi" w:hAnsiTheme="majorHAnsi" w:cstheme="majorHAnsi"/>
                <w:b/>
                <w:sz w:val="20"/>
              </w:rPr>
            </w:pPr>
          </w:p>
        </w:tc>
        <w:tc>
          <w:tcPr>
            <w:tcW w:w="216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18285123" w14:textId="3FB10C06" w:rsidR="008A2DEA" w:rsidRPr="00492A5F" w:rsidRDefault="008A2DEA" w:rsidP="00B17F75">
            <w:pPr>
              <w:jc w:val="center"/>
              <w:rPr>
                <w:rFonts w:asciiTheme="majorHAnsi" w:hAnsiTheme="majorHAnsi" w:cstheme="majorHAnsi"/>
                <w:sz w:val="20"/>
              </w:rPr>
            </w:pPr>
            <w:r w:rsidRPr="00492A5F">
              <w:rPr>
                <w:rFonts w:ascii="Calibri" w:hAnsi="Calibri" w:cs="Calibri"/>
                <w:b/>
                <w:bCs/>
                <w:color w:val="000000"/>
                <w:sz w:val="20"/>
              </w:rPr>
              <w:t>% change</w:t>
            </w:r>
          </w:p>
        </w:tc>
        <w:tc>
          <w:tcPr>
            <w:tcW w:w="1710" w:type="dxa"/>
            <w:tcBorders>
              <w:top w:val="single" w:sz="24" w:space="0" w:color="FFFFFF"/>
              <w:left w:val="single" w:sz="8" w:space="0" w:color="FFFFFF"/>
              <w:bottom w:val="single" w:sz="8" w:space="0" w:color="FFFFFF"/>
              <w:right w:val="single" w:sz="8" w:space="0" w:color="FFFFFF"/>
            </w:tcBorders>
            <w:shd w:val="clear" w:color="auto" w:fill="E7F3F4"/>
            <w:vAlign w:val="center"/>
          </w:tcPr>
          <w:p w14:paraId="5DBD64CF" w14:textId="06272A2F" w:rsidR="008A2DEA" w:rsidRPr="00492A5F" w:rsidRDefault="008A2DEA" w:rsidP="00B17F75">
            <w:pPr>
              <w:jc w:val="center"/>
              <w:rPr>
                <w:rFonts w:asciiTheme="majorHAnsi" w:hAnsiTheme="majorHAnsi" w:cstheme="majorHAnsi"/>
                <w:sz w:val="20"/>
              </w:rPr>
            </w:pPr>
            <w:r w:rsidRPr="00492A5F">
              <w:rPr>
                <w:rFonts w:ascii="Calibri" w:hAnsi="Calibri" w:cs="Calibri"/>
                <w:b/>
                <w:bCs/>
                <w:color w:val="000000"/>
                <w:sz w:val="20"/>
              </w:rPr>
              <w:t>% change</w:t>
            </w:r>
          </w:p>
        </w:tc>
      </w:tr>
      <w:tr w:rsidR="00EA1DB9" w:rsidRPr="00102BE4" w14:paraId="3C02BBB8" w14:textId="77777777" w:rsidTr="00FA49B3">
        <w:trPr>
          <w:trHeight w:val="398"/>
          <w:jc w:val="center"/>
        </w:trPr>
        <w:tc>
          <w:tcPr>
            <w:tcW w:w="3590" w:type="dxa"/>
            <w:tcBorders>
              <w:top w:val="single" w:sz="8" w:space="0" w:color="FFFFFF"/>
              <w:left w:val="single" w:sz="8" w:space="0" w:color="FFFFFF"/>
              <w:bottom w:val="single" w:sz="8" w:space="0" w:color="FFFFFF"/>
              <w:right w:val="single" w:sz="8" w:space="0" w:color="FFFFFF"/>
            </w:tcBorders>
            <w:shd w:val="clear" w:color="auto" w:fill="BBE0E3"/>
            <w:vAlign w:val="bottom"/>
          </w:tcPr>
          <w:p w14:paraId="0BD5EB67" w14:textId="0F1D8DE3" w:rsidR="00EA1DB9" w:rsidRPr="00492A5F" w:rsidRDefault="00EA1DB9" w:rsidP="00EA1DB9">
            <w:pPr>
              <w:rPr>
                <w:rFonts w:asciiTheme="majorHAnsi" w:hAnsiTheme="majorHAnsi" w:cstheme="majorHAnsi"/>
                <w:b/>
                <w:sz w:val="20"/>
              </w:rPr>
            </w:pPr>
            <w:r w:rsidRPr="00492A5F">
              <w:rPr>
                <w:rFonts w:ascii="Calibri" w:hAnsi="Calibri" w:cs="Calibri"/>
                <w:color w:val="000000"/>
                <w:sz w:val="20"/>
              </w:rPr>
              <w:t>Cumulative Energy Demand</w:t>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tcPr>
          <w:p w14:paraId="69F0C4A8" w14:textId="6B04A5AD" w:rsidR="00EA1DB9" w:rsidRPr="00EA1DB9" w:rsidRDefault="00EA1DB9" w:rsidP="00EA1DB9">
            <w:pPr>
              <w:jc w:val="center"/>
              <w:rPr>
                <w:rFonts w:ascii="Calibri" w:hAnsi="Calibri" w:cs="Calibri"/>
                <w:color w:val="000000"/>
                <w:sz w:val="18"/>
                <w:szCs w:val="18"/>
              </w:rPr>
            </w:pPr>
            <w:r w:rsidRPr="00EA1DB9">
              <w:rPr>
                <w:rFonts w:ascii="Calibri" w:hAnsi="Calibri" w:cs="Calibri"/>
                <w:color w:val="000000"/>
                <w:sz w:val="18"/>
                <w:szCs w:val="18"/>
              </w:rPr>
              <w:t>0.32%</w:t>
            </w:r>
          </w:p>
        </w:tc>
        <w:tc>
          <w:tcPr>
            <w:tcW w:w="1710" w:type="dxa"/>
            <w:tcBorders>
              <w:top w:val="single" w:sz="8" w:space="0" w:color="FFFFFF"/>
              <w:left w:val="single" w:sz="8" w:space="0" w:color="FFFFFF"/>
              <w:bottom w:val="single" w:sz="8" w:space="0" w:color="FFFFFF"/>
              <w:right w:val="single" w:sz="8" w:space="0" w:color="FFFFFF"/>
            </w:tcBorders>
            <w:shd w:val="clear" w:color="auto" w:fill="F3F9FA"/>
          </w:tcPr>
          <w:p w14:paraId="54B54D14" w14:textId="49CCC49D" w:rsidR="00EA1DB9" w:rsidRPr="00EA1DB9" w:rsidRDefault="00EA1DB9" w:rsidP="00EA1DB9">
            <w:pPr>
              <w:jc w:val="center"/>
              <w:rPr>
                <w:rFonts w:ascii="Calibri" w:hAnsi="Calibri" w:cs="Calibri"/>
                <w:color w:val="000000"/>
                <w:sz w:val="18"/>
                <w:szCs w:val="18"/>
              </w:rPr>
            </w:pPr>
            <w:r w:rsidRPr="00EA1DB9">
              <w:rPr>
                <w:rFonts w:ascii="Calibri" w:hAnsi="Calibri" w:cs="Calibri"/>
                <w:color w:val="000000"/>
                <w:sz w:val="18"/>
                <w:szCs w:val="18"/>
              </w:rPr>
              <w:t>1.29%</w:t>
            </w:r>
          </w:p>
        </w:tc>
      </w:tr>
      <w:tr w:rsidR="00EA1DB9" w:rsidRPr="00102BE4" w14:paraId="4F5296D7" w14:textId="77777777" w:rsidTr="00FA49B3">
        <w:trPr>
          <w:trHeight w:val="387"/>
          <w:jc w:val="center"/>
        </w:trPr>
        <w:tc>
          <w:tcPr>
            <w:tcW w:w="3590" w:type="dxa"/>
            <w:tcBorders>
              <w:top w:val="single" w:sz="8" w:space="0" w:color="FFFFFF"/>
              <w:left w:val="single" w:sz="8" w:space="0" w:color="FFFFFF"/>
              <w:bottom w:val="single" w:sz="8" w:space="0" w:color="FFFFFF"/>
              <w:right w:val="single" w:sz="8" w:space="0" w:color="FFFFFF"/>
            </w:tcBorders>
            <w:shd w:val="clear" w:color="auto" w:fill="BBE0E3"/>
            <w:vAlign w:val="bottom"/>
          </w:tcPr>
          <w:p w14:paraId="2EF68ABA" w14:textId="7BD8F163" w:rsidR="00EA1DB9" w:rsidRPr="00492A5F" w:rsidRDefault="00EA1DB9" w:rsidP="00EA1DB9">
            <w:pPr>
              <w:rPr>
                <w:rFonts w:asciiTheme="majorHAnsi" w:hAnsiTheme="majorHAnsi" w:cstheme="majorHAnsi"/>
                <w:b/>
                <w:sz w:val="20"/>
              </w:rPr>
            </w:pPr>
            <w:r w:rsidRPr="00492A5F">
              <w:rPr>
                <w:rFonts w:ascii="Calibri" w:hAnsi="Calibri" w:cs="Calibri"/>
                <w:color w:val="000000"/>
                <w:sz w:val="20"/>
              </w:rPr>
              <w:t>Global Warming Potential</w:t>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2059F704" w14:textId="35BAE298" w:rsidR="00EA1DB9" w:rsidRPr="00EA1DB9" w:rsidRDefault="00EA1DB9" w:rsidP="00EA1DB9">
            <w:pPr>
              <w:jc w:val="center"/>
              <w:rPr>
                <w:rFonts w:ascii="Calibri" w:hAnsi="Calibri" w:cs="Calibri"/>
                <w:color w:val="000000"/>
                <w:sz w:val="18"/>
                <w:szCs w:val="18"/>
              </w:rPr>
            </w:pPr>
            <w:r w:rsidRPr="00EA1DB9">
              <w:rPr>
                <w:rFonts w:ascii="Calibri" w:hAnsi="Calibri" w:cs="Calibri"/>
                <w:color w:val="000000"/>
                <w:sz w:val="18"/>
                <w:szCs w:val="18"/>
              </w:rPr>
              <w:t>0.43%</w:t>
            </w:r>
          </w:p>
        </w:tc>
        <w:tc>
          <w:tcPr>
            <w:tcW w:w="1710" w:type="dxa"/>
            <w:tcBorders>
              <w:top w:val="single" w:sz="8" w:space="0" w:color="FFFFFF"/>
              <w:left w:val="single" w:sz="8" w:space="0" w:color="FFFFFF"/>
              <w:bottom w:val="single" w:sz="8" w:space="0" w:color="FFFFFF"/>
              <w:right w:val="single" w:sz="8" w:space="0" w:color="FFFFFF"/>
            </w:tcBorders>
            <w:shd w:val="clear" w:color="auto" w:fill="E7F3F4"/>
          </w:tcPr>
          <w:p w14:paraId="3666138B" w14:textId="06BB68CA" w:rsidR="00EA1DB9" w:rsidRPr="00EA1DB9" w:rsidRDefault="00EA1DB9" w:rsidP="00EA1DB9">
            <w:pPr>
              <w:jc w:val="center"/>
              <w:rPr>
                <w:rFonts w:ascii="Calibri" w:hAnsi="Calibri" w:cs="Calibri"/>
                <w:color w:val="000000"/>
                <w:sz w:val="18"/>
                <w:szCs w:val="18"/>
              </w:rPr>
            </w:pPr>
            <w:r w:rsidRPr="00EA1DB9">
              <w:rPr>
                <w:rFonts w:ascii="Calibri" w:hAnsi="Calibri" w:cs="Calibri"/>
                <w:color w:val="000000"/>
                <w:sz w:val="18"/>
                <w:szCs w:val="18"/>
              </w:rPr>
              <w:t>1.25%</w:t>
            </w:r>
          </w:p>
        </w:tc>
      </w:tr>
      <w:tr w:rsidR="00EA1DB9" w:rsidRPr="00102BE4" w14:paraId="540A58EC" w14:textId="77777777" w:rsidTr="00FA49B3">
        <w:trPr>
          <w:trHeight w:val="387"/>
          <w:jc w:val="center"/>
        </w:trPr>
        <w:tc>
          <w:tcPr>
            <w:tcW w:w="3590" w:type="dxa"/>
            <w:tcBorders>
              <w:top w:val="single" w:sz="8" w:space="0" w:color="FFFFFF"/>
              <w:left w:val="single" w:sz="8" w:space="0" w:color="FFFFFF"/>
              <w:bottom w:val="single" w:sz="8" w:space="0" w:color="FFFFFF"/>
              <w:right w:val="single" w:sz="8" w:space="0" w:color="FFFFFF"/>
            </w:tcBorders>
            <w:shd w:val="clear" w:color="auto" w:fill="BBE0E3"/>
            <w:vAlign w:val="bottom"/>
          </w:tcPr>
          <w:p w14:paraId="5DE35C0A" w14:textId="4B812271" w:rsidR="00EA1DB9" w:rsidRPr="00492A5F" w:rsidRDefault="00EA1DB9" w:rsidP="00EA1DB9">
            <w:pPr>
              <w:rPr>
                <w:rFonts w:asciiTheme="majorHAnsi" w:hAnsiTheme="majorHAnsi" w:cstheme="majorHAnsi"/>
                <w:b/>
                <w:bCs/>
                <w:sz w:val="20"/>
              </w:rPr>
            </w:pPr>
            <w:r w:rsidRPr="00492A5F">
              <w:rPr>
                <w:rFonts w:ascii="Calibri" w:hAnsi="Calibri" w:cs="Calibri"/>
                <w:color w:val="000000"/>
                <w:sz w:val="20"/>
              </w:rPr>
              <w:t>Water Consumption</w:t>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tcPr>
          <w:p w14:paraId="41EBF0EB" w14:textId="18979D4F" w:rsidR="00EA1DB9" w:rsidRPr="00EA1DB9" w:rsidRDefault="00EA1DB9" w:rsidP="00EA1DB9">
            <w:pPr>
              <w:jc w:val="center"/>
              <w:rPr>
                <w:rFonts w:ascii="Calibri" w:hAnsi="Calibri" w:cs="Calibri"/>
                <w:color w:val="000000"/>
                <w:sz w:val="18"/>
                <w:szCs w:val="18"/>
              </w:rPr>
            </w:pPr>
            <w:r w:rsidRPr="00EA1DB9">
              <w:rPr>
                <w:rFonts w:ascii="Calibri" w:hAnsi="Calibri" w:cs="Calibri"/>
                <w:color w:val="000000"/>
                <w:sz w:val="18"/>
                <w:szCs w:val="18"/>
              </w:rPr>
              <w:t>14.01%</w:t>
            </w:r>
          </w:p>
        </w:tc>
        <w:tc>
          <w:tcPr>
            <w:tcW w:w="1710" w:type="dxa"/>
            <w:tcBorders>
              <w:top w:val="single" w:sz="8" w:space="0" w:color="FFFFFF"/>
              <w:left w:val="single" w:sz="8" w:space="0" w:color="FFFFFF"/>
              <w:bottom w:val="single" w:sz="8" w:space="0" w:color="FFFFFF"/>
              <w:right w:val="single" w:sz="8" w:space="0" w:color="FFFFFF"/>
            </w:tcBorders>
            <w:shd w:val="clear" w:color="auto" w:fill="E7F3F4"/>
          </w:tcPr>
          <w:p w14:paraId="138638C0" w14:textId="7CEDA328" w:rsidR="00EA1DB9" w:rsidRPr="00EA1DB9" w:rsidRDefault="00EA1DB9" w:rsidP="00EA1DB9">
            <w:pPr>
              <w:jc w:val="center"/>
              <w:rPr>
                <w:rFonts w:ascii="Calibri" w:hAnsi="Calibri" w:cs="Calibri"/>
                <w:color w:val="000000"/>
                <w:sz w:val="18"/>
                <w:szCs w:val="18"/>
              </w:rPr>
            </w:pPr>
            <w:r w:rsidRPr="00EA1DB9">
              <w:rPr>
                <w:rFonts w:ascii="Calibri" w:hAnsi="Calibri" w:cs="Calibri"/>
                <w:color w:val="000000"/>
                <w:sz w:val="18"/>
                <w:szCs w:val="18"/>
              </w:rPr>
              <w:t>16.82%</w:t>
            </w:r>
          </w:p>
        </w:tc>
      </w:tr>
    </w:tbl>
    <w:p w14:paraId="1FC497E9" w14:textId="77777777" w:rsidR="00214581" w:rsidRDefault="00214581" w:rsidP="00214581"/>
    <w:p w14:paraId="3F5B4375" w14:textId="0C22A73E" w:rsidR="00214581" w:rsidRDefault="00214581" w:rsidP="00214581">
      <w:pPr>
        <w:pStyle w:val="Heading2"/>
      </w:pPr>
      <w:bookmarkStart w:id="336" w:name="_Ref524965192"/>
      <w:bookmarkStart w:id="337" w:name="_Ref525068757"/>
      <w:bookmarkStart w:id="338" w:name="_Toc525246220"/>
      <w:bookmarkStart w:id="339" w:name="_Toc533009178"/>
      <w:r>
        <w:t xml:space="preserve">Price </w:t>
      </w:r>
      <w:r w:rsidR="00596A45">
        <w:t>C</w:t>
      </w:r>
      <w:r>
        <w:t xml:space="preserve">omparison between </w:t>
      </w:r>
      <w:r w:rsidR="00596A45">
        <w:t>S</w:t>
      </w:r>
      <w:r>
        <w:t>ystems</w:t>
      </w:r>
      <w:bookmarkEnd w:id="336"/>
      <w:bookmarkEnd w:id="337"/>
      <w:bookmarkEnd w:id="338"/>
      <w:bookmarkEnd w:id="339"/>
    </w:p>
    <w:p w14:paraId="22174C23" w14:textId="6D732B60" w:rsidR="00C90B7C" w:rsidRPr="00496A6D" w:rsidRDefault="00300060" w:rsidP="003B784D">
      <w:pPr>
        <w:tabs>
          <w:tab w:val="clear" w:pos="720"/>
        </w:tabs>
        <w:ind w:firstLine="720"/>
        <w:rPr>
          <w:rFonts w:ascii="Calibri" w:hAnsi="Calibri" w:cs="Calibri"/>
          <w:color w:val="000000"/>
          <w:sz w:val="22"/>
          <w:szCs w:val="22"/>
        </w:rPr>
      </w:pPr>
      <w:r>
        <w:t xml:space="preserve">This section calculates a standardized price for both the AWG and the bottled water per liter bases shown in </w:t>
      </w:r>
      <w:r>
        <w:fldChar w:fldCharType="begin"/>
      </w:r>
      <w:r>
        <w:instrText xml:space="preserve"> REF _Ref525246845 \h </w:instrText>
      </w:r>
      <w:r>
        <w:fldChar w:fldCharType="separate"/>
      </w:r>
      <w:r w:rsidR="003267CA">
        <w:t xml:space="preserve">Table </w:t>
      </w:r>
      <w:r w:rsidR="003267CA">
        <w:rPr>
          <w:noProof/>
        </w:rPr>
        <w:t>17</w:t>
      </w:r>
      <w:r>
        <w:fldChar w:fldCharType="end"/>
      </w:r>
      <w:r>
        <w:t xml:space="preserve">. The standardized price per liter of water for AWG includes a net present cost calculation of the unit price of the AWG unit and the maintenance and energy costs over the lifetime of the AWGs (ten years for Watergen units and 20 years for EcoloBlue units). This discounted cost is then used to calculate the per liter cost based on the average total volume of water produced by the AWG over its lifetime. The unit and maintenance costs are provided by the vendors and the annual discounted price of electricity is calculated based on the U.S. average </w:t>
      </w:r>
      <w:r>
        <w:lastRenderedPageBreak/>
        <w:t>price of electricity (10.82 cents per kWh, EIA 2018).</w:t>
      </w:r>
      <w:r w:rsidR="00C90B7C">
        <w:t xml:space="preserve"> An AWG unit can be used for multiple long-term emergency situations and locations over its lifetime but that does not affect its initial unit price, annual maintenance cost and the price of electricity. It can be safely assumed that the per liter cost of water produced by an AWG will remain the same no matter where it is being used in the country. If the AWG unit remains idle for a long period of time that can reduce its operational cost over its lifetime but the maintenance would have </w:t>
      </w:r>
      <w:r w:rsidR="00EE22CC">
        <w:t xml:space="preserve">to </w:t>
      </w:r>
      <w:r w:rsidR="00C90B7C">
        <w:t>be carried out regardless of the duration of use.</w:t>
      </w:r>
    </w:p>
    <w:p w14:paraId="526B213C" w14:textId="058D6A20" w:rsidR="00300060" w:rsidRDefault="00300060" w:rsidP="00300060">
      <w:pPr>
        <w:ind w:firstLine="720"/>
      </w:pPr>
    </w:p>
    <w:p w14:paraId="01441FFF" w14:textId="0C285C2A" w:rsidR="000B4B92" w:rsidRDefault="00E3070B" w:rsidP="003B784D">
      <w:pPr>
        <w:tabs>
          <w:tab w:val="clear" w:pos="720"/>
        </w:tabs>
        <w:ind w:firstLine="720"/>
      </w:pPr>
      <w:r>
        <w:t xml:space="preserve">The standardized cost for bottled water is based on the unit price of a 24 pack (12 liters) for the </w:t>
      </w:r>
      <w:r w:rsidR="009B2365">
        <w:t>single-serve</w:t>
      </w:r>
      <w:r>
        <w:t xml:space="preserve"> bottle selected for the Poland Spring brand and the Poland Spring 5 gallon jug (18.9 liters). The monthly </w:t>
      </w:r>
      <w:r w:rsidR="00897258">
        <w:t xml:space="preserve">flat rate </w:t>
      </w:r>
      <w:r>
        <w:t>deliver</w:t>
      </w:r>
      <w:r w:rsidR="00897258">
        <w:t>y</w:t>
      </w:r>
      <w:r>
        <w:t xml:space="preserve"> charge is also included in the per liter cost of the reusable jug</w:t>
      </w:r>
      <w:r w:rsidR="0031060E">
        <w:t>,</w:t>
      </w:r>
      <w:r>
        <w:t xml:space="preserve"> but it is based on the assumption that 4 jugs are delivered in a month (this amount varies by household).</w:t>
      </w:r>
      <w:r w:rsidR="006F5EFD">
        <w:t xml:space="preserve"> In addition, 54.5 cents per mile of transporting the </w:t>
      </w:r>
      <w:r w:rsidR="009B2365">
        <w:t>single-serve</w:t>
      </w:r>
      <w:r w:rsidR="006F5EFD">
        <w:t xml:space="preserve"> bottle was added to the per liter cost based on the US government </w:t>
      </w:r>
      <w:r w:rsidR="008D1CB3">
        <w:t xml:space="preserve">standard </w:t>
      </w:r>
      <w:r w:rsidR="006F5EFD">
        <w:t>mileage reimbursement rate (IRS, 2018).</w:t>
      </w:r>
      <w:r w:rsidR="00496A6D">
        <w:t xml:space="preserve"> It is understood that </w:t>
      </w:r>
      <w:r w:rsidR="00496A6D" w:rsidRPr="00496A6D">
        <w:t>during a long</w:t>
      </w:r>
      <w:r w:rsidR="00496A6D">
        <w:t>-</w:t>
      </w:r>
      <w:r w:rsidR="00496A6D" w:rsidRPr="00496A6D">
        <w:t xml:space="preserve">term emergency situation the bottled water is typically provided by the local or state government and the price is not the same as that paid by consumers in a grocery store. The cost analysis is based on the grocery store and vendor prices as data </w:t>
      </w:r>
      <w:r w:rsidR="00496A6D">
        <w:t xml:space="preserve">is </w:t>
      </w:r>
      <w:r w:rsidR="00496A6D" w:rsidRPr="00496A6D">
        <w:t>not available for the prices the government is charged in emergency situation</w:t>
      </w:r>
      <w:r w:rsidR="00496A6D">
        <w:t>s</w:t>
      </w:r>
      <w:r w:rsidR="009F313B">
        <w:t>.</w:t>
      </w:r>
    </w:p>
    <w:p w14:paraId="2946539A" w14:textId="77777777" w:rsidR="003B784D" w:rsidRPr="003B784D" w:rsidRDefault="003B784D" w:rsidP="003B784D">
      <w:pPr>
        <w:tabs>
          <w:tab w:val="clear" w:pos="720"/>
        </w:tabs>
        <w:rPr>
          <w:rFonts w:ascii="Calibri" w:hAnsi="Calibri" w:cs="Calibri"/>
          <w:color w:val="000000"/>
          <w:sz w:val="22"/>
          <w:szCs w:val="22"/>
        </w:rPr>
      </w:pPr>
    </w:p>
    <w:p w14:paraId="1084222E" w14:textId="2D56A823" w:rsidR="007425A2" w:rsidRDefault="007425A2" w:rsidP="00B17F75">
      <w:pPr>
        <w:pStyle w:val="BodyText"/>
      </w:pPr>
      <w:r>
        <w:t>While AWGs require significant upfront capital compared to bottled water, costs compared to bottled water are lower when standardized over the useful life of the AWG unit.</w:t>
      </w:r>
    </w:p>
    <w:tbl>
      <w:tblPr>
        <w:tblW w:w="5000" w:type="pct"/>
        <w:tblCellMar>
          <w:left w:w="0" w:type="dxa"/>
          <w:right w:w="0" w:type="dxa"/>
        </w:tblCellMar>
        <w:tblLook w:val="04A0" w:firstRow="1" w:lastRow="0" w:firstColumn="1" w:lastColumn="0" w:noHBand="0" w:noVBand="1"/>
      </w:tblPr>
      <w:tblGrid>
        <w:gridCol w:w="1832"/>
        <w:gridCol w:w="1267"/>
        <w:gridCol w:w="1072"/>
        <w:gridCol w:w="1267"/>
        <w:gridCol w:w="1169"/>
        <w:gridCol w:w="1267"/>
        <w:gridCol w:w="1466"/>
      </w:tblGrid>
      <w:tr w:rsidR="00FC32AF" w:rsidRPr="00D544BD" w14:paraId="13111FCC" w14:textId="77777777" w:rsidTr="00FC32AF">
        <w:trPr>
          <w:trHeight w:val="476"/>
        </w:trPr>
        <w:tc>
          <w:tcPr>
            <w:tcW w:w="5000" w:type="pct"/>
            <w:gridSpan w:val="7"/>
            <w:tcBorders>
              <w:top w:val="single" w:sz="8" w:space="0" w:color="FFFFFF"/>
              <w:left w:val="single" w:sz="8" w:space="0" w:color="FFFFFF"/>
              <w:bottom w:val="single" w:sz="24" w:space="0" w:color="FFFFFF"/>
              <w:right w:val="single" w:sz="8" w:space="0" w:color="FFFFFF"/>
            </w:tcBorders>
            <w:shd w:val="clear" w:color="auto" w:fill="auto"/>
            <w:vAlign w:val="center"/>
          </w:tcPr>
          <w:p w14:paraId="3DEB9DCA" w14:textId="7934710A" w:rsidR="00FC32AF" w:rsidRPr="00D544BD" w:rsidRDefault="00FC32AF" w:rsidP="00FC32AF">
            <w:pPr>
              <w:pStyle w:val="TableTitle"/>
              <w:rPr>
                <w:rFonts w:ascii="Calibri" w:hAnsi="Calibri" w:cs="Calibri"/>
                <w:bCs/>
                <w:color w:val="000000" w:themeColor="text1"/>
                <w:sz w:val="18"/>
                <w:szCs w:val="18"/>
              </w:rPr>
            </w:pPr>
            <w:bookmarkStart w:id="340" w:name="_Ref525246845"/>
            <w:bookmarkStart w:id="341" w:name="_Ref524769103"/>
            <w:bookmarkStart w:id="342" w:name="_Toc533009197"/>
            <w:r>
              <w:t xml:space="preserve">Table </w:t>
            </w:r>
            <w:r>
              <w:rPr>
                <w:noProof/>
              </w:rPr>
              <w:fldChar w:fldCharType="begin"/>
            </w:r>
            <w:r>
              <w:rPr>
                <w:noProof/>
              </w:rPr>
              <w:instrText xml:space="preserve"> SEQ Table \* ARABIC </w:instrText>
            </w:r>
            <w:r>
              <w:rPr>
                <w:noProof/>
              </w:rPr>
              <w:fldChar w:fldCharType="separate"/>
            </w:r>
            <w:r w:rsidR="003267CA">
              <w:rPr>
                <w:noProof/>
              </w:rPr>
              <w:t>17</w:t>
            </w:r>
            <w:r>
              <w:rPr>
                <w:noProof/>
              </w:rPr>
              <w:fldChar w:fldCharType="end"/>
            </w:r>
            <w:bookmarkEnd w:id="340"/>
            <w:r>
              <w:t>. Standardized Costs per Liter of Water</w:t>
            </w:r>
            <w:bookmarkEnd w:id="341"/>
            <w:bookmarkEnd w:id="342"/>
          </w:p>
        </w:tc>
      </w:tr>
      <w:tr w:rsidR="00966025" w:rsidRPr="00D544BD" w14:paraId="04AF62F3" w14:textId="4AA47A20" w:rsidTr="00300060">
        <w:trPr>
          <w:trHeight w:val="476"/>
        </w:trPr>
        <w:tc>
          <w:tcPr>
            <w:tcW w:w="981"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5919A76E" w14:textId="2F4F8CB5" w:rsidR="00966025" w:rsidRPr="00D544BD" w:rsidRDefault="00966025" w:rsidP="00966025">
            <w:pPr>
              <w:jc w:val="center"/>
              <w:rPr>
                <w:rFonts w:asciiTheme="majorHAnsi" w:hAnsiTheme="majorHAnsi" w:cstheme="majorHAnsi"/>
                <w:b/>
                <w:color w:val="000000" w:themeColor="text1"/>
                <w:sz w:val="18"/>
                <w:szCs w:val="18"/>
              </w:rPr>
            </w:pPr>
            <w:r w:rsidRPr="00D544BD">
              <w:rPr>
                <w:rFonts w:asciiTheme="majorHAnsi" w:hAnsiTheme="majorHAnsi" w:cstheme="majorHAnsi"/>
                <w:b/>
                <w:bCs/>
                <w:color w:val="000000" w:themeColor="text1"/>
                <w:sz w:val="18"/>
                <w:szCs w:val="18"/>
              </w:rPr>
              <w:t>Product</w:t>
            </w:r>
          </w:p>
        </w:tc>
        <w:tc>
          <w:tcPr>
            <w:tcW w:w="678"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tcPr>
          <w:p w14:paraId="48391B8D" w14:textId="7A584131" w:rsidR="00966025" w:rsidRPr="00D544BD" w:rsidRDefault="00966025" w:rsidP="00966025">
            <w:pPr>
              <w:jc w:val="center"/>
              <w:rPr>
                <w:rFonts w:asciiTheme="majorHAnsi" w:hAnsiTheme="majorHAnsi" w:cstheme="majorHAnsi"/>
                <w:b/>
                <w:color w:val="000000" w:themeColor="text1"/>
                <w:sz w:val="18"/>
                <w:szCs w:val="18"/>
              </w:rPr>
            </w:pPr>
            <w:r w:rsidRPr="00D544BD">
              <w:rPr>
                <w:rFonts w:ascii="Calibri" w:hAnsi="Calibri" w:cs="Calibri"/>
                <w:b/>
                <w:bCs/>
                <w:color w:val="000000" w:themeColor="text1"/>
                <w:sz w:val="18"/>
                <w:szCs w:val="18"/>
              </w:rPr>
              <w:t>Type</w:t>
            </w:r>
          </w:p>
        </w:tc>
        <w:tc>
          <w:tcPr>
            <w:tcW w:w="574"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418AEFF6" w14:textId="2DBD4E0B" w:rsidR="00966025" w:rsidRPr="00D544BD" w:rsidRDefault="00966025" w:rsidP="00966025">
            <w:pPr>
              <w:jc w:val="center"/>
              <w:rPr>
                <w:rFonts w:asciiTheme="majorHAnsi" w:hAnsiTheme="majorHAnsi" w:cstheme="majorHAnsi"/>
                <w:b/>
                <w:color w:val="000000" w:themeColor="text1"/>
                <w:sz w:val="18"/>
                <w:szCs w:val="18"/>
              </w:rPr>
            </w:pPr>
            <w:r w:rsidRPr="00D544BD">
              <w:rPr>
                <w:rFonts w:ascii="Calibri" w:hAnsi="Calibri" w:cs="Calibri"/>
                <w:b/>
                <w:bCs/>
                <w:color w:val="000000" w:themeColor="text1"/>
                <w:sz w:val="18"/>
                <w:szCs w:val="18"/>
              </w:rPr>
              <w:t>Unit cost ($)</w:t>
            </w:r>
          </w:p>
        </w:tc>
        <w:tc>
          <w:tcPr>
            <w:tcW w:w="678"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55402A81" w14:textId="73B16DDA" w:rsidR="00966025" w:rsidRPr="00D544BD" w:rsidRDefault="00966025" w:rsidP="00966025">
            <w:pPr>
              <w:jc w:val="center"/>
              <w:rPr>
                <w:rFonts w:asciiTheme="majorHAnsi" w:hAnsiTheme="majorHAnsi" w:cstheme="majorHAnsi"/>
                <w:b/>
                <w:color w:val="000000" w:themeColor="text1"/>
                <w:sz w:val="18"/>
                <w:szCs w:val="18"/>
              </w:rPr>
            </w:pPr>
            <w:r w:rsidRPr="00D544BD">
              <w:rPr>
                <w:rFonts w:ascii="Calibri" w:hAnsi="Calibri" w:cs="Calibri"/>
                <w:b/>
                <w:bCs/>
                <w:color w:val="000000" w:themeColor="text1"/>
                <w:sz w:val="18"/>
                <w:szCs w:val="18"/>
              </w:rPr>
              <w:t>Annual maintenance cost ($)</w:t>
            </w:r>
          </w:p>
        </w:tc>
        <w:tc>
          <w:tcPr>
            <w:tcW w:w="626" w:type="pct"/>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vAlign w:val="center"/>
          </w:tcPr>
          <w:p w14:paraId="51E2BBF9" w14:textId="5E2977B1" w:rsidR="00966025" w:rsidRPr="00D544BD" w:rsidRDefault="00966025" w:rsidP="00966025">
            <w:pPr>
              <w:jc w:val="center"/>
              <w:rPr>
                <w:rFonts w:asciiTheme="majorHAnsi" w:hAnsiTheme="majorHAnsi" w:cstheme="majorHAnsi"/>
                <w:b/>
                <w:color w:val="000000" w:themeColor="text1"/>
                <w:sz w:val="18"/>
                <w:szCs w:val="18"/>
              </w:rPr>
            </w:pPr>
            <w:r w:rsidRPr="00D544BD">
              <w:rPr>
                <w:rFonts w:asciiTheme="majorHAnsi" w:hAnsiTheme="majorHAnsi" w:cstheme="majorHAnsi"/>
                <w:b/>
                <w:bCs/>
                <w:color w:val="000000" w:themeColor="text1"/>
                <w:sz w:val="18"/>
                <w:szCs w:val="18"/>
              </w:rPr>
              <w:t>AWG (kWh/L)</w:t>
            </w:r>
          </w:p>
        </w:tc>
        <w:tc>
          <w:tcPr>
            <w:tcW w:w="678"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264D3FFE" w14:textId="3A267E5A" w:rsidR="00966025" w:rsidRPr="00D544BD" w:rsidRDefault="00966025" w:rsidP="00966025">
            <w:pPr>
              <w:jc w:val="center"/>
              <w:rPr>
                <w:rFonts w:asciiTheme="majorHAnsi" w:hAnsiTheme="majorHAnsi" w:cstheme="majorHAnsi"/>
                <w:b/>
                <w:color w:val="000000" w:themeColor="text1"/>
                <w:sz w:val="18"/>
                <w:szCs w:val="18"/>
              </w:rPr>
            </w:pPr>
            <w:r w:rsidRPr="00D544BD">
              <w:rPr>
                <w:rFonts w:ascii="Calibri" w:hAnsi="Calibri" w:cs="Calibri"/>
                <w:b/>
                <w:bCs/>
                <w:color w:val="000000" w:themeColor="text1"/>
                <w:sz w:val="18"/>
                <w:szCs w:val="18"/>
              </w:rPr>
              <w:t>Electricity Cost per Liter</w:t>
            </w:r>
            <w:r w:rsidRPr="007E0B27">
              <w:rPr>
                <w:rFonts w:ascii="Calibri" w:hAnsi="Calibri" w:cs="Calibri"/>
                <w:b/>
                <w:bCs/>
                <w:color w:val="000000" w:themeColor="text1"/>
                <w:sz w:val="20"/>
              </w:rPr>
              <w:t>*</w:t>
            </w:r>
          </w:p>
        </w:tc>
        <w:tc>
          <w:tcPr>
            <w:tcW w:w="784" w:type="pct"/>
            <w:tcBorders>
              <w:top w:val="single" w:sz="8" w:space="0" w:color="FFFFFF"/>
              <w:left w:val="single" w:sz="8" w:space="0" w:color="FFFFFF"/>
              <w:bottom w:val="single" w:sz="24" w:space="0" w:color="FFFFFF"/>
              <w:right w:val="single" w:sz="8" w:space="0" w:color="FFFFFF"/>
            </w:tcBorders>
            <w:shd w:val="clear" w:color="auto" w:fill="BBE0E3"/>
            <w:vAlign w:val="center"/>
          </w:tcPr>
          <w:p w14:paraId="22EDFEE2" w14:textId="492A86F9" w:rsidR="00966025" w:rsidRPr="00D544BD" w:rsidRDefault="00966025" w:rsidP="00966025">
            <w:pPr>
              <w:jc w:val="center"/>
              <w:rPr>
                <w:rFonts w:asciiTheme="majorHAnsi" w:hAnsiTheme="majorHAnsi" w:cstheme="majorHAnsi"/>
                <w:b/>
                <w:color w:val="000000" w:themeColor="text1"/>
                <w:sz w:val="18"/>
                <w:szCs w:val="18"/>
              </w:rPr>
            </w:pPr>
            <w:r w:rsidRPr="00D544BD">
              <w:rPr>
                <w:rFonts w:ascii="Calibri" w:hAnsi="Calibri" w:cs="Calibri"/>
                <w:b/>
                <w:bCs/>
                <w:color w:val="000000" w:themeColor="text1"/>
                <w:sz w:val="18"/>
                <w:szCs w:val="18"/>
              </w:rPr>
              <w:t>Total cost per liter ($)</w:t>
            </w:r>
          </w:p>
        </w:tc>
      </w:tr>
      <w:tr w:rsidR="00300060" w:rsidRPr="00D544BD" w14:paraId="23AD31B3" w14:textId="1F57F51A" w:rsidTr="00300060">
        <w:trPr>
          <w:trHeight w:val="299"/>
        </w:trPr>
        <w:tc>
          <w:tcPr>
            <w:tcW w:w="981" w:type="pct"/>
            <w:tcBorders>
              <w:top w:val="single" w:sz="24" w:space="0" w:color="FFFFFF"/>
              <w:left w:val="single" w:sz="8" w:space="0" w:color="FFFFFF"/>
              <w:bottom w:val="single" w:sz="8" w:space="0" w:color="FFFFFF"/>
              <w:right w:val="single" w:sz="8" w:space="0" w:color="FFFFFF"/>
            </w:tcBorders>
            <w:shd w:val="clear" w:color="auto" w:fill="BBE0E3"/>
            <w:vAlign w:val="center"/>
          </w:tcPr>
          <w:p w14:paraId="5773B55B" w14:textId="5B50B7CF" w:rsidR="00300060" w:rsidRPr="00D544BD" w:rsidRDefault="00300060" w:rsidP="00300060">
            <w:pPr>
              <w:rPr>
                <w:rFonts w:asciiTheme="majorHAnsi" w:hAnsiTheme="majorHAnsi" w:cstheme="majorHAnsi"/>
                <w:b/>
                <w:sz w:val="18"/>
                <w:szCs w:val="18"/>
              </w:rPr>
            </w:pPr>
            <w:r w:rsidRPr="00D544BD">
              <w:rPr>
                <w:rFonts w:asciiTheme="majorHAnsi" w:hAnsiTheme="majorHAnsi" w:cstheme="majorHAnsi"/>
                <w:b/>
                <w:bCs/>
                <w:sz w:val="18"/>
                <w:szCs w:val="18"/>
              </w:rPr>
              <w:t xml:space="preserve">AWG </w:t>
            </w:r>
            <w:r w:rsidR="007425A2">
              <w:rPr>
                <w:rFonts w:asciiTheme="majorHAnsi" w:hAnsiTheme="majorHAnsi" w:cstheme="majorHAnsi"/>
                <w:b/>
                <w:bCs/>
                <w:sz w:val="18"/>
                <w:szCs w:val="18"/>
              </w:rPr>
              <w:t>–</w:t>
            </w:r>
            <w:r w:rsidRPr="00D544BD">
              <w:rPr>
                <w:rFonts w:asciiTheme="majorHAnsi" w:hAnsiTheme="majorHAnsi" w:cstheme="majorHAnsi"/>
                <w:b/>
                <w:bCs/>
                <w:sz w:val="18"/>
                <w:szCs w:val="18"/>
              </w:rPr>
              <w:t xml:space="preserve"> Watergen</w:t>
            </w:r>
          </w:p>
        </w:tc>
        <w:tc>
          <w:tcPr>
            <w:tcW w:w="678" w:type="pct"/>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0D013CED" w14:textId="67E2B9FA" w:rsidR="00300060" w:rsidRPr="00D544BD" w:rsidRDefault="00300060" w:rsidP="00300060">
            <w:pPr>
              <w:rPr>
                <w:rFonts w:asciiTheme="majorHAnsi" w:hAnsiTheme="majorHAnsi" w:cstheme="majorHAnsi"/>
                <w:sz w:val="18"/>
                <w:szCs w:val="18"/>
              </w:rPr>
            </w:pPr>
            <w:r w:rsidRPr="00D544BD">
              <w:rPr>
                <w:rFonts w:ascii="Calibri" w:hAnsi="Calibri" w:cs="Calibri"/>
                <w:color w:val="000000"/>
                <w:sz w:val="18"/>
                <w:szCs w:val="18"/>
              </w:rPr>
              <w:t>Large</w:t>
            </w:r>
          </w:p>
        </w:tc>
        <w:tc>
          <w:tcPr>
            <w:tcW w:w="574"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3735C0A9" w14:textId="70D3DFD2"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115,000</w:t>
            </w:r>
          </w:p>
        </w:tc>
        <w:tc>
          <w:tcPr>
            <w:tcW w:w="678"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62AD6870" w14:textId="0A64EB36"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7</w:t>
            </w:r>
            <w:r w:rsidR="007425A2">
              <w:rPr>
                <w:rFonts w:ascii="Calibri" w:hAnsi="Calibri" w:cs="Calibri"/>
                <w:color w:val="000000"/>
                <w:sz w:val="18"/>
                <w:szCs w:val="18"/>
              </w:rPr>
              <w:t>,</w:t>
            </w:r>
            <w:r w:rsidRPr="00D544BD">
              <w:rPr>
                <w:rFonts w:ascii="Calibri" w:hAnsi="Calibri" w:cs="Calibri"/>
                <w:color w:val="000000"/>
                <w:sz w:val="18"/>
                <w:szCs w:val="18"/>
              </w:rPr>
              <w:t>866</w:t>
            </w:r>
          </w:p>
        </w:tc>
        <w:tc>
          <w:tcPr>
            <w:tcW w:w="626" w:type="pct"/>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038B13E9" w14:textId="3627A31D" w:rsidR="00300060" w:rsidRPr="00D544BD" w:rsidRDefault="00300060" w:rsidP="00300060">
            <w:pPr>
              <w:jc w:val="center"/>
              <w:rPr>
                <w:rFonts w:asciiTheme="majorHAnsi" w:hAnsiTheme="majorHAnsi" w:cstheme="majorHAnsi"/>
                <w:sz w:val="18"/>
                <w:szCs w:val="18"/>
              </w:rPr>
            </w:pPr>
            <w:r w:rsidRPr="00D544BD">
              <w:rPr>
                <w:rFonts w:asciiTheme="majorHAnsi" w:hAnsiTheme="majorHAnsi" w:cstheme="majorHAnsi"/>
                <w:sz w:val="18"/>
                <w:szCs w:val="18"/>
              </w:rPr>
              <w:t>0.35</w:t>
            </w:r>
          </w:p>
        </w:tc>
        <w:tc>
          <w:tcPr>
            <w:tcW w:w="678" w:type="pct"/>
            <w:tcBorders>
              <w:top w:val="single" w:sz="24" w:space="0" w:color="FFFFFF"/>
              <w:left w:val="single" w:sz="8" w:space="0" w:color="FFFFFF"/>
              <w:bottom w:val="single" w:sz="8" w:space="0" w:color="FFFFFF"/>
              <w:right w:val="single" w:sz="8" w:space="0" w:color="FFFFFF"/>
            </w:tcBorders>
            <w:shd w:val="clear" w:color="auto" w:fill="E7F3F4"/>
            <w:vAlign w:val="center"/>
          </w:tcPr>
          <w:p w14:paraId="098793E3" w14:textId="71CA1E41"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0.04</w:t>
            </w:r>
          </w:p>
        </w:tc>
        <w:tc>
          <w:tcPr>
            <w:tcW w:w="784" w:type="pct"/>
            <w:tcBorders>
              <w:top w:val="single" w:sz="24" w:space="0" w:color="FFFFFF"/>
              <w:left w:val="single" w:sz="8" w:space="0" w:color="FFFFFF"/>
              <w:bottom w:val="single" w:sz="8" w:space="0" w:color="FFFFFF"/>
              <w:right w:val="single" w:sz="8" w:space="0" w:color="FFFFFF"/>
            </w:tcBorders>
            <w:shd w:val="clear" w:color="auto" w:fill="E7F3F4"/>
            <w:vAlign w:val="bottom"/>
          </w:tcPr>
          <w:p w14:paraId="0C62A77D" w14:textId="1A2ABDD3" w:rsidR="00300060" w:rsidRPr="00D544BD" w:rsidRDefault="00300060" w:rsidP="00300060">
            <w:pPr>
              <w:jc w:val="center"/>
              <w:rPr>
                <w:rFonts w:ascii="Calibri" w:hAnsi="Calibri" w:cs="Calibri"/>
                <w:color w:val="000000"/>
                <w:sz w:val="18"/>
                <w:szCs w:val="18"/>
              </w:rPr>
            </w:pPr>
            <w:r w:rsidRPr="00D544BD">
              <w:rPr>
                <w:rFonts w:ascii="Calibri" w:hAnsi="Calibri" w:cs="Calibri"/>
                <w:color w:val="000000"/>
                <w:sz w:val="18"/>
                <w:szCs w:val="18"/>
              </w:rPr>
              <w:t>0.0</w:t>
            </w:r>
            <w:r>
              <w:rPr>
                <w:rFonts w:ascii="Calibri" w:hAnsi="Calibri" w:cs="Calibri"/>
                <w:color w:val="000000"/>
                <w:sz w:val="18"/>
                <w:szCs w:val="18"/>
              </w:rPr>
              <w:t>9</w:t>
            </w:r>
          </w:p>
        </w:tc>
      </w:tr>
      <w:tr w:rsidR="00300060" w:rsidRPr="00D544BD" w14:paraId="1C6A3D63" w14:textId="3FC00D00" w:rsidTr="00300060">
        <w:trPr>
          <w:trHeight w:val="359"/>
        </w:trPr>
        <w:tc>
          <w:tcPr>
            <w:tcW w:w="981"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46587346" w14:textId="23647789" w:rsidR="00300060" w:rsidRPr="00D544BD" w:rsidRDefault="00300060" w:rsidP="00300060">
            <w:pPr>
              <w:rPr>
                <w:rFonts w:asciiTheme="majorHAnsi" w:hAnsiTheme="majorHAnsi" w:cstheme="majorHAnsi"/>
                <w:b/>
                <w:sz w:val="18"/>
                <w:szCs w:val="18"/>
              </w:rPr>
            </w:pPr>
            <w:r w:rsidRPr="00D544BD">
              <w:rPr>
                <w:rFonts w:asciiTheme="majorHAnsi" w:hAnsiTheme="majorHAnsi" w:cstheme="majorHAnsi"/>
                <w:b/>
                <w:bCs/>
                <w:sz w:val="18"/>
                <w:szCs w:val="18"/>
              </w:rPr>
              <w:t xml:space="preserve">AWG </w:t>
            </w:r>
            <w:r w:rsidR="007425A2">
              <w:rPr>
                <w:rFonts w:asciiTheme="majorHAnsi" w:hAnsiTheme="majorHAnsi" w:cstheme="majorHAnsi"/>
                <w:b/>
                <w:bCs/>
                <w:sz w:val="18"/>
                <w:szCs w:val="18"/>
              </w:rPr>
              <w:t>–</w:t>
            </w:r>
            <w:r w:rsidRPr="00D544BD">
              <w:rPr>
                <w:rFonts w:asciiTheme="majorHAnsi" w:hAnsiTheme="majorHAnsi" w:cstheme="majorHAnsi"/>
                <w:b/>
                <w:bCs/>
                <w:sz w:val="18"/>
                <w:szCs w:val="18"/>
              </w:rPr>
              <w:t xml:space="preserve"> Watergen</w:t>
            </w:r>
          </w:p>
        </w:tc>
        <w:tc>
          <w:tcPr>
            <w:tcW w:w="678"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4A4B16B3" w14:textId="08164825" w:rsidR="00300060" w:rsidRPr="00D544BD" w:rsidRDefault="00300060" w:rsidP="00300060">
            <w:pPr>
              <w:rPr>
                <w:rFonts w:asciiTheme="majorHAnsi" w:hAnsiTheme="majorHAnsi" w:cstheme="majorHAnsi"/>
                <w:sz w:val="18"/>
                <w:szCs w:val="18"/>
              </w:rPr>
            </w:pPr>
            <w:r w:rsidRPr="00D544BD">
              <w:rPr>
                <w:rFonts w:ascii="Calibri" w:hAnsi="Calibri" w:cs="Calibri"/>
                <w:color w:val="000000"/>
                <w:sz w:val="18"/>
                <w:szCs w:val="18"/>
              </w:rPr>
              <w:t>Medium</w:t>
            </w:r>
          </w:p>
        </w:tc>
        <w:tc>
          <w:tcPr>
            <w:tcW w:w="57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762AD53" w14:textId="2CE71D4F"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55,000</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5DC2C50" w14:textId="35886DAF"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2</w:t>
            </w:r>
            <w:r w:rsidR="007425A2">
              <w:rPr>
                <w:rFonts w:ascii="Calibri" w:hAnsi="Calibri" w:cs="Calibri"/>
                <w:color w:val="000000"/>
                <w:sz w:val="18"/>
                <w:szCs w:val="18"/>
              </w:rPr>
              <w:t>,</w:t>
            </w:r>
            <w:r w:rsidRPr="00D544BD">
              <w:rPr>
                <w:rFonts w:ascii="Calibri" w:hAnsi="Calibri" w:cs="Calibri"/>
                <w:color w:val="000000"/>
                <w:sz w:val="18"/>
                <w:szCs w:val="18"/>
              </w:rPr>
              <w:t>500</w:t>
            </w:r>
          </w:p>
        </w:tc>
        <w:tc>
          <w:tcPr>
            <w:tcW w:w="626"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3DB2BBCD" w14:textId="727CA87F" w:rsidR="00300060" w:rsidRPr="00D544BD" w:rsidRDefault="00300060" w:rsidP="00300060">
            <w:pPr>
              <w:jc w:val="center"/>
              <w:rPr>
                <w:rFonts w:asciiTheme="majorHAnsi" w:hAnsiTheme="majorHAnsi" w:cstheme="majorHAnsi"/>
                <w:sz w:val="18"/>
                <w:szCs w:val="18"/>
              </w:rPr>
            </w:pPr>
            <w:r w:rsidRPr="00D544BD">
              <w:rPr>
                <w:rFonts w:asciiTheme="majorHAnsi" w:hAnsiTheme="majorHAnsi" w:cstheme="majorHAnsi"/>
                <w:sz w:val="18"/>
                <w:szCs w:val="18"/>
              </w:rPr>
              <w:t>0.33</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CDB7B19" w14:textId="71F7A277"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0.04</w:t>
            </w:r>
          </w:p>
        </w:tc>
        <w:tc>
          <w:tcPr>
            <w:tcW w:w="784" w:type="pct"/>
            <w:tcBorders>
              <w:top w:val="single" w:sz="8" w:space="0" w:color="FFFFFF"/>
              <w:left w:val="single" w:sz="8" w:space="0" w:color="FFFFFF"/>
              <w:bottom w:val="single" w:sz="8" w:space="0" w:color="FFFFFF"/>
              <w:right w:val="single" w:sz="8" w:space="0" w:color="FFFFFF"/>
            </w:tcBorders>
            <w:shd w:val="clear" w:color="auto" w:fill="F3F9FA"/>
            <w:vAlign w:val="bottom"/>
          </w:tcPr>
          <w:p w14:paraId="45BF8161" w14:textId="74C100F8" w:rsidR="00300060" w:rsidRPr="00D544BD" w:rsidRDefault="00300060" w:rsidP="00300060">
            <w:pPr>
              <w:jc w:val="center"/>
              <w:rPr>
                <w:rFonts w:ascii="Calibri" w:hAnsi="Calibri" w:cs="Calibri"/>
                <w:color w:val="000000"/>
                <w:sz w:val="18"/>
                <w:szCs w:val="18"/>
              </w:rPr>
            </w:pPr>
            <w:r>
              <w:rPr>
                <w:rFonts w:ascii="Calibri" w:hAnsi="Calibri" w:cs="Calibri"/>
                <w:color w:val="000000"/>
                <w:sz w:val="18"/>
                <w:szCs w:val="18"/>
              </w:rPr>
              <w:t>0.14</w:t>
            </w:r>
          </w:p>
        </w:tc>
      </w:tr>
      <w:tr w:rsidR="00300060" w:rsidRPr="00D544BD" w14:paraId="6086C0F4" w14:textId="5ED351E9" w:rsidTr="00300060">
        <w:trPr>
          <w:trHeight w:val="349"/>
        </w:trPr>
        <w:tc>
          <w:tcPr>
            <w:tcW w:w="981"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32C1BAD5" w14:textId="3089289C" w:rsidR="00300060" w:rsidRPr="00D544BD" w:rsidRDefault="00300060" w:rsidP="00300060">
            <w:pPr>
              <w:rPr>
                <w:rFonts w:asciiTheme="majorHAnsi" w:hAnsiTheme="majorHAnsi" w:cstheme="majorHAnsi"/>
                <w:b/>
                <w:sz w:val="18"/>
                <w:szCs w:val="18"/>
              </w:rPr>
            </w:pPr>
            <w:r w:rsidRPr="00D544BD">
              <w:rPr>
                <w:rFonts w:asciiTheme="majorHAnsi" w:hAnsiTheme="majorHAnsi" w:cstheme="majorHAnsi"/>
                <w:b/>
                <w:bCs/>
                <w:sz w:val="18"/>
                <w:szCs w:val="18"/>
              </w:rPr>
              <w:t xml:space="preserve">AWG </w:t>
            </w:r>
            <w:r w:rsidR="007425A2">
              <w:rPr>
                <w:rFonts w:asciiTheme="majorHAnsi" w:hAnsiTheme="majorHAnsi" w:cstheme="majorHAnsi"/>
                <w:b/>
                <w:bCs/>
                <w:sz w:val="18"/>
                <w:szCs w:val="18"/>
              </w:rPr>
              <w:t>–</w:t>
            </w:r>
            <w:r w:rsidRPr="00D544BD">
              <w:rPr>
                <w:rFonts w:asciiTheme="majorHAnsi" w:hAnsiTheme="majorHAnsi" w:cstheme="majorHAnsi"/>
                <w:b/>
                <w:bCs/>
                <w:sz w:val="18"/>
                <w:szCs w:val="18"/>
              </w:rPr>
              <w:t xml:space="preserve"> Watergen</w:t>
            </w:r>
          </w:p>
        </w:tc>
        <w:tc>
          <w:tcPr>
            <w:tcW w:w="678"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4D295C3D" w14:textId="5659D2F2" w:rsidR="00300060" w:rsidRPr="00D544BD" w:rsidRDefault="00300060" w:rsidP="00300060">
            <w:pPr>
              <w:rPr>
                <w:rFonts w:asciiTheme="majorHAnsi" w:hAnsiTheme="majorHAnsi" w:cstheme="majorHAnsi"/>
                <w:sz w:val="18"/>
                <w:szCs w:val="18"/>
              </w:rPr>
            </w:pPr>
            <w:r w:rsidRPr="00D544BD">
              <w:rPr>
                <w:rFonts w:ascii="Calibri" w:hAnsi="Calibri" w:cs="Calibri"/>
                <w:color w:val="000000"/>
                <w:sz w:val="18"/>
                <w:szCs w:val="18"/>
              </w:rPr>
              <w:t>Home/Office</w:t>
            </w:r>
          </w:p>
        </w:tc>
        <w:tc>
          <w:tcPr>
            <w:tcW w:w="57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0E373FC" w14:textId="5680FA9B"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1</w:t>
            </w:r>
            <w:r w:rsidR="007425A2">
              <w:rPr>
                <w:rFonts w:ascii="Calibri" w:hAnsi="Calibri" w:cs="Calibri"/>
                <w:color w:val="000000"/>
                <w:sz w:val="18"/>
                <w:szCs w:val="18"/>
              </w:rPr>
              <w:t>,</w:t>
            </w:r>
            <w:r w:rsidRPr="00D544BD">
              <w:rPr>
                <w:rFonts w:ascii="Calibri" w:hAnsi="Calibri" w:cs="Calibri"/>
                <w:color w:val="000000"/>
                <w:sz w:val="18"/>
                <w:szCs w:val="18"/>
              </w:rPr>
              <w:t>250</w:t>
            </w:r>
          </w:p>
        </w:tc>
        <w:tc>
          <w:tcPr>
            <w:tcW w:w="67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FB51E40" w14:textId="60373D90" w:rsidR="00300060" w:rsidRPr="00D544BD" w:rsidRDefault="00300060" w:rsidP="00300060">
            <w:pPr>
              <w:jc w:val="center"/>
              <w:rPr>
                <w:rFonts w:asciiTheme="majorHAnsi" w:hAnsiTheme="majorHAnsi" w:cstheme="majorHAnsi"/>
                <w:sz w:val="18"/>
                <w:szCs w:val="18"/>
              </w:rPr>
            </w:pPr>
            <w:r>
              <w:rPr>
                <w:rFonts w:asciiTheme="majorHAnsi" w:hAnsiTheme="majorHAnsi" w:cstheme="majorHAnsi"/>
                <w:sz w:val="18"/>
                <w:szCs w:val="18"/>
              </w:rPr>
              <w:t>288</w:t>
            </w:r>
          </w:p>
        </w:tc>
        <w:tc>
          <w:tcPr>
            <w:tcW w:w="626"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46C4685A" w14:textId="25BE6558" w:rsidR="00300060" w:rsidRPr="00D544BD" w:rsidRDefault="00300060" w:rsidP="00300060">
            <w:pPr>
              <w:jc w:val="center"/>
              <w:rPr>
                <w:rFonts w:asciiTheme="majorHAnsi" w:hAnsiTheme="majorHAnsi" w:cstheme="majorHAnsi"/>
                <w:sz w:val="18"/>
                <w:szCs w:val="18"/>
              </w:rPr>
            </w:pPr>
            <w:r w:rsidRPr="00D544BD">
              <w:rPr>
                <w:rFonts w:asciiTheme="majorHAnsi" w:hAnsiTheme="majorHAnsi" w:cstheme="majorHAnsi"/>
                <w:sz w:val="18"/>
                <w:szCs w:val="18"/>
              </w:rPr>
              <w:t>0.3</w:t>
            </w:r>
          </w:p>
        </w:tc>
        <w:tc>
          <w:tcPr>
            <w:tcW w:w="67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77E41684" w14:textId="44209D00"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0.03</w:t>
            </w:r>
          </w:p>
        </w:tc>
        <w:tc>
          <w:tcPr>
            <w:tcW w:w="784" w:type="pct"/>
            <w:tcBorders>
              <w:top w:val="single" w:sz="8" w:space="0" w:color="FFFFFF"/>
              <w:left w:val="single" w:sz="8" w:space="0" w:color="FFFFFF"/>
              <w:bottom w:val="single" w:sz="8" w:space="0" w:color="FFFFFF"/>
              <w:right w:val="single" w:sz="8" w:space="0" w:color="FFFFFF"/>
            </w:tcBorders>
            <w:shd w:val="clear" w:color="auto" w:fill="E7F3F4"/>
            <w:vAlign w:val="bottom"/>
          </w:tcPr>
          <w:p w14:paraId="6BFA3228" w14:textId="2B4F2893" w:rsidR="00300060" w:rsidRPr="00D544BD" w:rsidRDefault="00300060" w:rsidP="00300060">
            <w:pPr>
              <w:jc w:val="center"/>
              <w:rPr>
                <w:rFonts w:ascii="Calibri" w:hAnsi="Calibri" w:cs="Calibri"/>
                <w:color w:val="000000"/>
                <w:sz w:val="18"/>
                <w:szCs w:val="18"/>
              </w:rPr>
            </w:pPr>
            <w:r>
              <w:rPr>
                <w:rFonts w:ascii="Calibri" w:hAnsi="Calibri" w:cs="Calibri"/>
                <w:color w:val="000000"/>
                <w:sz w:val="18"/>
                <w:szCs w:val="18"/>
              </w:rPr>
              <w:t>0.13</w:t>
            </w:r>
          </w:p>
        </w:tc>
      </w:tr>
      <w:tr w:rsidR="00300060" w:rsidRPr="00D544BD" w14:paraId="4ED4D2CE" w14:textId="7863128D" w:rsidTr="00300060">
        <w:trPr>
          <w:trHeight w:val="336"/>
        </w:trPr>
        <w:tc>
          <w:tcPr>
            <w:tcW w:w="981"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2CA52F0D" w14:textId="334366C9" w:rsidR="00300060" w:rsidRPr="00D544BD" w:rsidRDefault="00300060" w:rsidP="00300060">
            <w:pPr>
              <w:rPr>
                <w:rFonts w:asciiTheme="majorHAnsi" w:hAnsiTheme="majorHAnsi" w:cstheme="majorHAnsi"/>
                <w:b/>
                <w:sz w:val="18"/>
                <w:szCs w:val="18"/>
              </w:rPr>
            </w:pPr>
            <w:r w:rsidRPr="00D544BD">
              <w:rPr>
                <w:rFonts w:asciiTheme="majorHAnsi" w:hAnsiTheme="majorHAnsi" w:cstheme="majorHAnsi"/>
                <w:b/>
                <w:bCs/>
                <w:sz w:val="18"/>
                <w:szCs w:val="18"/>
              </w:rPr>
              <w:t xml:space="preserve">AWG </w:t>
            </w:r>
            <w:r w:rsidR="007425A2">
              <w:rPr>
                <w:rFonts w:asciiTheme="majorHAnsi" w:hAnsiTheme="majorHAnsi" w:cstheme="majorHAnsi"/>
                <w:b/>
                <w:bCs/>
                <w:sz w:val="18"/>
                <w:szCs w:val="18"/>
              </w:rPr>
              <w:t>–</w:t>
            </w:r>
            <w:r w:rsidRPr="00D544BD">
              <w:rPr>
                <w:rFonts w:asciiTheme="majorHAnsi" w:hAnsiTheme="majorHAnsi" w:cstheme="majorHAnsi"/>
                <w:b/>
                <w:bCs/>
                <w:sz w:val="18"/>
                <w:szCs w:val="18"/>
              </w:rPr>
              <w:t xml:space="preserve"> Ecoloblue</w:t>
            </w:r>
          </w:p>
        </w:tc>
        <w:tc>
          <w:tcPr>
            <w:tcW w:w="678"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580ADA77" w14:textId="6CE26A73" w:rsidR="00300060" w:rsidRPr="00D544BD" w:rsidRDefault="00300060" w:rsidP="00300060">
            <w:pPr>
              <w:rPr>
                <w:rFonts w:asciiTheme="majorHAnsi" w:hAnsiTheme="majorHAnsi" w:cstheme="majorHAnsi"/>
                <w:sz w:val="18"/>
                <w:szCs w:val="18"/>
              </w:rPr>
            </w:pPr>
            <w:r w:rsidRPr="00D544BD">
              <w:rPr>
                <w:rFonts w:ascii="Calibri" w:hAnsi="Calibri" w:cs="Calibri"/>
                <w:color w:val="000000"/>
                <w:sz w:val="18"/>
                <w:szCs w:val="18"/>
              </w:rPr>
              <w:t>Large</w:t>
            </w:r>
          </w:p>
        </w:tc>
        <w:tc>
          <w:tcPr>
            <w:tcW w:w="57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A1B2937" w14:textId="2C33CC50"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159,700</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1DFA6FD" w14:textId="3209B52D"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3</w:t>
            </w:r>
            <w:r w:rsidR="007425A2">
              <w:rPr>
                <w:rFonts w:ascii="Calibri" w:hAnsi="Calibri" w:cs="Calibri"/>
                <w:color w:val="000000"/>
                <w:sz w:val="18"/>
                <w:szCs w:val="18"/>
              </w:rPr>
              <w:t>,</w:t>
            </w:r>
            <w:r w:rsidRPr="00D544BD">
              <w:rPr>
                <w:rFonts w:ascii="Calibri" w:hAnsi="Calibri" w:cs="Calibri"/>
                <w:color w:val="000000"/>
                <w:sz w:val="18"/>
                <w:szCs w:val="18"/>
              </w:rPr>
              <w:t>767</w:t>
            </w:r>
          </w:p>
        </w:tc>
        <w:tc>
          <w:tcPr>
            <w:tcW w:w="626"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336BF1C8" w14:textId="10C919A0" w:rsidR="00300060" w:rsidRPr="00D544BD" w:rsidRDefault="00300060" w:rsidP="00300060">
            <w:pPr>
              <w:jc w:val="center"/>
              <w:rPr>
                <w:rFonts w:asciiTheme="majorHAnsi" w:hAnsiTheme="majorHAnsi" w:cstheme="majorHAnsi"/>
                <w:sz w:val="18"/>
                <w:szCs w:val="18"/>
              </w:rPr>
            </w:pPr>
            <w:r w:rsidRPr="00D544BD">
              <w:rPr>
                <w:rFonts w:asciiTheme="majorHAnsi" w:hAnsiTheme="majorHAnsi" w:cstheme="majorHAnsi"/>
                <w:sz w:val="18"/>
                <w:szCs w:val="18"/>
              </w:rPr>
              <w:t>0.42</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F27445F" w14:textId="3233E6E3"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0.05</w:t>
            </w:r>
          </w:p>
        </w:tc>
        <w:tc>
          <w:tcPr>
            <w:tcW w:w="784" w:type="pct"/>
            <w:tcBorders>
              <w:top w:val="single" w:sz="8" w:space="0" w:color="FFFFFF"/>
              <w:left w:val="single" w:sz="8" w:space="0" w:color="FFFFFF"/>
              <w:bottom w:val="single" w:sz="8" w:space="0" w:color="FFFFFF"/>
              <w:right w:val="single" w:sz="8" w:space="0" w:color="FFFFFF"/>
            </w:tcBorders>
            <w:shd w:val="clear" w:color="auto" w:fill="F3F9FA"/>
            <w:vAlign w:val="bottom"/>
          </w:tcPr>
          <w:p w14:paraId="0BCBAC54" w14:textId="47AEC4E1" w:rsidR="00300060" w:rsidRPr="00D544BD" w:rsidRDefault="00D91D05" w:rsidP="00300060">
            <w:pPr>
              <w:jc w:val="center"/>
              <w:rPr>
                <w:rFonts w:ascii="Calibri" w:hAnsi="Calibri" w:cs="Calibri"/>
                <w:color w:val="000000"/>
                <w:sz w:val="18"/>
                <w:szCs w:val="18"/>
              </w:rPr>
            </w:pPr>
            <w:r>
              <w:rPr>
                <w:rFonts w:ascii="Calibri" w:hAnsi="Calibri" w:cs="Calibri"/>
                <w:color w:val="000000"/>
                <w:sz w:val="18"/>
                <w:szCs w:val="18"/>
              </w:rPr>
              <w:t>0.06</w:t>
            </w:r>
          </w:p>
        </w:tc>
      </w:tr>
      <w:tr w:rsidR="00300060" w:rsidRPr="00D544BD" w14:paraId="219C226C" w14:textId="1F9EC4CB" w:rsidTr="00300060">
        <w:trPr>
          <w:trHeight w:val="314"/>
        </w:trPr>
        <w:tc>
          <w:tcPr>
            <w:tcW w:w="981"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55A80572" w14:textId="4D7EC845" w:rsidR="00300060" w:rsidRPr="00D544BD" w:rsidRDefault="00300060" w:rsidP="00300060">
            <w:pPr>
              <w:rPr>
                <w:rFonts w:asciiTheme="majorHAnsi" w:hAnsiTheme="majorHAnsi" w:cstheme="majorHAnsi"/>
                <w:b/>
                <w:sz w:val="18"/>
                <w:szCs w:val="18"/>
              </w:rPr>
            </w:pPr>
            <w:r w:rsidRPr="00D544BD">
              <w:rPr>
                <w:rFonts w:asciiTheme="majorHAnsi" w:hAnsiTheme="majorHAnsi" w:cstheme="majorHAnsi"/>
                <w:b/>
                <w:bCs/>
                <w:sz w:val="18"/>
                <w:szCs w:val="18"/>
              </w:rPr>
              <w:t xml:space="preserve">AWG </w:t>
            </w:r>
            <w:r w:rsidR="007425A2">
              <w:rPr>
                <w:rFonts w:asciiTheme="majorHAnsi" w:hAnsiTheme="majorHAnsi" w:cstheme="majorHAnsi"/>
                <w:b/>
                <w:bCs/>
                <w:sz w:val="18"/>
                <w:szCs w:val="18"/>
              </w:rPr>
              <w:t>–</w:t>
            </w:r>
            <w:r w:rsidRPr="00D544BD">
              <w:rPr>
                <w:rFonts w:asciiTheme="majorHAnsi" w:hAnsiTheme="majorHAnsi" w:cstheme="majorHAnsi"/>
                <w:b/>
                <w:bCs/>
                <w:sz w:val="18"/>
                <w:szCs w:val="18"/>
              </w:rPr>
              <w:t xml:space="preserve"> Ecoloblue</w:t>
            </w:r>
          </w:p>
        </w:tc>
        <w:tc>
          <w:tcPr>
            <w:tcW w:w="678"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29E5D3BC" w14:textId="7CC6D0CD" w:rsidR="00300060" w:rsidRPr="00D544BD" w:rsidRDefault="00300060" w:rsidP="00300060">
            <w:pPr>
              <w:rPr>
                <w:rFonts w:asciiTheme="majorHAnsi" w:hAnsiTheme="majorHAnsi" w:cstheme="majorHAnsi"/>
                <w:sz w:val="18"/>
                <w:szCs w:val="18"/>
              </w:rPr>
            </w:pPr>
            <w:r w:rsidRPr="00D544BD">
              <w:rPr>
                <w:rFonts w:ascii="Calibri" w:hAnsi="Calibri" w:cs="Calibri"/>
                <w:color w:val="000000"/>
                <w:sz w:val="18"/>
                <w:szCs w:val="18"/>
              </w:rPr>
              <w:t>Medium</w:t>
            </w:r>
          </w:p>
        </w:tc>
        <w:tc>
          <w:tcPr>
            <w:tcW w:w="574"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5861A43E" w14:textId="63CEAB86"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30,750</w:t>
            </w:r>
          </w:p>
        </w:tc>
        <w:tc>
          <w:tcPr>
            <w:tcW w:w="67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26BF1865" w14:textId="658038D7"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870</w:t>
            </w:r>
          </w:p>
        </w:tc>
        <w:tc>
          <w:tcPr>
            <w:tcW w:w="626" w:type="pct"/>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vAlign w:val="center"/>
          </w:tcPr>
          <w:p w14:paraId="70F8ADA8" w14:textId="39CC07D0" w:rsidR="00300060" w:rsidRPr="00D544BD" w:rsidRDefault="00300060" w:rsidP="00300060">
            <w:pPr>
              <w:jc w:val="center"/>
              <w:rPr>
                <w:rFonts w:asciiTheme="majorHAnsi" w:hAnsiTheme="majorHAnsi" w:cstheme="majorHAnsi"/>
                <w:sz w:val="18"/>
                <w:szCs w:val="18"/>
              </w:rPr>
            </w:pPr>
            <w:r w:rsidRPr="00D544BD">
              <w:rPr>
                <w:rFonts w:asciiTheme="majorHAnsi" w:hAnsiTheme="majorHAnsi" w:cstheme="majorHAnsi"/>
                <w:sz w:val="18"/>
                <w:szCs w:val="18"/>
              </w:rPr>
              <w:t>0.41</w:t>
            </w:r>
          </w:p>
        </w:tc>
        <w:tc>
          <w:tcPr>
            <w:tcW w:w="678" w:type="pct"/>
            <w:tcBorders>
              <w:top w:val="single" w:sz="8" w:space="0" w:color="FFFFFF"/>
              <w:left w:val="single" w:sz="8" w:space="0" w:color="FFFFFF"/>
              <w:bottom w:val="single" w:sz="8" w:space="0" w:color="FFFFFF"/>
              <w:right w:val="single" w:sz="8" w:space="0" w:color="FFFFFF"/>
            </w:tcBorders>
            <w:shd w:val="clear" w:color="auto" w:fill="E7F3F4"/>
            <w:vAlign w:val="center"/>
          </w:tcPr>
          <w:p w14:paraId="0F2B087C" w14:textId="0C2D5CCC"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0.04</w:t>
            </w:r>
          </w:p>
        </w:tc>
        <w:tc>
          <w:tcPr>
            <w:tcW w:w="784" w:type="pct"/>
            <w:tcBorders>
              <w:top w:val="single" w:sz="8" w:space="0" w:color="FFFFFF"/>
              <w:left w:val="single" w:sz="8" w:space="0" w:color="FFFFFF"/>
              <w:bottom w:val="single" w:sz="8" w:space="0" w:color="FFFFFF"/>
              <w:right w:val="single" w:sz="8" w:space="0" w:color="FFFFFF"/>
            </w:tcBorders>
            <w:shd w:val="clear" w:color="auto" w:fill="E7F3F4"/>
            <w:vAlign w:val="bottom"/>
          </w:tcPr>
          <w:p w14:paraId="28F07504" w14:textId="73EFD975" w:rsidR="00300060" w:rsidRPr="00D544BD" w:rsidRDefault="00DD4B9E" w:rsidP="00300060">
            <w:pPr>
              <w:jc w:val="center"/>
              <w:rPr>
                <w:rFonts w:ascii="Calibri" w:hAnsi="Calibri" w:cs="Calibri"/>
                <w:color w:val="000000"/>
                <w:sz w:val="18"/>
                <w:szCs w:val="18"/>
              </w:rPr>
            </w:pPr>
            <w:r>
              <w:rPr>
                <w:rFonts w:ascii="Calibri" w:hAnsi="Calibri" w:cs="Calibri"/>
                <w:color w:val="000000"/>
                <w:sz w:val="18"/>
                <w:szCs w:val="18"/>
              </w:rPr>
              <w:t>0.06</w:t>
            </w:r>
          </w:p>
        </w:tc>
      </w:tr>
      <w:tr w:rsidR="00300060" w:rsidRPr="00D544BD" w14:paraId="309D0324" w14:textId="2BC5E90E" w:rsidTr="00300060">
        <w:trPr>
          <w:trHeight w:val="433"/>
        </w:trPr>
        <w:tc>
          <w:tcPr>
            <w:tcW w:w="981"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7DE14553" w14:textId="49917D5F" w:rsidR="00300060" w:rsidRPr="00D544BD" w:rsidRDefault="00300060" w:rsidP="00300060">
            <w:pPr>
              <w:rPr>
                <w:rFonts w:asciiTheme="majorHAnsi" w:hAnsiTheme="majorHAnsi" w:cstheme="majorHAnsi"/>
                <w:b/>
                <w:sz w:val="18"/>
                <w:szCs w:val="18"/>
              </w:rPr>
            </w:pPr>
            <w:r w:rsidRPr="00D544BD">
              <w:rPr>
                <w:rFonts w:asciiTheme="majorHAnsi" w:hAnsiTheme="majorHAnsi" w:cstheme="majorHAnsi"/>
                <w:b/>
                <w:bCs/>
                <w:sz w:val="18"/>
                <w:szCs w:val="18"/>
              </w:rPr>
              <w:t xml:space="preserve">AWG </w:t>
            </w:r>
            <w:r w:rsidR="007425A2">
              <w:rPr>
                <w:rFonts w:asciiTheme="majorHAnsi" w:hAnsiTheme="majorHAnsi" w:cstheme="majorHAnsi"/>
                <w:b/>
                <w:bCs/>
                <w:sz w:val="18"/>
                <w:szCs w:val="18"/>
              </w:rPr>
              <w:t>–</w:t>
            </w:r>
            <w:r w:rsidRPr="00D544BD">
              <w:rPr>
                <w:rFonts w:asciiTheme="majorHAnsi" w:hAnsiTheme="majorHAnsi" w:cstheme="majorHAnsi"/>
                <w:b/>
                <w:bCs/>
                <w:sz w:val="18"/>
                <w:szCs w:val="18"/>
              </w:rPr>
              <w:t xml:space="preserve"> Ecoloblue</w:t>
            </w:r>
          </w:p>
        </w:tc>
        <w:tc>
          <w:tcPr>
            <w:tcW w:w="678"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462D74EB" w14:textId="522ACBC5" w:rsidR="00300060" w:rsidRPr="00D544BD" w:rsidRDefault="00300060" w:rsidP="00300060">
            <w:pPr>
              <w:rPr>
                <w:rFonts w:asciiTheme="majorHAnsi" w:hAnsiTheme="majorHAnsi" w:cstheme="majorHAnsi"/>
                <w:sz w:val="18"/>
                <w:szCs w:val="18"/>
              </w:rPr>
            </w:pPr>
            <w:r w:rsidRPr="00D544BD">
              <w:rPr>
                <w:rFonts w:ascii="Calibri" w:hAnsi="Calibri" w:cs="Calibri"/>
                <w:color w:val="000000"/>
                <w:sz w:val="18"/>
                <w:szCs w:val="18"/>
              </w:rPr>
              <w:t>Home/Office</w:t>
            </w:r>
          </w:p>
        </w:tc>
        <w:tc>
          <w:tcPr>
            <w:tcW w:w="57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3CB277C" w14:textId="54A8DDBB" w:rsidR="00300060" w:rsidRPr="00D544BD" w:rsidRDefault="00300060" w:rsidP="00300060">
            <w:pPr>
              <w:ind w:left="88"/>
              <w:jc w:val="center"/>
              <w:rPr>
                <w:rFonts w:asciiTheme="majorHAnsi" w:hAnsiTheme="majorHAnsi" w:cstheme="majorHAnsi"/>
                <w:sz w:val="18"/>
                <w:szCs w:val="18"/>
              </w:rPr>
            </w:pPr>
            <w:r w:rsidRPr="00D544BD">
              <w:rPr>
                <w:rFonts w:ascii="Calibri" w:hAnsi="Calibri" w:cs="Calibri"/>
                <w:color w:val="000000"/>
                <w:sz w:val="18"/>
                <w:szCs w:val="18"/>
              </w:rPr>
              <w:t>799</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4759715" w14:textId="4534D111" w:rsidR="00300060" w:rsidRPr="00D544BD" w:rsidRDefault="00300060" w:rsidP="00300060">
            <w:pPr>
              <w:ind w:left="88"/>
              <w:jc w:val="center"/>
              <w:rPr>
                <w:rFonts w:asciiTheme="majorHAnsi" w:hAnsiTheme="majorHAnsi" w:cstheme="majorHAnsi"/>
                <w:sz w:val="18"/>
                <w:szCs w:val="18"/>
              </w:rPr>
            </w:pPr>
            <w:r>
              <w:rPr>
                <w:rFonts w:asciiTheme="majorHAnsi" w:hAnsiTheme="majorHAnsi" w:cstheme="majorHAnsi"/>
                <w:sz w:val="18"/>
                <w:szCs w:val="18"/>
              </w:rPr>
              <w:t>288</w:t>
            </w:r>
          </w:p>
        </w:tc>
        <w:tc>
          <w:tcPr>
            <w:tcW w:w="62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8EB2746" w14:textId="197BA2DB" w:rsidR="00300060" w:rsidRPr="00D544BD" w:rsidRDefault="00300060" w:rsidP="00300060">
            <w:pPr>
              <w:ind w:left="88"/>
              <w:jc w:val="center"/>
              <w:rPr>
                <w:rFonts w:asciiTheme="majorHAnsi" w:hAnsiTheme="majorHAnsi" w:cstheme="majorHAnsi"/>
                <w:sz w:val="18"/>
                <w:szCs w:val="18"/>
              </w:rPr>
            </w:pPr>
            <w:r w:rsidRPr="00D544BD">
              <w:rPr>
                <w:rFonts w:asciiTheme="majorHAnsi" w:hAnsiTheme="majorHAnsi" w:cstheme="majorHAnsi"/>
                <w:sz w:val="18"/>
                <w:szCs w:val="18"/>
              </w:rPr>
              <w:t>0.3</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04E8258" w14:textId="434DB8C7"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0.03</w:t>
            </w:r>
          </w:p>
        </w:tc>
        <w:tc>
          <w:tcPr>
            <w:tcW w:w="784" w:type="pct"/>
            <w:tcBorders>
              <w:top w:val="single" w:sz="8" w:space="0" w:color="FFFFFF"/>
              <w:left w:val="single" w:sz="8" w:space="0" w:color="FFFFFF"/>
              <w:bottom w:val="single" w:sz="8" w:space="0" w:color="FFFFFF"/>
              <w:right w:val="single" w:sz="8" w:space="0" w:color="FFFFFF"/>
            </w:tcBorders>
            <w:shd w:val="clear" w:color="auto" w:fill="F3F9FA"/>
            <w:vAlign w:val="bottom"/>
          </w:tcPr>
          <w:p w14:paraId="628A8651" w14:textId="34F24825" w:rsidR="00300060" w:rsidRPr="00D544BD" w:rsidRDefault="005B01A4" w:rsidP="00300060">
            <w:pPr>
              <w:jc w:val="center"/>
              <w:rPr>
                <w:rFonts w:ascii="Calibri" w:hAnsi="Calibri" w:cs="Calibri"/>
                <w:color w:val="000000"/>
                <w:sz w:val="18"/>
                <w:szCs w:val="18"/>
              </w:rPr>
            </w:pPr>
            <w:r>
              <w:rPr>
                <w:rFonts w:ascii="Calibri" w:hAnsi="Calibri" w:cs="Calibri"/>
                <w:color w:val="000000"/>
                <w:sz w:val="18"/>
                <w:szCs w:val="18"/>
              </w:rPr>
              <w:t>0.07</w:t>
            </w:r>
          </w:p>
        </w:tc>
      </w:tr>
      <w:tr w:rsidR="00300060" w:rsidRPr="00D544BD" w14:paraId="79B00F6D" w14:textId="774FAF28" w:rsidTr="00300060">
        <w:trPr>
          <w:trHeight w:val="433"/>
        </w:trPr>
        <w:tc>
          <w:tcPr>
            <w:tcW w:w="981"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0CD06533" w14:textId="44560B5B" w:rsidR="00300060" w:rsidRPr="00D544BD" w:rsidRDefault="00300060" w:rsidP="00300060">
            <w:pPr>
              <w:rPr>
                <w:rFonts w:asciiTheme="majorHAnsi" w:hAnsiTheme="majorHAnsi" w:cstheme="majorHAnsi"/>
                <w:b/>
                <w:bCs/>
                <w:sz w:val="18"/>
                <w:szCs w:val="18"/>
              </w:rPr>
            </w:pPr>
            <w:r w:rsidRPr="00D544BD">
              <w:rPr>
                <w:rFonts w:asciiTheme="majorHAnsi" w:hAnsiTheme="majorHAnsi" w:cstheme="majorHAnsi"/>
                <w:b/>
                <w:bCs/>
                <w:sz w:val="18"/>
                <w:szCs w:val="18"/>
              </w:rPr>
              <w:t>Bottled water</w:t>
            </w:r>
          </w:p>
        </w:tc>
        <w:tc>
          <w:tcPr>
            <w:tcW w:w="678"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31C713B8" w14:textId="2A0C61CC" w:rsidR="00300060" w:rsidRPr="00D544BD" w:rsidRDefault="00300060" w:rsidP="00300060">
            <w:pPr>
              <w:rPr>
                <w:rFonts w:asciiTheme="majorHAnsi" w:hAnsiTheme="majorHAnsi" w:cstheme="majorHAnsi"/>
                <w:sz w:val="18"/>
                <w:szCs w:val="18"/>
              </w:rPr>
            </w:pPr>
            <w:r w:rsidRPr="00D544BD">
              <w:rPr>
                <w:rFonts w:ascii="Calibri" w:hAnsi="Calibri" w:cs="Calibri"/>
                <w:color w:val="000000"/>
                <w:sz w:val="18"/>
                <w:szCs w:val="18"/>
              </w:rPr>
              <w:t>Single-serve</w:t>
            </w:r>
            <w:r w:rsidRPr="00300060">
              <w:rPr>
                <w:rFonts w:ascii="Calibri" w:hAnsi="Calibri" w:cs="Calibri"/>
                <w:color w:val="000000"/>
                <w:sz w:val="20"/>
                <w:vertAlign w:val="superscript"/>
              </w:rPr>
              <w:t>†</w:t>
            </w:r>
          </w:p>
        </w:tc>
        <w:tc>
          <w:tcPr>
            <w:tcW w:w="57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D4C4A8B" w14:textId="3B6AAF06" w:rsidR="00300060" w:rsidRPr="00D544BD" w:rsidRDefault="00300060" w:rsidP="00300060">
            <w:pPr>
              <w:ind w:left="88"/>
              <w:jc w:val="center"/>
              <w:rPr>
                <w:rFonts w:asciiTheme="majorHAnsi" w:hAnsiTheme="majorHAnsi" w:cstheme="majorHAnsi"/>
                <w:sz w:val="18"/>
                <w:szCs w:val="18"/>
              </w:rPr>
            </w:pPr>
            <w:r w:rsidRPr="00D544BD">
              <w:rPr>
                <w:rFonts w:ascii="Calibri" w:hAnsi="Calibri" w:cs="Calibri"/>
                <w:color w:val="000000"/>
                <w:sz w:val="18"/>
                <w:szCs w:val="18"/>
              </w:rPr>
              <w:t>4.49</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32D48206" w14:textId="74B39649" w:rsidR="00300060" w:rsidRPr="00D544BD" w:rsidRDefault="00300060" w:rsidP="00300060">
            <w:pPr>
              <w:ind w:left="88"/>
              <w:jc w:val="center"/>
              <w:rPr>
                <w:rFonts w:asciiTheme="majorHAnsi" w:hAnsiTheme="majorHAnsi" w:cstheme="majorHAnsi"/>
                <w:sz w:val="18"/>
                <w:szCs w:val="18"/>
              </w:rPr>
            </w:pPr>
            <w:r w:rsidRPr="00D544BD">
              <w:rPr>
                <w:rFonts w:ascii="Calibri" w:hAnsi="Calibri" w:cs="Calibri"/>
                <w:color w:val="000000"/>
                <w:sz w:val="18"/>
                <w:szCs w:val="18"/>
              </w:rPr>
              <w:t>-</w:t>
            </w:r>
          </w:p>
        </w:tc>
        <w:tc>
          <w:tcPr>
            <w:tcW w:w="62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1D8CFD9E" w14:textId="62B34D8A" w:rsidR="00300060" w:rsidRPr="00D544BD" w:rsidRDefault="00300060" w:rsidP="00300060">
            <w:pPr>
              <w:ind w:left="88"/>
              <w:jc w:val="center"/>
              <w:rPr>
                <w:rFonts w:asciiTheme="majorHAnsi" w:hAnsiTheme="majorHAnsi" w:cstheme="majorHAnsi"/>
                <w:sz w:val="18"/>
                <w:szCs w:val="18"/>
              </w:rPr>
            </w:pPr>
            <w:r w:rsidRPr="00D544BD">
              <w:rPr>
                <w:rFonts w:asciiTheme="majorHAnsi" w:hAnsiTheme="majorHAnsi" w:cstheme="majorHAnsi"/>
                <w:sz w:val="18"/>
                <w:szCs w:val="18"/>
              </w:rPr>
              <w:t>-</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4EA5D48" w14:textId="6B8A1DB2" w:rsidR="00300060" w:rsidRPr="00D544BD" w:rsidRDefault="00300060" w:rsidP="00300060">
            <w:pPr>
              <w:jc w:val="center"/>
              <w:rPr>
                <w:rFonts w:asciiTheme="majorHAnsi" w:hAnsiTheme="majorHAnsi" w:cstheme="majorHAnsi"/>
                <w:sz w:val="18"/>
                <w:szCs w:val="18"/>
              </w:rPr>
            </w:pPr>
          </w:p>
        </w:tc>
        <w:tc>
          <w:tcPr>
            <w:tcW w:w="78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46FF9AA6" w14:textId="5D204C29"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0.3</w:t>
            </w:r>
            <w:r>
              <w:rPr>
                <w:rFonts w:ascii="Calibri" w:hAnsi="Calibri" w:cs="Calibri"/>
                <w:color w:val="000000"/>
                <w:sz w:val="18"/>
                <w:szCs w:val="18"/>
              </w:rPr>
              <w:t>8</w:t>
            </w:r>
            <w:r w:rsidRPr="007E0B27">
              <w:rPr>
                <w:rFonts w:ascii="Calibri" w:hAnsi="Calibri" w:cs="Calibri"/>
                <w:color w:val="000000"/>
                <w:sz w:val="20"/>
                <w:vertAlign w:val="superscript"/>
              </w:rPr>
              <w:t>§</w:t>
            </w:r>
          </w:p>
        </w:tc>
      </w:tr>
      <w:tr w:rsidR="00300060" w:rsidRPr="00D544BD" w14:paraId="169AD886" w14:textId="56DCBBBA" w:rsidTr="00300060">
        <w:trPr>
          <w:trHeight w:val="433"/>
        </w:trPr>
        <w:tc>
          <w:tcPr>
            <w:tcW w:w="981" w:type="pct"/>
            <w:tcBorders>
              <w:top w:val="single" w:sz="8" w:space="0" w:color="FFFFFF"/>
              <w:left w:val="single" w:sz="8" w:space="0" w:color="FFFFFF"/>
              <w:bottom w:val="single" w:sz="8" w:space="0" w:color="FFFFFF"/>
              <w:right w:val="single" w:sz="8" w:space="0" w:color="FFFFFF"/>
            </w:tcBorders>
            <w:shd w:val="clear" w:color="auto" w:fill="BBE0E3"/>
            <w:vAlign w:val="center"/>
          </w:tcPr>
          <w:p w14:paraId="19DB2FD6" w14:textId="7C2015E7" w:rsidR="00300060" w:rsidRPr="00D544BD" w:rsidRDefault="00300060" w:rsidP="00300060">
            <w:pPr>
              <w:rPr>
                <w:rFonts w:asciiTheme="majorHAnsi" w:hAnsiTheme="majorHAnsi" w:cstheme="majorHAnsi"/>
                <w:b/>
                <w:bCs/>
                <w:sz w:val="18"/>
                <w:szCs w:val="18"/>
              </w:rPr>
            </w:pPr>
            <w:r w:rsidRPr="00D544BD">
              <w:rPr>
                <w:rFonts w:asciiTheme="majorHAnsi" w:hAnsiTheme="majorHAnsi" w:cstheme="majorHAnsi"/>
                <w:b/>
                <w:bCs/>
                <w:sz w:val="18"/>
                <w:szCs w:val="18"/>
              </w:rPr>
              <w:t>Bottle water</w:t>
            </w:r>
          </w:p>
        </w:tc>
        <w:tc>
          <w:tcPr>
            <w:tcW w:w="678" w:type="pct"/>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center"/>
          </w:tcPr>
          <w:p w14:paraId="08C6E5B5" w14:textId="7FA41C9B" w:rsidR="00300060" w:rsidRPr="00D544BD" w:rsidRDefault="00300060" w:rsidP="00300060">
            <w:pPr>
              <w:rPr>
                <w:rFonts w:asciiTheme="majorHAnsi" w:hAnsiTheme="majorHAnsi" w:cstheme="majorHAnsi"/>
                <w:sz w:val="18"/>
                <w:szCs w:val="18"/>
              </w:rPr>
            </w:pPr>
            <w:r w:rsidRPr="00D544BD">
              <w:rPr>
                <w:rFonts w:ascii="Calibri" w:hAnsi="Calibri" w:cs="Calibri"/>
                <w:color w:val="000000"/>
                <w:sz w:val="18"/>
                <w:szCs w:val="18"/>
              </w:rPr>
              <w:t>Multi-serve</w:t>
            </w:r>
            <w:r w:rsidR="009F53AA" w:rsidRPr="00300060">
              <w:rPr>
                <w:rFonts w:ascii="Calibri" w:hAnsi="Calibri" w:cs="Calibri"/>
                <w:color w:val="000000"/>
                <w:sz w:val="20"/>
                <w:vertAlign w:val="superscript"/>
              </w:rPr>
              <w:t>†</w:t>
            </w:r>
          </w:p>
        </w:tc>
        <w:tc>
          <w:tcPr>
            <w:tcW w:w="57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16716BC" w14:textId="5C72C1D3" w:rsidR="00300060" w:rsidRPr="00D544BD" w:rsidRDefault="00300060" w:rsidP="00300060">
            <w:pPr>
              <w:ind w:left="88"/>
              <w:jc w:val="center"/>
              <w:rPr>
                <w:rFonts w:asciiTheme="majorHAnsi" w:hAnsiTheme="majorHAnsi" w:cstheme="majorHAnsi"/>
                <w:sz w:val="18"/>
                <w:szCs w:val="18"/>
              </w:rPr>
            </w:pPr>
            <w:r w:rsidRPr="00D544BD">
              <w:rPr>
                <w:rFonts w:ascii="Calibri" w:hAnsi="Calibri" w:cs="Calibri"/>
                <w:color w:val="000000"/>
                <w:sz w:val="18"/>
                <w:szCs w:val="18"/>
              </w:rPr>
              <w:t>7.49</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7AE01D29" w14:textId="0C8337D5" w:rsidR="00300060" w:rsidRPr="00D544BD" w:rsidRDefault="00300060" w:rsidP="00300060">
            <w:pPr>
              <w:ind w:left="88"/>
              <w:jc w:val="center"/>
              <w:rPr>
                <w:rFonts w:asciiTheme="majorHAnsi" w:hAnsiTheme="majorHAnsi" w:cstheme="majorHAnsi"/>
                <w:sz w:val="18"/>
                <w:szCs w:val="18"/>
              </w:rPr>
            </w:pPr>
            <w:r w:rsidRPr="00D544BD">
              <w:rPr>
                <w:rFonts w:ascii="Calibri" w:hAnsi="Calibri" w:cs="Calibri"/>
                <w:color w:val="000000"/>
                <w:sz w:val="18"/>
                <w:szCs w:val="18"/>
              </w:rPr>
              <w:t>6.95</w:t>
            </w:r>
            <w:r w:rsidR="009F53AA" w:rsidRPr="00300060">
              <w:rPr>
                <w:rFonts w:ascii="Calibri" w:hAnsi="Calibri" w:cs="Calibri"/>
                <w:color w:val="000000"/>
                <w:sz w:val="20"/>
                <w:vertAlign w:val="superscript"/>
              </w:rPr>
              <w:t>‡</w:t>
            </w:r>
          </w:p>
        </w:tc>
        <w:tc>
          <w:tcPr>
            <w:tcW w:w="626"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02CB9932" w14:textId="79CB97C2" w:rsidR="00300060" w:rsidRPr="00D544BD" w:rsidRDefault="00300060" w:rsidP="00300060">
            <w:pPr>
              <w:ind w:left="88"/>
              <w:jc w:val="center"/>
              <w:rPr>
                <w:rFonts w:asciiTheme="majorHAnsi" w:hAnsiTheme="majorHAnsi" w:cstheme="majorHAnsi"/>
                <w:sz w:val="18"/>
                <w:szCs w:val="18"/>
              </w:rPr>
            </w:pPr>
            <w:r w:rsidRPr="00D544BD">
              <w:rPr>
                <w:rFonts w:asciiTheme="majorHAnsi" w:hAnsiTheme="majorHAnsi" w:cstheme="majorHAnsi"/>
                <w:sz w:val="18"/>
                <w:szCs w:val="18"/>
              </w:rPr>
              <w:t>-</w:t>
            </w:r>
          </w:p>
        </w:tc>
        <w:tc>
          <w:tcPr>
            <w:tcW w:w="678"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57C0CAD6" w14:textId="2CA217D2" w:rsidR="00300060" w:rsidRPr="00D544BD" w:rsidRDefault="00300060" w:rsidP="00300060">
            <w:pPr>
              <w:jc w:val="center"/>
              <w:rPr>
                <w:rFonts w:asciiTheme="majorHAnsi" w:hAnsiTheme="majorHAnsi" w:cstheme="majorHAnsi"/>
                <w:sz w:val="18"/>
                <w:szCs w:val="18"/>
              </w:rPr>
            </w:pPr>
          </w:p>
        </w:tc>
        <w:tc>
          <w:tcPr>
            <w:tcW w:w="784" w:type="pct"/>
            <w:tcBorders>
              <w:top w:val="single" w:sz="8" w:space="0" w:color="FFFFFF"/>
              <w:left w:val="single" w:sz="8" w:space="0" w:color="FFFFFF"/>
              <w:bottom w:val="single" w:sz="8" w:space="0" w:color="FFFFFF"/>
              <w:right w:val="single" w:sz="8" w:space="0" w:color="FFFFFF"/>
            </w:tcBorders>
            <w:shd w:val="clear" w:color="auto" w:fill="F3F9FA"/>
            <w:vAlign w:val="center"/>
          </w:tcPr>
          <w:p w14:paraId="6D1ABE36" w14:textId="283D33BC" w:rsidR="00300060" w:rsidRPr="00D544BD" w:rsidRDefault="00300060" w:rsidP="00300060">
            <w:pPr>
              <w:jc w:val="center"/>
              <w:rPr>
                <w:rFonts w:asciiTheme="majorHAnsi" w:hAnsiTheme="majorHAnsi" w:cstheme="majorHAnsi"/>
                <w:sz w:val="18"/>
                <w:szCs w:val="18"/>
              </w:rPr>
            </w:pPr>
            <w:r w:rsidRPr="00D544BD">
              <w:rPr>
                <w:rFonts w:ascii="Calibri" w:hAnsi="Calibri" w:cs="Calibri"/>
                <w:color w:val="000000"/>
                <w:sz w:val="18"/>
                <w:szCs w:val="18"/>
              </w:rPr>
              <w:t>0.49</w:t>
            </w:r>
          </w:p>
        </w:tc>
      </w:tr>
    </w:tbl>
    <w:p w14:paraId="3553E443" w14:textId="1FFEA17A" w:rsidR="008216C6" w:rsidRPr="003A42B9" w:rsidRDefault="008216C6" w:rsidP="003A42B9">
      <w:pPr>
        <w:rPr>
          <w:rFonts w:ascii="Calibri" w:hAnsi="Calibri" w:cs="Calibri"/>
          <w:vertAlign w:val="superscript"/>
        </w:rPr>
      </w:pPr>
      <w:r w:rsidRPr="003A42B9">
        <w:rPr>
          <w:rFonts w:asciiTheme="majorHAnsi" w:hAnsiTheme="majorHAnsi"/>
          <w:color w:val="000000"/>
          <w:sz w:val="18"/>
          <w:szCs w:val="24"/>
        </w:rPr>
        <w:t>*U.S. average price of electricity for commercial use in June 2018 was 10.82 cents</w:t>
      </w:r>
      <w:r w:rsidR="00D8567E" w:rsidRPr="003A42B9">
        <w:rPr>
          <w:rFonts w:asciiTheme="majorHAnsi" w:hAnsiTheme="majorHAnsi"/>
          <w:color w:val="000000"/>
          <w:sz w:val="18"/>
          <w:szCs w:val="24"/>
        </w:rPr>
        <w:t xml:space="preserve"> per kWh</w:t>
      </w:r>
      <w:r w:rsidRPr="003A42B9">
        <w:rPr>
          <w:rFonts w:asciiTheme="majorHAnsi" w:hAnsiTheme="majorHAnsi"/>
          <w:color w:val="000000"/>
          <w:sz w:val="18"/>
          <w:szCs w:val="24"/>
        </w:rPr>
        <w:t xml:space="preserve"> (EIA, 2018)</w:t>
      </w:r>
    </w:p>
    <w:p w14:paraId="3B7B575D" w14:textId="2F7A46C1" w:rsidR="00CB27E1" w:rsidRDefault="00CB27E1" w:rsidP="003A42B9">
      <w:pPr>
        <w:pStyle w:val="Tablefootnotes"/>
        <w:spacing w:before="0"/>
      </w:pPr>
      <w:r w:rsidRPr="00CB27E1">
        <w:rPr>
          <w:rFonts w:ascii="Calibri" w:hAnsi="Calibri" w:cs="Calibri"/>
          <w:vertAlign w:val="superscript"/>
        </w:rPr>
        <w:t>§</w:t>
      </w:r>
      <w:r w:rsidRPr="00CB27E1">
        <w:t>Includes water transportation cost based on the U.S. government standard mileage reimbursement rate (</w:t>
      </w:r>
      <w:r>
        <w:t>I</w:t>
      </w:r>
      <w:r w:rsidRPr="00CB27E1">
        <w:t>RS, 2018)</w:t>
      </w:r>
    </w:p>
    <w:p w14:paraId="6E79DB5B" w14:textId="6CECAB9E" w:rsidR="009F53AA" w:rsidRPr="009F53AA" w:rsidRDefault="00300060" w:rsidP="003A42B9">
      <w:pPr>
        <w:rPr>
          <w:rFonts w:asciiTheme="majorHAnsi" w:hAnsiTheme="majorHAnsi"/>
          <w:color w:val="000000"/>
          <w:sz w:val="18"/>
          <w:szCs w:val="24"/>
        </w:rPr>
      </w:pPr>
      <w:r w:rsidRPr="009F53AA">
        <w:rPr>
          <w:rFonts w:asciiTheme="majorHAnsi" w:hAnsiTheme="majorHAnsi"/>
          <w:color w:val="000000"/>
          <w:sz w:val="18"/>
          <w:szCs w:val="24"/>
        </w:rPr>
        <w:t>†</w:t>
      </w:r>
      <w:r w:rsidR="002A6E83">
        <w:rPr>
          <w:rFonts w:asciiTheme="majorHAnsi" w:hAnsiTheme="majorHAnsi"/>
          <w:color w:val="000000"/>
          <w:sz w:val="18"/>
          <w:szCs w:val="24"/>
        </w:rPr>
        <w:t>P</w:t>
      </w:r>
      <w:r w:rsidRPr="009F53AA">
        <w:rPr>
          <w:rFonts w:asciiTheme="majorHAnsi" w:hAnsiTheme="majorHAnsi"/>
          <w:color w:val="000000"/>
          <w:sz w:val="18"/>
          <w:szCs w:val="24"/>
        </w:rPr>
        <w:t xml:space="preserve">rice of </w:t>
      </w:r>
      <w:r w:rsidR="009B2365">
        <w:rPr>
          <w:rFonts w:asciiTheme="majorHAnsi" w:hAnsiTheme="majorHAnsi"/>
          <w:color w:val="000000"/>
          <w:sz w:val="18"/>
          <w:szCs w:val="24"/>
        </w:rPr>
        <w:t>single-serve</w:t>
      </w:r>
      <w:r w:rsidRPr="009F53AA">
        <w:rPr>
          <w:rFonts w:asciiTheme="majorHAnsi" w:hAnsiTheme="majorHAnsi"/>
          <w:color w:val="000000"/>
          <w:sz w:val="18"/>
          <w:szCs w:val="24"/>
        </w:rPr>
        <w:t xml:space="preserve"> bottles is calculated for a 24 pack/12L and price of multi-serve jug is for 5gallons/18.9L</w:t>
      </w:r>
    </w:p>
    <w:p w14:paraId="783545DB" w14:textId="040B9CB0" w:rsidR="00300060" w:rsidRPr="009F53AA" w:rsidRDefault="00300060" w:rsidP="003A42B9">
      <w:pPr>
        <w:rPr>
          <w:rFonts w:asciiTheme="majorHAnsi" w:hAnsiTheme="majorHAnsi"/>
          <w:color w:val="000000"/>
          <w:sz w:val="18"/>
          <w:szCs w:val="24"/>
        </w:rPr>
      </w:pPr>
      <w:r w:rsidRPr="009F53AA">
        <w:rPr>
          <w:rFonts w:asciiTheme="majorHAnsi" w:hAnsiTheme="majorHAnsi"/>
          <w:color w:val="000000"/>
          <w:sz w:val="18"/>
          <w:szCs w:val="24"/>
        </w:rPr>
        <w:t>‡</w:t>
      </w:r>
      <w:r w:rsidR="009F53AA" w:rsidRPr="009F53AA">
        <w:rPr>
          <w:rFonts w:asciiTheme="majorHAnsi" w:hAnsiTheme="majorHAnsi"/>
          <w:color w:val="000000"/>
          <w:sz w:val="18"/>
          <w:szCs w:val="24"/>
        </w:rPr>
        <w:t xml:space="preserve"> </w:t>
      </w:r>
      <w:r w:rsidR="002A6E83">
        <w:rPr>
          <w:rFonts w:asciiTheme="majorHAnsi" w:hAnsiTheme="majorHAnsi"/>
          <w:color w:val="000000"/>
          <w:sz w:val="18"/>
          <w:szCs w:val="24"/>
        </w:rPr>
        <w:t>M</w:t>
      </w:r>
      <w:r w:rsidRPr="009F53AA">
        <w:rPr>
          <w:rFonts w:asciiTheme="majorHAnsi" w:hAnsiTheme="majorHAnsi"/>
          <w:color w:val="000000"/>
          <w:sz w:val="18"/>
          <w:szCs w:val="24"/>
        </w:rPr>
        <w:t>onthly delivery cost</w:t>
      </w:r>
      <w:r w:rsidR="009F53AA" w:rsidRPr="009F53AA">
        <w:rPr>
          <w:rFonts w:asciiTheme="majorHAnsi" w:hAnsiTheme="majorHAnsi"/>
          <w:color w:val="000000"/>
          <w:sz w:val="18"/>
          <w:szCs w:val="24"/>
        </w:rPr>
        <w:t xml:space="preserve"> which is a flat rate, we </w:t>
      </w:r>
      <w:r w:rsidRPr="009F53AA">
        <w:rPr>
          <w:rFonts w:asciiTheme="majorHAnsi" w:hAnsiTheme="majorHAnsi"/>
          <w:color w:val="000000"/>
          <w:sz w:val="18"/>
          <w:szCs w:val="24"/>
        </w:rPr>
        <w:t>assumed monthly consumption of 4 jugs</w:t>
      </w:r>
    </w:p>
    <w:p w14:paraId="00F938FA" w14:textId="77777777" w:rsidR="00300060" w:rsidRPr="00CB27E1" w:rsidRDefault="00300060" w:rsidP="00FC32AF">
      <w:pPr>
        <w:pStyle w:val="Tablefootnotes"/>
        <w:rPr>
          <w:vertAlign w:val="superscript"/>
        </w:rPr>
      </w:pPr>
    </w:p>
    <w:p w14:paraId="124E2FD8" w14:textId="77777777" w:rsidR="00214581" w:rsidRDefault="00214581" w:rsidP="008216C6">
      <w:pPr>
        <w:tabs>
          <w:tab w:val="clear" w:pos="720"/>
          <w:tab w:val="left" w:pos="1358"/>
        </w:tabs>
      </w:pPr>
    </w:p>
    <w:p w14:paraId="1947D295" w14:textId="77777777" w:rsidR="00FC32AF" w:rsidRDefault="00FC32AF" w:rsidP="008216C6">
      <w:pPr>
        <w:tabs>
          <w:tab w:val="clear" w:pos="720"/>
          <w:tab w:val="left" w:pos="1358"/>
        </w:tabs>
      </w:pPr>
    </w:p>
    <w:p w14:paraId="49B53974" w14:textId="694BBABD" w:rsidR="00FC32AF" w:rsidRPr="008216C6" w:rsidRDefault="00FC32AF" w:rsidP="008216C6">
      <w:pPr>
        <w:tabs>
          <w:tab w:val="clear" w:pos="720"/>
          <w:tab w:val="left" w:pos="1358"/>
        </w:tabs>
        <w:sectPr w:rsidR="00FC32AF" w:rsidRPr="008216C6" w:rsidSect="005F12CD">
          <w:footerReference w:type="default" r:id="rId45"/>
          <w:pgSz w:w="12240" w:h="15840" w:code="1"/>
          <w:pgMar w:top="1440" w:right="1440" w:bottom="1440" w:left="1440" w:header="720" w:footer="720" w:gutter="0"/>
          <w:pgNumType w:start="1" w:chapStyle="1"/>
          <w:cols w:space="720"/>
          <w:docGrid w:linePitch="360"/>
        </w:sectPr>
      </w:pPr>
    </w:p>
    <w:p w14:paraId="722D3C30" w14:textId="52A94EEC" w:rsidR="000C62D5" w:rsidRDefault="000C62D5" w:rsidP="000C62D5">
      <w:pPr>
        <w:pStyle w:val="Heading1"/>
      </w:pPr>
      <w:bookmarkStart w:id="343" w:name="_Toc525246221"/>
      <w:bookmarkStart w:id="344" w:name="_Toc533009179"/>
      <w:r>
        <w:lastRenderedPageBreak/>
        <w:t>Conclusions</w:t>
      </w:r>
      <w:r w:rsidR="00F10B50">
        <w:t xml:space="preserve"> and </w:t>
      </w:r>
      <w:bookmarkEnd w:id="343"/>
      <w:r w:rsidR="000F79B9">
        <w:t>Next Steps</w:t>
      </w:r>
      <w:bookmarkEnd w:id="344"/>
    </w:p>
    <w:p w14:paraId="777EEE08" w14:textId="6A246ECF" w:rsidR="002F1D1C" w:rsidRDefault="00455D02" w:rsidP="00FC32AF">
      <w:pPr>
        <w:pStyle w:val="BodyText"/>
      </w:pPr>
      <w:r>
        <w:t>This section presents some conclusions from the study for bottled water systems in comparison with the atmospheric water generators as two emergency response options for potable drinking water.</w:t>
      </w:r>
      <w:r w:rsidR="00F55A8A">
        <w:t xml:space="preserve"> </w:t>
      </w:r>
      <w:r w:rsidR="00044880">
        <w:t xml:space="preserve">Generally, the </w:t>
      </w:r>
      <w:r w:rsidR="007425A2">
        <w:t xml:space="preserve">environmental impact </w:t>
      </w:r>
      <w:r w:rsidR="00044880">
        <w:t>results show th</w:t>
      </w:r>
      <w:r w:rsidR="00E238B7">
        <w:t>a</w:t>
      </w:r>
      <w:r w:rsidR="00807813">
        <w:t>t bottled water</w:t>
      </w:r>
      <w:r w:rsidR="00FF6EA1">
        <w:t xml:space="preserve">, specifically </w:t>
      </w:r>
      <w:r w:rsidR="00596A45">
        <w:t xml:space="preserve">reusable 5-gallon jugs, have lower environmental impacts as </w:t>
      </w:r>
      <w:r w:rsidR="00147735">
        <w:t>source</w:t>
      </w:r>
      <w:r w:rsidR="00807813">
        <w:t xml:space="preserve"> </w:t>
      </w:r>
      <w:r w:rsidR="00147735">
        <w:t>of</w:t>
      </w:r>
      <w:r w:rsidR="00807813">
        <w:t xml:space="preserve"> potable water </w:t>
      </w:r>
      <w:r w:rsidR="00147735">
        <w:t>in emergency situations</w:t>
      </w:r>
      <w:r w:rsidR="00596A45">
        <w:t xml:space="preserve"> compared to AWGs</w:t>
      </w:r>
      <w:r w:rsidR="00807813">
        <w:t xml:space="preserve">. </w:t>
      </w:r>
      <w:r w:rsidR="007425A2">
        <w:t xml:space="preserve">Conversely, AWG costs may be lower than bottled water when considering costs over the entire lifetime of the unit. </w:t>
      </w:r>
      <w:r w:rsidR="00153C4A">
        <w:t>Some of the key results are listed below:</w:t>
      </w:r>
    </w:p>
    <w:p w14:paraId="16CBC480" w14:textId="1B2CEA14" w:rsidR="007D3D51" w:rsidRDefault="007D3D51" w:rsidP="00FC32AF">
      <w:pPr>
        <w:pStyle w:val="ListBulletSingle"/>
      </w:pPr>
      <w:r>
        <w:t xml:space="preserve">The </w:t>
      </w:r>
      <w:r w:rsidR="00596A45">
        <w:t xml:space="preserve">energy requirements for </w:t>
      </w:r>
      <w:r>
        <w:t>operation of AWGs dominate life cycle impacts.</w:t>
      </w:r>
    </w:p>
    <w:p w14:paraId="251CC6CD" w14:textId="54C9E8EA" w:rsidR="00596A45" w:rsidRDefault="00596A45" w:rsidP="00596A45">
      <w:pPr>
        <w:pStyle w:val="BodyText"/>
        <w:numPr>
          <w:ilvl w:val="1"/>
          <w:numId w:val="25"/>
        </w:numPr>
        <w:spacing w:after="0"/>
      </w:pPr>
      <w:r>
        <w:t>Notable reductions in AWG impacts are achievable through utilization of low impact electrical grids.</w:t>
      </w:r>
    </w:p>
    <w:p w14:paraId="60F94D98" w14:textId="72DD7216" w:rsidR="00596A45" w:rsidRDefault="00596A45" w:rsidP="00596A45">
      <w:pPr>
        <w:pStyle w:val="BodyText"/>
        <w:numPr>
          <w:ilvl w:val="1"/>
          <w:numId w:val="25"/>
        </w:numPr>
        <w:spacing w:after="0"/>
      </w:pPr>
      <w:r>
        <w:t xml:space="preserve">This study did not model a fully renewable electrical option. This could be explored to reduce AWG </w:t>
      </w:r>
      <w:r w:rsidR="006C2F51">
        <w:t xml:space="preserve">environmental </w:t>
      </w:r>
      <w:r>
        <w:t>impacts.</w:t>
      </w:r>
    </w:p>
    <w:p w14:paraId="5551C569" w14:textId="7CE521B1" w:rsidR="00596A45" w:rsidRDefault="007D3D51" w:rsidP="00FC32AF">
      <w:pPr>
        <w:pStyle w:val="ListBulletSingle"/>
      </w:pPr>
      <w:r>
        <w:t xml:space="preserve">Raw material production and conversion </w:t>
      </w:r>
      <w:r w:rsidR="00596A45">
        <w:t xml:space="preserve">stages </w:t>
      </w:r>
      <w:r>
        <w:t xml:space="preserve">dominate life cycle impacts for the </w:t>
      </w:r>
      <w:r w:rsidR="009B2365">
        <w:t>single-serve</w:t>
      </w:r>
      <w:r>
        <w:t xml:space="preserve"> bottle system.</w:t>
      </w:r>
      <w:r w:rsidR="00596A45">
        <w:t xml:space="preserve"> </w:t>
      </w:r>
    </w:p>
    <w:p w14:paraId="20BA8FAC" w14:textId="32F115C1" w:rsidR="007D3D51" w:rsidRDefault="00596A45" w:rsidP="001A65E5">
      <w:pPr>
        <w:pStyle w:val="ListBullet2"/>
        <w:numPr>
          <w:ilvl w:val="0"/>
          <w:numId w:val="38"/>
        </w:numPr>
        <w:ind w:left="1530" w:hanging="450"/>
      </w:pPr>
      <w:r>
        <w:t>Use of a lightweight PET bottle with recycled content improves the overall performance of these single-serve systems.</w:t>
      </w:r>
    </w:p>
    <w:p w14:paraId="65DC5DCF" w14:textId="0560F739" w:rsidR="00596A45" w:rsidRDefault="00596A45" w:rsidP="001A65E5">
      <w:pPr>
        <w:pStyle w:val="ListBullet2"/>
        <w:numPr>
          <w:ilvl w:val="0"/>
          <w:numId w:val="38"/>
        </w:numPr>
        <w:ind w:left="1530" w:hanging="450"/>
      </w:pPr>
      <w:r>
        <w:t>Lightweighting bottles reduces impacts across all life cycle stages including raw material production, conversion</w:t>
      </w:r>
      <w:r w:rsidR="001A65E5">
        <w:t>,</w:t>
      </w:r>
      <w:r>
        <w:t xml:space="preserve"> transport, and disposal at end-of-life.</w:t>
      </w:r>
    </w:p>
    <w:p w14:paraId="64254495" w14:textId="62C107EF" w:rsidR="00596A45" w:rsidRDefault="00596A45" w:rsidP="001A65E5">
      <w:pPr>
        <w:pStyle w:val="ListBullet2"/>
        <w:numPr>
          <w:ilvl w:val="0"/>
          <w:numId w:val="38"/>
        </w:numPr>
        <w:ind w:left="1530" w:hanging="450"/>
      </w:pPr>
      <w:r>
        <w:t xml:space="preserve">This study only considered truck transport of the </w:t>
      </w:r>
      <w:r w:rsidR="009B2365">
        <w:t>single-serve</w:t>
      </w:r>
      <w:r>
        <w:t xml:space="preserve"> bottles (100 mi from filler to use point). Transport could have a higher impact if bottles are required to be sent by a different mode of transport, such as a plane, to emergency response locations.</w:t>
      </w:r>
    </w:p>
    <w:p w14:paraId="210704FC" w14:textId="77EB8A37" w:rsidR="007D3D51" w:rsidRDefault="00596A45" w:rsidP="00FC32AF">
      <w:pPr>
        <w:pStyle w:val="ListBulletSingle"/>
      </w:pPr>
      <w:r>
        <w:t>T</w:t>
      </w:r>
      <w:r w:rsidR="007D3D51">
        <w:t xml:space="preserve">ransportation of bottle to and from the user is significant across several impact categories for the </w:t>
      </w:r>
      <w:r>
        <w:t>HOD jug</w:t>
      </w:r>
      <w:r w:rsidR="007D3D51">
        <w:t xml:space="preserve"> system.</w:t>
      </w:r>
      <w:r>
        <w:t xml:space="preserve"> The HOD jug system is also sensitive to the washing method used for the water delivery glass.</w:t>
      </w:r>
    </w:p>
    <w:p w14:paraId="22303711" w14:textId="3DFB0591" w:rsidR="007D3D51" w:rsidRDefault="005E548B" w:rsidP="00FC32AF">
      <w:pPr>
        <w:pStyle w:val="ListBulletSingle"/>
      </w:pPr>
      <w:r>
        <w:t xml:space="preserve">The cost per liter of water from the AWG system is lower compared to the bottled water system </w:t>
      </w:r>
      <w:r w:rsidR="00703D94">
        <w:t>as</w:t>
      </w:r>
      <w:r>
        <w:t xml:space="preserve"> the costs have been calculated over the lifetime of the AWG units.</w:t>
      </w:r>
    </w:p>
    <w:p w14:paraId="62116597" w14:textId="02D26A44" w:rsidR="000F79B9" w:rsidRDefault="000F79B9" w:rsidP="00FC32AF">
      <w:pPr>
        <w:pStyle w:val="ListBulletSingle"/>
      </w:pPr>
      <w:r>
        <w:t xml:space="preserve">Addition of short-term weather-related emergency situations such as drought, tornados and hurricanes </w:t>
      </w:r>
      <w:r w:rsidR="007E2009">
        <w:t>may</w:t>
      </w:r>
      <w:r>
        <w:t xml:space="preserve"> be considered</w:t>
      </w:r>
      <w:r w:rsidR="001B2498">
        <w:t xml:space="preserve"> in future project steps</w:t>
      </w:r>
      <w:r>
        <w:t>.</w:t>
      </w:r>
    </w:p>
    <w:p w14:paraId="5042B245" w14:textId="0061C3FE" w:rsidR="000F79B9" w:rsidRDefault="000F79B9" w:rsidP="00FC32AF">
      <w:pPr>
        <w:pStyle w:val="ListBulletSingle"/>
      </w:pPr>
      <w:r>
        <w:t>AWG a</w:t>
      </w:r>
      <w:r w:rsidRPr="000F79B9">
        <w:t>lternative</w:t>
      </w:r>
      <w:r>
        <w:t>s</w:t>
      </w:r>
      <w:r w:rsidRPr="000F79B9">
        <w:t xml:space="preserve"> </w:t>
      </w:r>
      <w:r>
        <w:t xml:space="preserve">with </w:t>
      </w:r>
      <w:r w:rsidRPr="000F79B9">
        <w:t xml:space="preserve">connectivity </w:t>
      </w:r>
      <w:r>
        <w:t xml:space="preserve">to off grid options such as </w:t>
      </w:r>
      <w:r w:rsidRPr="000F79B9">
        <w:t>solar or wind power sources</w:t>
      </w:r>
      <w:r>
        <w:t xml:space="preserve"> </w:t>
      </w:r>
      <w:r w:rsidR="007E2009">
        <w:t>may</w:t>
      </w:r>
      <w:r>
        <w:t xml:space="preserve"> be studied and compared with bottled water systems</w:t>
      </w:r>
      <w:r w:rsidR="001B2498">
        <w:t xml:space="preserve"> in future project steps</w:t>
      </w:r>
      <w:r>
        <w:t>.</w:t>
      </w:r>
    </w:p>
    <w:p w14:paraId="750174F7" w14:textId="76D7607B" w:rsidR="00626F95" w:rsidRDefault="00626F95" w:rsidP="00626F95">
      <w:pPr>
        <w:pStyle w:val="ListBulletSingle"/>
      </w:pPr>
      <w:r>
        <w:t>Use of a</w:t>
      </w:r>
      <w:r w:rsidRPr="000F79B9">
        <w:t xml:space="preserve">viation </w:t>
      </w:r>
      <w:r>
        <w:t>to provide</w:t>
      </w:r>
      <w:r w:rsidRPr="000F79B9">
        <w:t xml:space="preserve"> bottled water </w:t>
      </w:r>
      <w:r>
        <w:t>in remote and inaccessible locations may be added as a scenario</w:t>
      </w:r>
      <w:r w:rsidR="001B2498">
        <w:t xml:space="preserve"> in future analyses</w:t>
      </w:r>
      <w:r>
        <w:t>.</w:t>
      </w:r>
    </w:p>
    <w:p w14:paraId="5EA50E5C" w14:textId="77777777" w:rsidR="00E30771" w:rsidRDefault="00E30771" w:rsidP="000C62D5"/>
    <w:p w14:paraId="0F954E89" w14:textId="03C60471" w:rsidR="00626F95" w:rsidRDefault="00626F95" w:rsidP="000C62D5">
      <w:pPr>
        <w:sectPr w:rsidR="00626F95" w:rsidSect="003623CF">
          <w:headerReference w:type="default" r:id="rId46"/>
          <w:footerReference w:type="default" r:id="rId47"/>
          <w:pgSz w:w="12240" w:h="15840" w:code="1"/>
          <w:pgMar w:top="1440" w:right="1440" w:bottom="1440" w:left="1440" w:header="720" w:footer="720" w:gutter="0"/>
          <w:pgNumType w:start="1" w:chapStyle="1"/>
          <w:cols w:space="720"/>
          <w:docGrid w:linePitch="326"/>
        </w:sectPr>
      </w:pPr>
    </w:p>
    <w:p w14:paraId="76936D3B" w14:textId="47974C6E" w:rsidR="003D3F48" w:rsidRDefault="00196F58" w:rsidP="00FD1534">
      <w:pPr>
        <w:pStyle w:val="Heading1"/>
      </w:pPr>
      <w:bookmarkStart w:id="345" w:name="_Toc525246222"/>
      <w:bookmarkStart w:id="346" w:name="_Toc533009180"/>
      <w:r w:rsidRPr="00196F58">
        <w:lastRenderedPageBreak/>
        <w:t>References</w:t>
      </w:r>
      <w:bookmarkEnd w:id="345"/>
      <w:bookmarkEnd w:id="346"/>
    </w:p>
    <w:p w14:paraId="30E4F397" w14:textId="61A0DB4A" w:rsidR="00C5367F" w:rsidRPr="008018FC" w:rsidRDefault="00C5367F" w:rsidP="00FC32AF">
      <w:pPr>
        <w:pStyle w:val="References"/>
      </w:pPr>
      <w:bookmarkStart w:id="347" w:name="baep-author-id4"/>
      <w:r w:rsidRPr="008018FC">
        <w:t xml:space="preserve">American Chemistry Council (ACC). (2011a). Cradle-to-Gate LCI of Nine Plastic Resins and Two Polyurethane Precursors. Franklin Associates, A Division of ERG. </w:t>
      </w:r>
      <w:hyperlink r:id="rId48" w:history="1">
        <w:r w:rsidRPr="00A42E88">
          <w:rPr>
            <w:rStyle w:val="Hyperlink"/>
          </w:rPr>
          <w:t>http://plastics.americanchemistry.com/LifeCycle-Inventory-of-9-Plastics-Resins-and-4-Polyurethane-Precursors-Rpt-Only</w:t>
        </w:r>
      </w:hyperlink>
    </w:p>
    <w:p w14:paraId="7156B218" w14:textId="73098890" w:rsidR="00C5367F" w:rsidRDefault="00C5367F" w:rsidP="00FC32AF">
      <w:pPr>
        <w:pStyle w:val="References"/>
      </w:pPr>
      <w:r w:rsidRPr="008018FC">
        <w:t xml:space="preserve">ACC. (2011b). Life Cycle Inventory of Plastic Fabrication Processes: Injection Molding and Thermoforming. Franklin Associates, A Division of ERG. </w:t>
      </w:r>
      <w:hyperlink r:id="rId49" w:history="1">
        <w:r w:rsidR="00BE2B4A" w:rsidRPr="007C2E91">
          <w:rPr>
            <w:rStyle w:val="Hyperlink"/>
          </w:rPr>
          <w:t>https://plastics.americanchemistry.com/Education-Resources/Publications/LCI-of-Plastic-Fabrication-Processes-Injection-Molding-and-Thermoforming.pdf</w:t>
        </w:r>
      </w:hyperlink>
      <w:r w:rsidRPr="008018FC">
        <w:t>.</w:t>
      </w:r>
    </w:p>
    <w:p w14:paraId="4226CC6A" w14:textId="4FC8DE9E" w:rsidR="00BE2B4A" w:rsidRPr="00BE2B4A" w:rsidRDefault="00BE2B4A" w:rsidP="00FC32AF">
      <w:pPr>
        <w:pStyle w:val="References"/>
      </w:pPr>
      <w:r>
        <w:t xml:space="preserve">Baja, T. </w:t>
      </w:r>
      <w:r w:rsidRPr="00BE2B4A">
        <w:t>Delivery of water, food and baby products</w:t>
      </w:r>
      <w:r>
        <w:t xml:space="preserve">. Federal Emergency Management Agency (FEMA). October 8, 2017. </w:t>
      </w:r>
      <w:hyperlink r:id="rId50" w:history="1">
        <w:r w:rsidRPr="00A42E88">
          <w:rPr>
            <w:rStyle w:val="Hyperlink"/>
          </w:rPr>
          <w:t>https://www.fema.gov/media-library/assets/images/146329</w:t>
        </w:r>
      </w:hyperlink>
    </w:p>
    <w:p w14:paraId="32A7F077" w14:textId="68113939" w:rsidR="00C5367F" w:rsidRDefault="00C5367F" w:rsidP="00FC32AF">
      <w:pPr>
        <w:pStyle w:val="References"/>
      </w:pPr>
      <w:r w:rsidRPr="004E3179">
        <w:t>Bare, J. C.</w:t>
      </w:r>
      <w:r>
        <w:t>,</w:t>
      </w:r>
      <w:r w:rsidRPr="004E3179">
        <w:t xml:space="preserve"> Norris, G. A.</w:t>
      </w:r>
      <w:r>
        <w:t>,</w:t>
      </w:r>
      <w:r w:rsidRPr="004E3179">
        <w:t xml:space="preserve"> Pennington, D. W.</w:t>
      </w:r>
      <w:r>
        <w:t>,</w:t>
      </w:r>
      <w:r w:rsidRPr="004E3179">
        <w:t xml:space="preserve"> McKone, T.</w:t>
      </w:r>
      <w:r>
        <w:t xml:space="preserve"> (2003). </w:t>
      </w:r>
      <w:hyperlink r:id="rId51" w:history="1">
        <w:r w:rsidRPr="004E3179">
          <w:t>TRACI – The Tool for the Reduction and Assessment of Chemical and Other Environmental Impacts</w:t>
        </w:r>
      </w:hyperlink>
      <w:r w:rsidRPr="004E3179">
        <w:t>. Journal of Industrial Ecology, 6, (3), 49-78.</w:t>
      </w:r>
    </w:p>
    <w:p w14:paraId="550F6926" w14:textId="77777777" w:rsidR="00C5367F" w:rsidRDefault="00C5367F" w:rsidP="00FC32AF">
      <w:pPr>
        <w:pStyle w:val="References"/>
      </w:pPr>
      <w:r w:rsidRPr="00045CD1">
        <w:t>Bergmair, D., Metz, S. J., de Lange, H. C., Steenhoven, A. A. (2014). System analysis of membrane facilitated water generation from air humidity. Desalination 339, 26–33</w:t>
      </w:r>
    </w:p>
    <w:p w14:paraId="3597D3C8" w14:textId="689924D3" w:rsidR="00C5367F" w:rsidRDefault="00C5367F" w:rsidP="00FC32AF">
      <w:pPr>
        <w:pStyle w:val="References"/>
      </w:pPr>
      <w:r w:rsidRPr="006F5493">
        <w:t>Cashman, S., Gaglione, A., Mosley, J., Weiss, L., Ashbolt, N., Hawkins, T., Cashdollar, J., Xue, X., Ma, C., and Arden, S. (2014). Environmental and cost life cycle assessment of disinfection options for municipal drinking water treatment. U.S. Environmental Protection Agency, Washington, DC, EPA/600/R-14/376.</w:t>
      </w:r>
    </w:p>
    <w:p w14:paraId="59399EE0" w14:textId="77777777" w:rsidR="002E1D5D" w:rsidRDefault="002E1D5D" w:rsidP="00FC32AF">
      <w:pPr>
        <w:pStyle w:val="References"/>
      </w:pPr>
      <w:r w:rsidRPr="006F5493">
        <w:t>Fr</w:t>
      </w:r>
      <w:r w:rsidRPr="006F5493">
        <w:rPr>
          <w:b/>
        </w:rPr>
        <w:t>a</w:t>
      </w:r>
      <w:r w:rsidRPr="006F5493">
        <w:t>nklin Associates. (2011). Life Cycle Inventory of 100% Postconsumer HDPE and PET Recycled Resin from Postconsumer Containers and Packaging.</w:t>
      </w:r>
    </w:p>
    <w:p w14:paraId="6072D18D" w14:textId="639D00D2" w:rsidR="002E1D5D" w:rsidRPr="006F5493" w:rsidRDefault="002E1D5D" w:rsidP="00FC32AF">
      <w:pPr>
        <w:pStyle w:val="References"/>
      </w:pPr>
      <w:r>
        <w:t>Frischknecht R., Jungbluth N., Althaus H.-J., Bauer C., Doka G., Dones R., Hischier R., Hellweg S., Humbert S., Köllner T., Loerincik Y., Margni M. and Nemecek T. (2007) Implementation of Life Cycle Impact Assessment Methods. ecoinvent report No. 3, v2.0. Swiss Centre for Life Cycle Inventories, Dübendorf, 2007.</w:t>
      </w:r>
    </w:p>
    <w:p w14:paraId="6C461546" w14:textId="77CD3A23" w:rsidR="00C5367F" w:rsidRDefault="00C5367F" w:rsidP="00FC32AF">
      <w:pPr>
        <w:pStyle w:val="References"/>
      </w:pPr>
      <w:r w:rsidRPr="006F5493">
        <w:t xml:space="preserve">Garfi, M., Cadena, E., Sanchez-Ramos, D., Ferrer, I. (2016). Life cycle assessment of drinking water: Comparing conventional water treatment, reverse osmosis and mineral water in glass and plastic bottles. Journal of Cleaner Production, </w:t>
      </w:r>
      <w:hyperlink r:id="rId52" w:tooltip="Go to table of contents for this volume/issue" w:history="1">
        <w:r w:rsidRPr="006F5493">
          <w:t>137</w:t>
        </w:r>
      </w:hyperlink>
      <w:r w:rsidRPr="006F5493">
        <w:t>, 997-1003</w:t>
      </w:r>
    </w:p>
    <w:p w14:paraId="57142904" w14:textId="77777777" w:rsidR="00C5367F" w:rsidRDefault="00C5367F" w:rsidP="00FC32AF">
      <w:pPr>
        <w:pStyle w:val="References"/>
      </w:pPr>
      <w:r w:rsidRPr="00045CD1">
        <w:t>Gido, B., Friedler, E., Broday, D. M. (2016a). Liquid-Desiccant Vapor Separation Reduces the Energy Requirements of Atmospheric Moisture Harvesting. Environ. Sci. Technol. 50, 8362</w:t>
      </w:r>
      <w:r w:rsidRPr="00045CD1">
        <w:rPr>
          <w:rFonts w:hint="eastAsia"/>
        </w:rPr>
        <w:t>−</w:t>
      </w:r>
      <w:r w:rsidRPr="00045CD1">
        <w:t>8367</w:t>
      </w:r>
    </w:p>
    <w:p w14:paraId="48790C26" w14:textId="67071A30" w:rsidR="00C5367F" w:rsidRDefault="00C5367F" w:rsidP="00FC32AF">
      <w:pPr>
        <w:pStyle w:val="References"/>
      </w:pPr>
      <w:r w:rsidRPr="00045CD1">
        <w:t>Gido, B., Friedler, E., Broday, D. M. (2016b). Assessment of atmospheric moisture harvesting by direct cooling. Atmospheric Research 182, 156–162</w:t>
      </w:r>
    </w:p>
    <w:p w14:paraId="1D878D0E" w14:textId="77777777" w:rsidR="000A78B4" w:rsidRDefault="000A78B4" w:rsidP="000A78B4">
      <w:pPr>
        <w:autoSpaceDE w:val="0"/>
        <w:autoSpaceDN w:val="0"/>
        <w:rPr>
          <w:sz w:val="22"/>
        </w:rPr>
      </w:pPr>
      <w:r>
        <w:rPr>
          <w:szCs w:val="24"/>
        </w:rPr>
        <w:t>Goedkoop, M., Heijungs, R., Huijbregts, M., De Schryver, A., Struijs, J., &amp; Van Zelm, R. (2009). ReCiPe 2008. A life cycle impact assessment method which comprises harmonised category indicators at the midpoint and the endpoint level, 1.</w:t>
      </w:r>
      <w:r>
        <w:rPr>
          <w:rFonts w:ascii="Segoe UI" w:hAnsi="Segoe UI" w:cs="Segoe UI"/>
          <w:color w:val="000000"/>
          <w:sz w:val="20"/>
        </w:rPr>
        <w:t xml:space="preserve"> </w:t>
      </w:r>
    </w:p>
    <w:p w14:paraId="37A7D1D5" w14:textId="77777777" w:rsidR="000A78B4" w:rsidRDefault="000A78B4" w:rsidP="00D277EE">
      <w:pPr>
        <w:pStyle w:val="Bibliography"/>
      </w:pPr>
    </w:p>
    <w:p w14:paraId="6173F041" w14:textId="44D843A4" w:rsidR="00D277EE" w:rsidRDefault="00D277EE" w:rsidP="00D277EE">
      <w:pPr>
        <w:pStyle w:val="Bibliography"/>
      </w:pPr>
      <w:r>
        <w:lastRenderedPageBreak/>
        <w:t xml:space="preserve">GreenDelta. 2017. </w:t>
      </w:r>
      <w:r>
        <w:rPr>
          <w:i/>
          <w:iCs/>
        </w:rPr>
        <w:t>OpenLCA Version 1.7</w:t>
      </w:r>
      <w:r>
        <w:t>.0 English. Berlin, Germany: GreenDelta.</w:t>
      </w:r>
    </w:p>
    <w:p w14:paraId="68FD6709" w14:textId="7ED3E64E" w:rsidR="00C5367F" w:rsidRDefault="00FD7FEE" w:rsidP="00FC32AF">
      <w:pPr>
        <w:pStyle w:val="References"/>
      </w:pPr>
      <w:hyperlink r:id="rId53" w:anchor="!" w:history="1">
        <w:r w:rsidR="00C5367F" w:rsidRPr="00287E2E">
          <w:t>Gürzenich</w:t>
        </w:r>
      </w:hyperlink>
      <w:bookmarkStart w:id="348" w:name="baep-author-id5"/>
      <w:bookmarkEnd w:id="347"/>
      <w:r w:rsidR="00C5367F">
        <w:t xml:space="preserve">, D., </w:t>
      </w:r>
      <w:r w:rsidR="00C5367F" w:rsidRPr="00287E2E">
        <w:t>Wagner</w:t>
      </w:r>
      <w:r w:rsidR="00C5367F">
        <w:t>,</w:t>
      </w:r>
      <w:r w:rsidR="00C5367F" w:rsidRPr="00287E2E">
        <w:t xml:space="preserve"> </w:t>
      </w:r>
      <w:hyperlink r:id="rId54" w:anchor="!" w:history="1">
        <w:r w:rsidR="00C5367F" w:rsidRPr="00287E2E">
          <w:t>H.-J.</w:t>
        </w:r>
      </w:hyperlink>
      <w:bookmarkEnd w:id="348"/>
      <w:r w:rsidR="00C5367F" w:rsidRPr="0008736D">
        <w:t xml:space="preserve"> </w:t>
      </w:r>
      <w:r w:rsidR="00C5367F">
        <w:t xml:space="preserve">(2004) Cumulative energy demand and cumulative emissions of photovoltaics production in Europe. </w:t>
      </w:r>
      <w:r w:rsidR="00C5367F" w:rsidRPr="00287E2E">
        <w:rPr>
          <w:i/>
        </w:rPr>
        <w:t>Energy</w:t>
      </w:r>
      <w:r w:rsidR="00C5367F">
        <w:t xml:space="preserve"> 29, 2297–2303.</w:t>
      </w:r>
    </w:p>
    <w:p w14:paraId="1A1163A5" w14:textId="22374369" w:rsidR="00C5367F" w:rsidRDefault="00C5367F" w:rsidP="00FC32AF">
      <w:pPr>
        <w:pStyle w:val="References"/>
      </w:pPr>
      <w:r>
        <w:t xml:space="preserve">Horowitz, N., Frago, J., Mu, D. (2018). Life cycle assessment of bottled water: A case study of Green2O products. </w:t>
      </w:r>
      <w:hyperlink r:id="rId55" w:history="1">
        <w:r w:rsidRPr="00A42E88">
          <w:rPr>
            <w:rStyle w:val="Hyperlink"/>
          </w:rPr>
          <w:t>https://doi.org/10.1016/j.wasman.2018.02.043 0956-053X</w:t>
        </w:r>
      </w:hyperlink>
      <w:r w:rsidR="002E1D5D">
        <w:t>.</w:t>
      </w:r>
    </w:p>
    <w:p w14:paraId="62164614" w14:textId="3D21DD66" w:rsidR="002E1D5D" w:rsidRDefault="002E1D5D" w:rsidP="00FC32AF">
      <w:pPr>
        <w:pStyle w:val="References"/>
        <w:rPr>
          <w:rStyle w:val="Hyperlink"/>
        </w:rPr>
      </w:pPr>
      <w:r>
        <w:t xml:space="preserve">Internal Revenue Service (IRS). (2018). Standard Mileage Rates for 2018 Up from Rates for 2017. </w:t>
      </w:r>
      <w:hyperlink r:id="rId56" w:history="1">
        <w:r w:rsidRPr="00A42E88">
          <w:rPr>
            <w:rStyle w:val="Hyperlink"/>
          </w:rPr>
          <w:t>https://www.irs.gov/newsroom/standard-mileage-rates-for-2018-up-from-rates-for-2017</w:t>
        </w:r>
      </w:hyperlink>
    </w:p>
    <w:p w14:paraId="63083C4C" w14:textId="77777777" w:rsidR="00B96030" w:rsidRDefault="00B96030" w:rsidP="00B96030">
      <w:pPr>
        <w:pStyle w:val="References"/>
      </w:pPr>
      <w:r>
        <w:t>ISO</w:t>
      </w:r>
      <w:r w:rsidRPr="0028575D">
        <w:t xml:space="preserve">. </w:t>
      </w:r>
      <w:r>
        <w:t xml:space="preserve">2006a. </w:t>
      </w:r>
      <w:r w:rsidRPr="0028575D">
        <w:t xml:space="preserve">Environmental management -- Life cycle assessment -- </w:t>
      </w:r>
      <w:r>
        <w:t>Principles</w:t>
      </w:r>
      <w:r w:rsidRPr="0028575D">
        <w:t xml:space="preserve"> and </w:t>
      </w:r>
      <w:r>
        <w:t>framework. ISO No. 14040.</w:t>
      </w:r>
      <w:r w:rsidRPr="0028575D">
        <w:t xml:space="preserve"> </w:t>
      </w:r>
      <w:r>
        <w:t xml:space="preserve">International Organization for Standardization, CH. </w:t>
      </w:r>
    </w:p>
    <w:p w14:paraId="4DFE23BF" w14:textId="77777777" w:rsidR="00B96030" w:rsidRDefault="00B96030" w:rsidP="00B96030">
      <w:pPr>
        <w:pStyle w:val="References"/>
      </w:pPr>
      <w:r>
        <w:t>ISO</w:t>
      </w:r>
      <w:r w:rsidRPr="0028575D">
        <w:t xml:space="preserve">. </w:t>
      </w:r>
      <w:r>
        <w:t xml:space="preserve">2006b. </w:t>
      </w:r>
      <w:r w:rsidRPr="0028575D">
        <w:t>Environmental management -- Life cycle assessment -- Requirements and guidelines</w:t>
      </w:r>
      <w:r>
        <w:t>.</w:t>
      </w:r>
      <w:r w:rsidRPr="0028575D">
        <w:t xml:space="preserve"> ISO No. 14044</w:t>
      </w:r>
      <w:r>
        <w:t>. International Organization for Standardization, CH.</w:t>
      </w:r>
    </w:p>
    <w:p w14:paraId="30874FB5" w14:textId="57376C1E" w:rsidR="00C5367F" w:rsidRDefault="00C5367F" w:rsidP="00FC32AF">
      <w:pPr>
        <w:pStyle w:val="References"/>
      </w:pPr>
      <w:r>
        <w:t xml:space="preserve">Huijbregts, M. A. J., Steinmann, Z. J. N., Elshout, P. M. F., Stam, G., Verones, F., Vieira, M. D. M., Hollander, A., Zijp, M., van Zelm, R. ReCiPe 2016: A harmonized life cycle impact assessment method at midpoint and endpoint level. Report 1: Characterization; 2016. </w:t>
      </w:r>
      <w:hyperlink r:id="rId57" w:history="1">
        <w:r w:rsidRPr="00A42E88">
          <w:rPr>
            <w:rStyle w:val="Hyperlink"/>
          </w:rPr>
          <w:t>http://www.ru.nl/environmentalscience/research/themes-0/life-cycle/projects/</w:t>
        </w:r>
      </w:hyperlink>
      <w:r w:rsidR="00B54CF4">
        <w:t xml:space="preserve"> </w:t>
      </w:r>
      <w:r w:rsidR="006469F6">
        <w:t>Retrieved on</w:t>
      </w:r>
      <w:r>
        <w:t xml:space="preserve"> March 13, 2018.</w:t>
      </w:r>
    </w:p>
    <w:p w14:paraId="57ECF7DD" w14:textId="1E4568B1" w:rsidR="00C5367F" w:rsidRDefault="00C5367F" w:rsidP="00FC32AF">
      <w:pPr>
        <w:pStyle w:val="References"/>
      </w:pPr>
      <w:r w:rsidRPr="00045CD1">
        <w:t>Kumar, M., Yadav, A., Mehla, N. (2017). Water generation from atmospheric air by using different composite desiccant materials. International Journal of Ambient Energy, DOI: 10.1080/01430750.2017.1392350</w:t>
      </w:r>
    </w:p>
    <w:p w14:paraId="39CBE36D" w14:textId="043BA17B" w:rsidR="005E559F" w:rsidRDefault="005E559F" w:rsidP="00FC32AF">
      <w:pPr>
        <w:pStyle w:val="References"/>
      </w:pPr>
      <w:r w:rsidRPr="005E559F">
        <w:t>Maher, K. Michigan National Guard Helps With Flint’s Water Crisis</w:t>
      </w:r>
      <w:r>
        <w:t>. Wall Street Journal. January 13, 2016.</w:t>
      </w:r>
      <w:r w:rsidR="00FC32AF">
        <w:t xml:space="preserve"> </w:t>
      </w:r>
      <w:hyperlink r:id="rId58" w:history="1">
        <w:r w:rsidR="00CC50FA" w:rsidRPr="007C2E91">
          <w:rPr>
            <w:rStyle w:val="Hyperlink"/>
          </w:rPr>
          <w:t>https://www.wsj.com/articles/michigan-national-guard-helps-with-flints-water-crisis-1452704899</w:t>
        </w:r>
      </w:hyperlink>
    </w:p>
    <w:p w14:paraId="38EDC4BC" w14:textId="7EAE9258" w:rsidR="00C5367F" w:rsidRDefault="00CC50FA" w:rsidP="00FC32AF">
      <w:pPr>
        <w:pStyle w:val="References"/>
      </w:pPr>
      <w:r w:rsidRPr="005C0E3B">
        <w:t>McKay, B. (</w:t>
      </w:r>
      <w:r w:rsidR="005C0E3B">
        <w:t xml:space="preserve">May 6, </w:t>
      </w:r>
      <w:r w:rsidRPr="005C0E3B">
        <w:t xml:space="preserve">2008). </w:t>
      </w:r>
      <w:r w:rsidRPr="005C0E3B">
        <w:rPr>
          <w:i/>
        </w:rPr>
        <w:t>Pepsi to Cut Plastic Used in Bottles</w:t>
      </w:r>
      <w:r w:rsidRPr="005C0E3B">
        <w:t xml:space="preserve">. The Wall Street Journal. </w:t>
      </w:r>
      <w:hyperlink r:id="rId59" w:history="1">
        <w:r w:rsidRPr="007C2E91">
          <w:rPr>
            <w:rStyle w:val="Hyperlink"/>
          </w:rPr>
          <w:t>https://www.wsj.com/articles/SB121004395479169979</w:t>
        </w:r>
      </w:hyperlink>
      <w:r>
        <w:t>.</w:t>
      </w:r>
      <w:r w:rsidR="00CD78BF">
        <w:t xml:space="preserve"> Retrieved on September 19, 2018.</w:t>
      </w:r>
    </w:p>
    <w:p w14:paraId="14A125E9" w14:textId="77777777" w:rsidR="00C5367F" w:rsidRDefault="00C5367F" w:rsidP="00FC32AF">
      <w:pPr>
        <w:pStyle w:val="References"/>
      </w:pPr>
      <w:r w:rsidRPr="00045CD1">
        <w:t>Milania, D., Qadira, A., Vassalloa, A., Chiesab, M., Abbasa, A. (2014.)</w:t>
      </w:r>
      <w:r w:rsidRPr="00045CD1">
        <w:rPr>
          <w:rFonts w:hint="eastAsia"/>
        </w:rPr>
        <w:t xml:space="preserve"> </w:t>
      </w:r>
      <w:r w:rsidRPr="00045CD1">
        <w:t>Experimentally validated model for atmospheric water generation using a solar assisted desiccant dehumidification system. Energy and Buildings 77, 236–246</w:t>
      </w:r>
    </w:p>
    <w:p w14:paraId="51305AE0" w14:textId="77777777" w:rsidR="00C5367F" w:rsidRDefault="00C5367F" w:rsidP="00FC32AF">
      <w:pPr>
        <w:pStyle w:val="References"/>
      </w:pPr>
      <w:r w:rsidRPr="006F5493">
        <w:t>National Council for Air and Stream Improvement. (2014). Life Cycle Assessment of U.S. Average Corrugated Product.</w:t>
      </w:r>
    </w:p>
    <w:p w14:paraId="7695B4A4" w14:textId="0A312FAF" w:rsidR="00C5367F" w:rsidRDefault="00C5367F" w:rsidP="00A42E88">
      <w:pPr>
        <w:pStyle w:val="References"/>
      </w:pPr>
      <w:r>
        <w:t xml:space="preserve">National Renewable Energy Laboratory (NREL) (2012). U.S. Life Cycle Inventory Database (USLCI). URL: </w:t>
      </w:r>
      <w:hyperlink r:id="rId60" w:history="1">
        <w:r w:rsidRPr="00F04CAB">
          <w:rPr>
            <w:rStyle w:val="Hyperlink"/>
          </w:rPr>
          <w:t>https://uslci.lcacommons.gov/uslci/search</w:t>
        </w:r>
      </w:hyperlink>
      <w:r>
        <w:t>.</w:t>
      </w:r>
    </w:p>
    <w:p w14:paraId="31AE7F2C" w14:textId="77777777" w:rsidR="00C5367F" w:rsidRDefault="00C5367F" w:rsidP="00A42E88">
      <w:pPr>
        <w:pStyle w:val="References"/>
      </w:pPr>
      <w:r w:rsidRPr="00045CD1">
        <w:t>Ozkan, O., Wikramanayake, E. D., Bahadur, V. (2017). Modeling humid air condensation in waste natural gas-powered atmospheric water harvesting systems. Applied Thermal Engineering 118</w:t>
      </w:r>
      <w:r>
        <w:t>,</w:t>
      </w:r>
      <w:r w:rsidRPr="00045CD1">
        <w:t xml:space="preserve"> 224–232</w:t>
      </w:r>
    </w:p>
    <w:p w14:paraId="6B205050" w14:textId="0AC66E6E" w:rsidR="00C5367F" w:rsidRDefault="00C5367F" w:rsidP="00A42E88">
      <w:pPr>
        <w:pStyle w:val="References"/>
      </w:pPr>
      <w:r>
        <w:t>Papong, S., Malakul, P., Trungkavashirakun, R., Wenunun, P., Chom-in, T., Nithitanakul, M., Sarobol, E. (2014). Comparative assessment of the environmental profile of PLA and PET drinking water bottles from a life cycle perspective. Journal of Cleaner Production 65, 539-550</w:t>
      </w:r>
    </w:p>
    <w:p w14:paraId="4E30B202" w14:textId="1BFF0DD7" w:rsidR="00C5367F" w:rsidRDefault="00C5367F" w:rsidP="00A42E88">
      <w:pPr>
        <w:pStyle w:val="References"/>
      </w:pPr>
      <w:r>
        <w:lastRenderedPageBreak/>
        <w:t xml:space="preserve">U.S. Energy Information Administration (EIA). (May, 2017). U.S. Energy Facts. </w:t>
      </w:r>
      <w:hyperlink r:id="rId61" w:history="1">
        <w:r w:rsidRPr="00AB67DB">
          <w:rPr>
            <w:rStyle w:val="Hyperlink"/>
          </w:rPr>
          <w:t>https://www.eia.gov/energyexplained/?page=us_energy_home</w:t>
        </w:r>
      </w:hyperlink>
      <w:r>
        <w:t>. Retrieved on March 13, 2018.</w:t>
      </w:r>
    </w:p>
    <w:p w14:paraId="06F9CA73" w14:textId="22C2AC9A" w:rsidR="00C5367F" w:rsidRDefault="00C5367F" w:rsidP="00A42E88">
      <w:pPr>
        <w:pStyle w:val="References"/>
      </w:pPr>
      <w:r>
        <w:t xml:space="preserve">U.S. Energy Information Administration (EIA). (January, 2018). Texas State Profile and Energy Estimates. </w:t>
      </w:r>
      <w:hyperlink r:id="rId62" w:history="1">
        <w:r w:rsidRPr="00AB67DB">
          <w:rPr>
            <w:rStyle w:val="Hyperlink"/>
          </w:rPr>
          <w:t>https://www.eia.gov/state/analysis.php?sid=TX</w:t>
        </w:r>
      </w:hyperlink>
      <w:r>
        <w:t>. Retrieved on March 13, 2018.</w:t>
      </w:r>
    </w:p>
    <w:p w14:paraId="58F07868" w14:textId="21644BF7" w:rsidR="002762B5" w:rsidRDefault="002762B5" w:rsidP="00A42E88">
      <w:pPr>
        <w:pStyle w:val="References"/>
      </w:pPr>
      <w:r>
        <w:t xml:space="preserve">U.S. Energy Information Administration (EIA). (January, 2018). Florida State Profile and Energy Estimates. </w:t>
      </w:r>
      <w:hyperlink r:id="rId63" w:history="1">
        <w:r w:rsidRPr="00F04CAB">
          <w:rPr>
            <w:rStyle w:val="Hyperlink"/>
          </w:rPr>
          <w:t>https://www.eia.gov/state/analysis.php?sid=FL</w:t>
        </w:r>
      </w:hyperlink>
      <w:r>
        <w:t>. Retrieved on March 14, 2018.</w:t>
      </w:r>
    </w:p>
    <w:p w14:paraId="10030B0B" w14:textId="109161CE" w:rsidR="00D55081" w:rsidRDefault="00D55081" w:rsidP="00A42E88">
      <w:pPr>
        <w:pStyle w:val="References"/>
      </w:pPr>
      <w:r>
        <w:t>US Environmental Protection Agency (U.S. EPA). 1993. Life-Cycle Assessment: Inventory Guidelines and Principles. EPA/600/R-92/245.</w:t>
      </w:r>
    </w:p>
    <w:p w14:paraId="0AFDBDAF" w14:textId="61E83F58" w:rsidR="0036410E" w:rsidRDefault="0036410E" w:rsidP="00A42E88">
      <w:pPr>
        <w:pStyle w:val="References"/>
      </w:pPr>
      <w:r w:rsidRPr="006F5493">
        <w:t xml:space="preserve">U.S. </w:t>
      </w:r>
      <w:r w:rsidRPr="00E70651">
        <w:t xml:space="preserve">Environmental Protection Agency </w:t>
      </w:r>
      <w:r>
        <w:t>(</w:t>
      </w:r>
      <w:r w:rsidR="00D55081">
        <w:t xml:space="preserve">U.S. </w:t>
      </w:r>
      <w:r w:rsidRPr="006F5493">
        <w:t>EPA</w:t>
      </w:r>
      <w:r>
        <w:t>)</w:t>
      </w:r>
      <w:r w:rsidRPr="006F5493">
        <w:t>. (201</w:t>
      </w:r>
      <w:r>
        <w:t>1</w:t>
      </w:r>
      <w:r w:rsidRPr="006F5493">
        <w:t>).</w:t>
      </w:r>
      <w:r>
        <w:t xml:space="preserve"> Planning for an Emergency Drinking Water Supply. </w:t>
      </w:r>
      <w:hyperlink r:id="rId64" w:history="1">
        <w:r w:rsidRPr="007C2E91">
          <w:rPr>
            <w:rStyle w:val="Hyperlink"/>
          </w:rPr>
          <w:t>https://www.epa.gov/sites/production/files/2015-03/documents/planning_for_an_emergency_drinking_water_supply.pdf</w:t>
        </w:r>
      </w:hyperlink>
      <w:r>
        <w:t>. Retrieved on September 21, 2018.</w:t>
      </w:r>
    </w:p>
    <w:p w14:paraId="7EF47054" w14:textId="04117B8C" w:rsidR="00C5367F" w:rsidRDefault="00C5367F" w:rsidP="00A42E88">
      <w:pPr>
        <w:pStyle w:val="References"/>
      </w:pPr>
      <w:r w:rsidRPr="006F5493">
        <w:t xml:space="preserve">U.S. </w:t>
      </w:r>
      <w:r w:rsidR="00CD78BF" w:rsidRPr="00E70651">
        <w:t xml:space="preserve">Environmental Protection Agency </w:t>
      </w:r>
      <w:r w:rsidR="00CD78BF">
        <w:t>(</w:t>
      </w:r>
      <w:r w:rsidR="00D55081">
        <w:t xml:space="preserve">U.S. </w:t>
      </w:r>
      <w:r w:rsidRPr="006F5493">
        <w:t>EPA</w:t>
      </w:r>
      <w:r w:rsidR="00CD78BF">
        <w:t>)</w:t>
      </w:r>
      <w:r w:rsidRPr="006F5493">
        <w:t xml:space="preserve">. (2016). Advancing Sustainable Materials Management: Facts and Figures Report, 2014. </w:t>
      </w:r>
      <w:hyperlink r:id="rId65" w:history="1">
        <w:r w:rsidRPr="00A42E88">
          <w:rPr>
            <w:rStyle w:val="Hyperlink"/>
          </w:rPr>
          <w:t>https://www.epa.gov/smm/advancing-sustainable-materials-management-facts-and-figures-report</w:t>
        </w:r>
      </w:hyperlink>
      <w:r w:rsidRPr="006F5493">
        <w:t xml:space="preserve">. </w:t>
      </w:r>
    </w:p>
    <w:p w14:paraId="72400A97" w14:textId="5054CCCA" w:rsidR="00C5367F" w:rsidRPr="006F5493" w:rsidRDefault="00C5367F" w:rsidP="00A42E88">
      <w:pPr>
        <w:pStyle w:val="References"/>
      </w:pPr>
      <w:r w:rsidRPr="00E70651">
        <w:t>U.S. Environmental Protection Agency (</w:t>
      </w:r>
      <w:r w:rsidR="00D55081">
        <w:t xml:space="preserve">U.S. </w:t>
      </w:r>
      <w:r w:rsidRPr="00E70651">
        <w:t xml:space="preserve">EPA) (2018) Emissions &amp; Generation Resource Integrated Database (eGRID) 2016. </w:t>
      </w:r>
      <w:hyperlink r:id="rId66" w:history="1">
        <w:r w:rsidRPr="00AA57D2">
          <w:rPr>
            <w:rStyle w:val="Hyperlink"/>
          </w:rPr>
          <w:t>https://www.epa.gov/energy/emissions-generation-resource-integrated-database-egrid</w:t>
        </w:r>
      </w:hyperlink>
      <w:r>
        <w:t>. Retrieved on March 15, 2018.</w:t>
      </w:r>
    </w:p>
    <w:p w14:paraId="00BD48B9" w14:textId="50181502" w:rsidR="00C5367F" w:rsidRDefault="00C5367F" w:rsidP="00A42E88">
      <w:pPr>
        <w:pStyle w:val="References"/>
      </w:pPr>
      <w:r>
        <w:t>Weidema, B. P., Bauer, C., Hischier, R., Mutel, C., Nemecek, T., Reinhard, J., Vadenbo, C. O., Wernet, G. (2013). Overview and methodology. Data quality guideline for the ecoinvent database version 3. Ecoinvent Report 1(v3). St. Gallen: The Ecoinvent Centre.</w:t>
      </w:r>
    </w:p>
    <w:p w14:paraId="46EADCEC" w14:textId="35D6BCF7" w:rsidR="00E27F27" w:rsidRPr="00E27F27" w:rsidRDefault="00E27F27" w:rsidP="00E27F27">
      <w:pPr>
        <w:pStyle w:val="ListBullet"/>
        <w:numPr>
          <w:ilvl w:val="0"/>
          <w:numId w:val="0"/>
        </w:numPr>
        <w:rPr>
          <w:szCs w:val="24"/>
        </w:rPr>
      </w:pPr>
      <w:r w:rsidRPr="00E27F27">
        <w:rPr>
          <w:szCs w:val="24"/>
        </w:rPr>
        <w:t>Oregon Department of Environmental Quality</w:t>
      </w:r>
      <w:r>
        <w:rPr>
          <w:szCs w:val="24"/>
        </w:rPr>
        <w:t xml:space="preserve"> (ORDEQ)</w:t>
      </w:r>
      <w:r w:rsidRPr="00E27F27">
        <w:rPr>
          <w:szCs w:val="24"/>
        </w:rPr>
        <w:t xml:space="preserve">. (2009). Life Cycle Assessment of Drinking Water Systems: Bottle Water, Tap Water, and Home/Office Delivery Water. Franklin Associates, A Division of ERG, 09-LQ-104 </w:t>
      </w:r>
    </w:p>
    <w:p w14:paraId="041F69B1" w14:textId="392B46BE" w:rsidR="00C5367F" w:rsidRDefault="00C5367F" w:rsidP="00A42E88">
      <w:pPr>
        <w:pStyle w:val="References"/>
      </w:pPr>
      <w:r w:rsidRPr="00045CD1">
        <w:t>Peters, G. M., Blackburn, N. J., Armedion, M. (2013). Environmental assessment of air to water machines—triangulation to manage scope uncertainty. Int. J Life Cycle Assess 18,1149–1157</w:t>
      </w:r>
    </w:p>
    <w:p w14:paraId="0308478D" w14:textId="77777777" w:rsidR="00524619" w:rsidRPr="00524619" w:rsidRDefault="00524619" w:rsidP="00524619"/>
    <w:p w14:paraId="72DFE72E" w14:textId="77777777" w:rsidR="00524619" w:rsidRDefault="00524619">
      <w:pPr>
        <w:rPr>
          <w:color w:val="000000"/>
        </w:rPr>
        <w:sectPr w:rsidR="00524619" w:rsidSect="003623CF">
          <w:headerReference w:type="default" r:id="rId67"/>
          <w:footerReference w:type="default" r:id="rId68"/>
          <w:pgSz w:w="12240" w:h="15840" w:code="1"/>
          <w:pgMar w:top="1440" w:right="1440" w:bottom="1440" w:left="1440" w:header="720" w:footer="720" w:gutter="0"/>
          <w:pgNumType w:start="1" w:chapStyle="1"/>
          <w:cols w:space="720"/>
          <w:docGrid w:linePitch="326"/>
        </w:sectPr>
      </w:pPr>
    </w:p>
    <w:p w14:paraId="0A544D85" w14:textId="6A947FD1" w:rsidR="00893683" w:rsidRPr="00893683" w:rsidRDefault="00893683" w:rsidP="00893683">
      <w:pPr>
        <w:tabs>
          <w:tab w:val="clear" w:pos="720"/>
        </w:tabs>
        <w:jc w:val="center"/>
        <w:rPr>
          <w:rFonts w:ascii="Times New Roman Bold" w:hAnsi="Times New Roman Bold"/>
          <w:b/>
          <w:caps/>
          <w:sz w:val="28"/>
        </w:rPr>
      </w:pPr>
      <w:bookmarkStart w:id="349" w:name="_Toc508311599"/>
      <w:r w:rsidRPr="00893683">
        <w:rPr>
          <w:rFonts w:ascii="Times New Roman Bold" w:hAnsi="Times New Roman Bold"/>
          <w:b/>
          <w:caps/>
          <w:sz w:val="28"/>
        </w:rPr>
        <w:lastRenderedPageBreak/>
        <w:t xml:space="preserve">Appendix </w:t>
      </w:r>
      <w:r>
        <w:rPr>
          <w:rFonts w:ascii="Times New Roman Bold" w:hAnsi="Times New Roman Bold"/>
          <w:b/>
          <w:caps/>
          <w:sz w:val="28"/>
        </w:rPr>
        <w:t>A</w:t>
      </w:r>
      <w:r w:rsidRPr="00893683">
        <w:rPr>
          <w:rFonts w:ascii="Times New Roman Bold" w:hAnsi="Times New Roman Bold"/>
          <w:b/>
          <w:caps/>
          <w:sz w:val="28"/>
        </w:rPr>
        <w:br/>
      </w:r>
      <w:bookmarkEnd w:id="349"/>
      <w:r w:rsidRPr="00893683">
        <w:rPr>
          <w:rFonts w:ascii="Times New Roman Bold" w:hAnsi="Times New Roman Bold"/>
          <w:b/>
          <w:caps/>
          <w:sz w:val="28"/>
        </w:rPr>
        <w:t>AWG Inventory Data Compiled</w:t>
      </w:r>
    </w:p>
    <w:p w14:paraId="5F2E9C24" w14:textId="77777777" w:rsidR="00893683" w:rsidRPr="00893683" w:rsidRDefault="00893683" w:rsidP="00893683"/>
    <w:p w14:paraId="1A28ED18" w14:textId="77777777" w:rsidR="00893683" w:rsidRPr="00893683" w:rsidRDefault="00893683" w:rsidP="00893683">
      <w:pPr>
        <w:sectPr w:rsidR="00893683" w:rsidRPr="00893683" w:rsidSect="00C569B7">
          <w:headerReference w:type="default" r:id="rId69"/>
          <w:footerReference w:type="default" r:id="rId70"/>
          <w:pgSz w:w="12240" w:h="15840" w:code="1"/>
          <w:pgMar w:top="1440" w:right="1440" w:bottom="1440" w:left="1440" w:header="720" w:footer="720" w:gutter="0"/>
          <w:cols w:space="720"/>
          <w:vAlign w:val="center"/>
          <w:docGrid w:linePitch="326"/>
        </w:sectPr>
      </w:pPr>
    </w:p>
    <w:p w14:paraId="2F1C674B" w14:textId="5095DEBD" w:rsidR="00893683" w:rsidRPr="00893683" w:rsidRDefault="00893683" w:rsidP="00893683">
      <w:pPr>
        <w:pStyle w:val="Heading7"/>
      </w:pPr>
      <w:bookmarkStart w:id="350" w:name="_Ref508281524"/>
      <w:bookmarkStart w:id="351" w:name="_Ref525244946"/>
      <w:bookmarkStart w:id="352" w:name="_Toc525246223"/>
      <w:bookmarkStart w:id="353" w:name="_Toc533004673"/>
      <w:r w:rsidRPr="00893683">
        <w:lastRenderedPageBreak/>
        <w:t xml:space="preserve">: </w:t>
      </w:r>
      <w:bookmarkEnd w:id="350"/>
      <w:r w:rsidRPr="00893683">
        <w:t>AWG Inventory Data Compiled</w:t>
      </w:r>
      <w:bookmarkEnd w:id="351"/>
      <w:bookmarkEnd w:id="352"/>
      <w:bookmarkEnd w:id="353"/>
    </w:p>
    <w:p w14:paraId="563173DB" w14:textId="6907615A" w:rsidR="00347F19" w:rsidRDefault="000E5BB0" w:rsidP="00893683">
      <w:pPr>
        <w:pStyle w:val="BodyText"/>
      </w:pPr>
      <w:r>
        <w:t>All the data provided by the vend</w:t>
      </w:r>
      <w:r w:rsidR="00E001AE">
        <w:t>o</w:t>
      </w:r>
      <w:r>
        <w:t>rs and that was used in setting up the LCA models is compiled and provided as a separate excel file</w:t>
      </w:r>
      <w:r w:rsidR="00950BB0">
        <w:t>:</w:t>
      </w:r>
      <w:r w:rsidR="001A65E5">
        <w:t xml:space="preserve"> </w:t>
      </w:r>
      <w:r w:rsidR="001A65E5" w:rsidRPr="00E001AE">
        <w:rPr>
          <w:b/>
        </w:rPr>
        <w:t>“AppendixA-AWG_BottledWaterDatav</w:t>
      </w:r>
      <w:r w:rsidR="00626F95">
        <w:rPr>
          <w:b/>
        </w:rPr>
        <w:t>4</w:t>
      </w:r>
      <w:r w:rsidR="001A65E5" w:rsidRPr="00E001AE">
        <w:rPr>
          <w:b/>
        </w:rPr>
        <w:t>_</w:t>
      </w:r>
      <w:r w:rsidR="00626F95">
        <w:rPr>
          <w:b/>
        </w:rPr>
        <w:t>12</w:t>
      </w:r>
      <w:r w:rsidR="001A65E5" w:rsidRPr="00E001AE">
        <w:rPr>
          <w:b/>
        </w:rPr>
        <w:t>.</w:t>
      </w:r>
      <w:r w:rsidR="00626F95">
        <w:rPr>
          <w:b/>
        </w:rPr>
        <w:t>19</w:t>
      </w:r>
      <w:r w:rsidR="001A65E5" w:rsidRPr="00E001AE">
        <w:rPr>
          <w:b/>
        </w:rPr>
        <w:t>.18.xlsx</w:t>
      </w:r>
      <w:r w:rsidR="00E001AE" w:rsidRPr="00E001AE">
        <w:rPr>
          <w:b/>
        </w:rPr>
        <w:t>”</w:t>
      </w:r>
      <w:r w:rsidR="00347F19">
        <w:t>.</w:t>
      </w:r>
    </w:p>
    <w:p w14:paraId="3E948051" w14:textId="77777777" w:rsidR="00893683" w:rsidRDefault="00893683" w:rsidP="00893683">
      <w:pPr>
        <w:tabs>
          <w:tab w:val="clear" w:pos="720"/>
        </w:tabs>
        <w:jc w:val="center"/>
        <w:rPr>
          <w:rFonts w:ascii="Times New Roman Bold" w:hAnsi="Times New Roman Bold"/>
          <w:b/>
          <w:caps/>
          <w:sz w:val="28"/>
        </w:rPr>
        <w:sectPr w:rsidR="00893683" w:rsidSect="00893683">
          <w:headerReference w:type="default" r:id="rId71"/>
          <w:footerReference w:type="default" r:id="rId72"/>
          <w:pgSz w:w="12240" w:h="15840" w:code="1"/>
          <w:pgMar w:top="1440" w:right="1440" w:bottom="1440" w:left="1440" w:header="720" w:footer="720" w:gutter="0"/>
          <w:pgNumType w:start="1" w:chapStyle="7"/>
          <w:cols w:space="720"/>
          <w:docGrid w:linePitch="326"/>
        </w:sectPr>
      </w:pPr>
    </w:p>
    <w:p w14:paraId="64CCACF6" w14:textId="26E53481" w:rsidR="00893683" w:rsidRPr="00893683" w:rsidRDefault="00893683" w:rsidP="00893683">
      <w:pPr>
        <w:tabs>
          <w:tab w:val="clear" w:pos="720"/>
        </w:tabs>
        <w:jc w:val="center"/>
        <w:rPr>
          <w:rFonts w:ascii="Times New Roman Bold" w:hAnsi="Times New Roman Bold"/>
          <w:b/>
          <w:caps/>
          <w:sz w:val="28"/>
        </w:rPr>
      </w:pPr>
      <w:r w:rsidRPr="00893683">
        <w:rPr>
          <w:rFonts w:ascii="Times New Roman Bold" w:hAnsi="Times New Roman Bold"/>
          <w:b/>
          <w:caps/>
          <w:sz w:val="28"/>
        </w:rPr>
        <w:lastRenderedPageBreak/>
        <w:t xml:space="preserve">Appendix </w:t>
      </w:r>
      <w:r>
        <w:rPr>
          <w:rFonts w:ascii="Times New Roman Bold" w:hAnsi="Times New Roman Bold"/>
          <w:b/>
          <w:caps/>
          <w:sz w:val="28"/>
        </w:rPr>
        <w:t>B</w:t>
      </w:r>
      <w:r w:rsidRPr="00893683">
        <w:rPr>
          <w:rFonts w:ascii="Times New Roman Bold" w:hAnsi="Times New Roman Bold"/>
          <w:b/>
          <w:caps/>
          <w:sz w:val="28"/>
        </w:rPr>
        <w:br/>
        <w:t>Life Cycle Results Calculator</w:t>
      </w:r>
    </w:p>
    <w:p w14:paraId="1B144F62" w14:textId="77777777" w:rsidR="00893683" w:rsidRPr="00893683" w:rsidRDefault="00893683" w:rsidP="00893683"/>
    <w:p w14:paraId="7536194C" w14:textId="77777777" w:rsidR="00893683" w:rsidRPr="00893683" w:rsidRDefault="00893683" w:rsidP="00893683">
      <w:pPr>
        <w:sectPr w:rsidR="00893683" w:rsidRPr="00893683" w:rsidSect="00C569B7">
          <w:headerReference w:type="default" r:id="rId73"/>
          <w:footerReference w:type="default" r:id="rId74"/>
          <w:pgSz w:w="12240" w:h="15840" w:code="1"/>
          <w:pgMar w:top="1440" w:right="1440" w:bottom="1440" w:left="1440" w:header="720" w:footer="720" w:gutter="0"/>
          <w:cols w:space="720"/>
          <w:vAlign w:val="center"/>
          <w:docGrid w:linePitch="326"/>
        </w:sectPr>
      </w:pPr>
    </w:p>
    <w:p w14:paraId="6704BC38" w14:textId="42F82318" w:rsidR="00347F19" w:rsidRDefault="00893683" w:rsidP="00893683">
      <w:pPr>
        <w:pStyle w:val="Heading7"/>
      </w:pPr>
      <w:bookmarkStart w:id="354" w:name="_Ref525245388"/>
      <w:bookmarkStart w:id="355" w:name="_Toc525246224"/>
      <w:bookmarkStart w:id="356" w:name="_Toc533004674"/>
      <w:r>
        <w:lastRenderedPageBreak/>
        <w:t xml:space="preserve">: </w:t>
      </w:r>
      <w:r w:rsidRPr="00325E0E">
        <w:rPr>
          <w:rStyle w:val="Hyperlink"/>
          <w:noProof/>
          <w:color w:val="000000" w:themeColor="text1"/>
          <w:u w:val="none"/>
        </w:rPr>
        <w:t>Life Cycle Results Calculator</w:t>
      </w:r>
      <w:bookmarkEnd w:id="354"/>
      <w:bookmarkEnd w:id="355"/>
      <w:bookmarkEnd w:id="356"/>
    </w:p>
    <w:p w14:paraId="1BE829B8" w14:textId="649BD70A" w:rsidR="008A45FE" w:rsidRPr="00347F19" w:rsidRDefault="00390B4D" w:rsidP="00893683">
      <w:pPr>
        <w:pStyle w:val="BodyText"/>
      </w:pPr>
      <w:r>
        <w:t>A companion dynamic LCA Excel r</w:t>
      </w:r>
      <w:r w:rsidR="00347F19">
        <w:t>esults calculator</w:t>
      </w:r>
      <w:r>
        <w:t xml:space="preserve"> is provided to run combinations of the parameter values assessed in this study.</w:t>
      </w:r>
      <w:bookmarkStart w:id="357" w:name="Appendix_E"/>
      <w:bookmarkStart w:id="358" w:name="Appendix_G"/>
      <w:bookmarkEnd w:id="357"/>
      <w:bookmarkEnd w:id="358"/>
      <w:r w:rsidR="002E64D4">
        <w:t xml:space="preserve"> This is in a separate file named “</w:t>
      </w:r>
      <w:r w:rsidR="002E64D4" w:rsidRPr="002E64D4">
        <w:rPr>
          <w:b/>
        </w:rPr>
        <w:t>AppendixB-Results_Template_AWGBottledWaterv</w:t>
      </w:r>
      <w:r w:rsidR="00626F95">
        <w:rPr>
          <w:b/>
        </w:rPr>
        <w:t>4</w:t>
      </w:r>
      <w:r w:rsidR="002E64D4" w:rsidRPr="002E64D4">
        <w:rPr>
          <w:b/>
        </w:rPr>
        <w:t>_</w:t>
      </w:r>
      <w:r w:rsidR="00626F95">
        <w:rPr>
          <w:b/>
        </w:rPr>
        <w:t>12</w:t>
      </w:r>
      <w:r w:rsidR="002E64D4" w:rsidRPr="002E64D4">
        <w:rPr>
          <w:b/>
        </w:rPr>
        <w:t>.</w:t>
      </w:r>
      <w:r w:rsidR="00626F95">
        <w:rPr>
          <w:b/>
        </w:rPr>
        <w:t>19</w:t>
      </w:r>
      <w:r w:rsidR="002E64D4" w:rsidRPr="002E64D4">
        <w:rPr>
          <w:b/>
        </w:rPr>
        <w:t>.18.xlsx</w:t>
      </w:r>
      <w:r w:rsidR="002E64D4">
        <w:t>”.</w:t>
      </w:r>
    </w:p>
    <w:sectPr w:rsidR="008A45FE" w:rsidRPr="00347F19" w:rsidSect="00893683">
      <w:headerReference w:type="default" r:id="rId75"/>
      <w:footerReference w:type="default" r:id="rId76"/>
      <w:pgSz w:w="12240" w:h="15840" w:code="1"/>
      <w:pgMar w:top="1440" w:right="1440" w:bottom="1440" w:left="1440" w:header="720" w:footer="720" w:gutter="0"/>
      <w:pgNumType w:start="1" w:chapStyle="7"/>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247">
      <wne:fci wne:fciName="InsertInkComment" wne:swArg="0000"/>
    </wne:keymap>
    <wne:keymap wne:mask="1" wne:kcmPrimary="0647"/>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74759" w14:textId="77777777" w:rsidR="00F17892" w:rsidRDefault="00F17892">
      <w:r>
        <w:separator/>
      </w:r>
    </w:p>
    <w:p w14:paraId="76B8EC08" w14:textId="77777777" w:rsidR="00F17892" w:rsidRDefault="00F17892"/>
    <w:p w14:paraId="2F43F2C8" w14:textId="77777777" w:rsidR="00F17892" w:rsidRDefault="00F17892" w:rsidP="00196F58"/>
  </w:endnote>
  <w:endnote w:type="continuationSeparator" w:id="0">
    <w:p w14:paraId="27113A81" w14:textId="77777777" w:rsidR="00F17892" w:rsidRDefault="00F17892">
      <w:r>
        <w:continuationSeparator/>
      </w:r>
    </w:p>
    <w:p w14:paraId="5AFE2115" w14:textId="77777777" w:rsidR="00F17892" w:rsidRDefault="00F17892"/>
    <w:p w14:paraId="624801A3" w14:textId="77777777" w:rsidR="00F17892" w:rsidRDefault="00F17892" w:rsidP="00196F58"/>
  </w:endnote>
  <w:endnote w:type="continuationNotice" w:id="1">
    <w:p w14:paraId="1440E98D" w14:textId="77777777" w:rsidR="00F17892" w:rsidRDefault="00F17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3B0E5" w14:textId="2FA6AD93" w:rsidR="00F17892" w:rsidRPr="00836C9B" w:rsidRDefault="00F17892" w:rsidP="00224D23">
    <w:pPr>
      <w:pStyle w:val="Footer"/>
      <w:rPr>
        <w:szCs w:val="24"/>
      </w:rPr>
    </w:pPr>
    <w:r w:rsidRPr="00260431">
      <w:rPr>
        <w:i/>
        <w:color w:val="808080" w:themeColor="background1" w:themeShade="80"/>
        <w:sz w:val="22"/>
        <w:szCs w:val="22"/>
      </w:rPr>
      <w:t>EP-C-15-010</w:t>
    </w:r>
    <w:r>
      <w:rPr>
        <w:i/>
        <w:color w:val="808080" w:themeColor="background1" w:themeShade="80"/>
        <w:sz w:val="22"/>
        <w:szCs w:val="22"/>
      </w:rPr>
      <w:t>; WA 2-32 &amp; 3-32</w:t>
    </w:r>
    <w:r w:rsidRPr="00836C9B">
      <w:rPr>
        <w:szCs w:val="24"/>
      </w:rPr>
      <w:tab/>
    </w:r>
    <w:r w:rsidRPr="00836C9B">
      <w:rPr>
        <w:szCs w:val="24"/>
      </w:rPr>
      <w:tab/>
    </w:r>
    <w:r w:rsidRPr="00836C9B">
      <w:rPr>
        <w:szCs w:val="24"/>
      </w:rPr>
      <w:fldChar w:fldCharType="begin"/>
    </w:r>
    <w:r w:rsidRPr="00836C9B">
      <w:rPr>
        <w:szCs w:val="24"/>
      </w:rPr>
      <w:instrText xml:space="preserve"> PAGE   \* MERGEFORMAT </w:instrText>
    </w:r>
    <w:r w:rsidRPr="00836C9B">
      <w:rPr>
        <w:szCs w:val="24"/>
      </w:rPr>
      <w:fldChar w:fldCharType="separate"/>
    </w:r>
    <w:r>
      <w:rPr>
        <w:noProof/>
        <w:szCs w:val="24"/>
      </w:rPr>
      <w:t>xi</w:t>
    </w:r>
    <w:r w:rsidRPr="00836C9B">
      <w:rPr>
        <w:noProof/>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330562"/>
      <w:docPartObj>
        <w:docPartGallery w:val="Page Numbers (Bottom of Page)"/>
        <w:docPartUnique/>
      </w:docPartObj>
    </w:sdtPr>
    <w:sdtEndPr>
      <w:rPr>
        <w:noProof/>
      </w:rPr>
    </w:sdtEndPr>
    <w:sdtContent>
      <w:p w14:paraId="0D590B55" w14:textId="09F93857" w:rsidR="00F17892" w:rsidRDefault="00F17892" w:rsidP="00524619">
        <w:pPr>
          <w:pStyle w:val="Footer"/>
          <w:tabs>
            <w:tab w:val="right" w:pos="12960"/>
          </w:tabs>
        </w:pPr>
        <w:r w:rsidRPr="00260431">
          <w:rPr>
            <w:i/>
            <w:color w:val="808080" w:themeColor="background1" w:themeShade="80"/>
            <w:sz w:val="22"/>
            <w:szCs w:val="22"/>
          </w:rPr>
          <w:t>EP-C-15-010</w:t>
        </w:r>
        <w:r>
          <w:rPr>
            <w:i/>
            <w:color w:val="808080" w:themeColor="background1" w:themeShade="80"/>
            <w:sz w:val="22"/>
            <w:szCs w:val="22"/>
          </w:rPr>
          <w:t>; WA 2-32</w:t>
        </w:r>
        <w:r>
          <w:rPr>
            <w:i/>
            <w:color w:val="808080" w:themeColor="background1" w:themeShade="80"/>
            <w:szCs w:val="24"/>
          </w:rPr>
          <w:tab/>
        </w:r>
        <w:r>
          <w:rPr>
            <w:i/>
            <w:color w:val="808080" w:themeColor="background1" w:themeShade="80"/>
            <w:szCs w:val="24"/>
          </w:rPr>
          <w:tab/>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519319"/>
      <w:docPartObj>
        <w:docPartGallery w:val="Page Numbers (Bottom of Page)"/>
        <w:docPartUnique/>
      </w:docPartObj>
    </w:sdtPr>
    <w:sdtEndPr>
      <w:rPr>
        <w:noProof/>
      </w:rPr>
    </w:sdtEndPr>
    <w:sdtContent>
      <w:p w14:paraId="5AB6A2B3" w14:textId="075EAF99" w:rsidR="00F17892" w:rsidRDefault="00F17892" w:rsidP="00524619">
        <w:pPr>
          <w:pStyle w:val="Footer"/>
          <w:tabs>
            <w:tab w:val="right" w:pos="12960"/>
          </w:tabs>
        </w:pPr>
        <w:r w:rsidRPr="00260431">
          <w:rPr>
            <w:i/>
            <w:color w:val="808080" w:themeColor="background1" w:themeShade="80"/>
            <w:sz w:val="22"/>
            <w:szCs w:val="22"/>
          </w:rPr>
          <w:t>EP-C-15-010</w:t>
        </w:r>
        <w:r>
          <w:rPr>
            <w:i/>
            <w:color w:val="808080" w:themeColor="background1" w:themeShade="80"/>
            <w:sz w:val="22"/>
            <w:szCs w:val="22"/>
          </w:rPr>
          <w:t>; WA 2-32</w:t>
        </w:r>
        <w:r>
          <w:rPr>
            <w:i/>
            <w:color w:val="808080" w:themeColor="background1" w:themeShade="80"/>
            <w:szCs w:val="24"/>
          </w:rPr>
          <w:tab/>
        </w:r>
        <w:r>
          <w:rPr>
            <w:i/>
            <w:color w:val="808080" w:themeColor="background1" w:themeShade="80"/>
            <w:szCs w:val="24"/>
          </w:rPr>
          <w:tab/>
        </w:r>
        <w:r>
          <w:fldChar w:fldCharType="begin"/>
        </w:r>
        <w:r>
          <w:instrText xml:space="preserve"> PAGE   \* MERGEFORMAT </w:instrText>
        </w:r>
        <w:r>
          <w:fldChar w:fldCharType="separate"/>
        </w:r>
        <w:r>
          <w:t>G-1</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770344"/>
      <w:docPartObj>
        <w:docPartGallery w:val="Page Numbers (Bottom of Page)"/>
        <w:docPartUnique/>
      </w:docPartObj>
    </w:sdtPr>
    <w:sdtEndPr>
      <w:rPr>
        <w:noProof/>
      </w:rPr>
    </w:sdtEndPr>
    <w:sdtContent>
      <w:p w14:paraId="6965F36F" w14:textId="7F8517F7" w:rsidR="00F17892" w:rsidRDefault="00F17892" w:rsidP="00524619">
        <w:pPr>
          <w:pStyle w:val="Footer"/>
          <w:tabs>
            <w:tab w:val="right" w:pos="12960"/>
          </w:tabs>
        </w:pPr>
        <w:r w:rsidRPr="00260431">
          <w:rPr>
            <w:i/>
            <w:color w:val="808080" w:themeColor="background1" w:themeShade="80"/>
            <w:sz w:val="22"/>
            <w:szCs w:val="22"/>
          </w:rPr>
          <w:t>EP-C-15-010</w:t>
        </w:r>
        <w:r>
          <w:rPr>
            <w:i/>
            <w:color w:val="808080" w:themeColor="background1" w:themeShade="80"/>
            <w:sz w:val="22"/>
            <w:szCs w:val="22"/>
          </w:rPr>
          <w:t>; WA 2-32</w:t>
        </w:r>
        <w:r>
          <w:rPr>
            <w:i/>
            <w:color w:val="808080" w:themeColor="background1" w:themeShade="80"/>
            <w:szCs w:val="24"/>
          </w:rPr>
          <w:tab/>
        </w:r>
        <w:r>
          <w:rPr>
            <w:i/>
            <w:color w:val="808080" w:themeColor="background1" w:themeShade="80"/>
            <w:szCs w:val="24"/>
          </w:rPr>
          <w:tab/>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654417"/>
      <w:docPartObj>
        <w:docPartGallery w:val="Page Numbers (Bottom of Page)"/>
        <w:docPartUnique/>
      </w:docPartObj>
    </w:sdtPr>
    <w:sdtEndPr>
      <w:rPr>
        <w:noProof/>
      </w:rPr>
    </w:sdtEndPr>
    <w:sdtContent>
      <w:p w14:paraId="05664656" w14:textId="236604E2" w:rsidR="00F17892" w:rsidRDefault="00F17892" w:rsidP="00893683">
        <w:pPr>
          <w:pStyle w:val="Footer"/>
          <w:tabs>
            <w:tab w:val="clear" w:pos="9360"/>
            <w:tab w:val="right" w:pos="9630"/>
            <w:tab w:val="right" w:pos="12960"/>
          </w:tabs>
        </w:pPr>
        <w:r w:rsidRPr="00260431">
          <w:rPr>
            <w:i/>
            <w:color w:val="808080" w:themeColor="background1" w:themeShade="80"/>
            <w:sz w:val="22"/>
            <w:szCs w:val="22"/>
          </w:rPr>
          <w:t>EP-C-15-010</w:t>
        </w:r>
        <w:r>
          <w:rPr>
            <w:i/>
            <w:color w:val="808080" w:themeColor="background1" w:themeShade="80"/>
            <w:sz w:val="22"/>
            <w:szCs w:val="22"/>
          </w:rPr>
          <w:t>; WA 2-32</w:t>
        </w:r>
        <w:r>
          <w:rPr>
            <w:i/>
            <w:color w:val="808080" w:themeColor="background1" w:themeShade="80"/>
            <w:szCs w:val="24"/>
          </w:rPr>
          <w:tab/>
        </w:r>
        <w:r>
          <w:rPr>
            <w:i/>
            <w:color w:val="808080" w:themeColor="background1" w:themeShade="80"/>
            <w:szCs w:val="24"/>
          </w:rPr>
          <w:tab/>
        </w:r>
        <w:r>
          <w:fldChar w:fldCharType="begin"/>
        </w:r>
        <w:r>
          <w:instrText xml:space="preserve"> PAGE   \* MERGEFORMAT </w:instrText>
        </w:r>
        <w:r>
          <w:fldChar w:fldCharType="separate"/>
        </w:r>
        <w:r>
          <w:t>G-1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73783" w14:textId="3A0E608D" w:rsidR="00F17892" w:rsidRPr="00836C9B" w:rsidRDefault="00F17892" w:rsidP="008C348F">
    <w:pPr>
      <w:pStyle w:val="Footer"/>
      <w:tabs>
        <w:tab w:val="right" w:pos="12600"/>
      </w:tabs>
      <w:rPr>
        <w:szCs w:val="24"/>
      </w:rPr>
    </w:pPr>
    <w:r w:rsidRPr="00260431">
      <w:rPr>
        <w:i/>
        <w:color w:val="808080" w:themeColor="background1" w:themeShade="80"/>
        <w:sz w:val="22"/>
        <w:szCs w:val="22"/>
      </w:rPr>
      <w:t>EP-C-15-010</w:t>
    </w:r>
    <w:r>
      <w:rPr>
        <w:i/>
        <w:color w:val="808080" w:themeColor="background1" w:themeShade="80"/>
        <w:sz w:val="22"/>
        <w:szCs w:val="22"/>
      </w:rPr>
      <w:t>; WA 2-32 &amp; 3-32</w:t>
    </w:r>
    <w:r w:rsidRPr="00836C9B">
      <w:rPr>
        <w:szCs w:val="24"/>
      </w:rPr>
      <w:tab/>
    </w:r>
    <w:r w:rsidRPr="00836C9B">
      <w:rPr>
        <w:szCs w:val="24"/>
      </w:rPr>
      <w:tab/>
    </w:r>
    <w:r w:rsidRPr="00836C9B">
      <w:rPr>
        <w:szCs w:val="24"/>
      </w:rPr>
      <w:fldChar w:fldCharType="begin"/>
    </w:r>
    <w:r w:rsidRPr="00836C9B">
      <w:rPr>
        <w:szCs w:val="24"/>
      </w:rPr>
      <w:instrText xml:space="preserve"> PAGE   \* MERGEFORMAT </w:instrText>
    </w:r>
    <w:r w:rsidRPr="00836C9B">
      <w:rPr>
        <w:szCs w:val="24"/>
      </w:rPr>
      <w:fldChar w:fldCharType="separate"/>
    </w:r>
    <w:r>
      <w:rPr>
        <w:noProof/>
        <w:szCs w:val="24"/>
      </w:rPr>
      <w:t>1-3</w:t>
    </w:r>
    <w:r w:rsidRPr="00836C9B">
      <w:rPr>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9B730" w14:textId="2926B545" w:rsidR="00F17892" w:rsidRPr="00836C9B" w:rsidRDefault="00F17892" w:rsidP="008C348F">
    <w:pPr>
      <w:pStyle w:val="Footer"/>
      <w:tabs>
        <w:tab w:val="right" w:pos="12600"/>
      </w:tabs>
      <w:rPr>
        <w:szCs w:val="24"/>
      </w:rPr>
    </w:pPr>
    <w:r w:rsidRPr="00260431">
      <w:rPr>
        <w:i/>
        <w:color w:val="808080" w:themeColor="background1" w:themeShade="80"/>
        <w:sz w:val="22"/>
        <w:szCs w:val="22"/>
      </w:rPr>
      <w:t>EP-C-15-010</w:t>
    </w:r>
    <w:r>
      <w:rPr>
        <w:i/>
        <w:color w:val="808080" w:themeColor="background1" w:themeShade="80"/>
        <w:sz w:val="22"/>
        <w:szCs w:val="22"/>
      </w:rPr>
      <w:t>; WA 2-32 &amp; 3-32</w:t>
    </w:r>
    <w:r w:rsidRPr="00836C9B">
      <w:rPr>
        <w:szCs w:val="24"/>
      </w:rPr>
      <w:tab/>
    </w:r>
    <w:r w:rsidRPr="00836C9B">
      <w:rPr>
        <w:szCs w:val="24"/>
      </w:rPr>
      <w:tab/>
    </w:r>
    <w:r w:rsidRPr="00836C9B">
      <w:rPr>
        <w:szCs w:val="24"/>
      </w:rPr>
      <w:fldChar w:fldCharType="begin"/>
    </w:r>
    <w:r w:rsidRPr="00836C9B">
      <w:rPr>
        <w:szCs w:val="24"/>
      </w:rPr>
      <w:instrText xml:space="preserve"> PAGE   \* MERGEFORMAT </w:instrText>
    </w:r>
    <w:r w:rsidRPr="00836C9B">
      <w:rPr>
        <w:szCs w:val="24"/>
      </w:rPr>
      <w:fldChar w:fldCharType="separate"/>
    </w:r>
    <w:r>
      <w:rPr>
        <w:noProof/>
        <w:szCs w:val="24"/>
      </w:rPr>
      <w:t>1-3</w:t>
    </w:r>
    <w:r w:rsidRPr="00836C9B">
      <w:rPr>
        <w:noProof/>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C5BE" w14:textId="7EBFCC36" w:rsidR="00F17892" w:rsidRPr="00836C9B" w:rsidRDefault="00F17892" w:rsidP="00087996">
    <w:pPr>
      <w:pStyle w:val="Footer"/>
      <w:tabs>
        <w:tab w:val="clear" w:pos="9360"/>
        <w:tab w:val="right" w:pos="12960"/>
      </w:tabs>
      <w:rPr>
        <w:szCs w:val="24"/>
      </w:rPr>
    </w:pPr>
    <w:r w:rsidRPr="00260431">
      <w:rPr>
        <w:i/>
        <w:color w:val="808080" w:themeColor="background1" w:themeShade="80"/>
        <w:sz w:val="22"/>
        <w:szCs w:val="22"/>
      </w:rPr>
      <w:t>EP-C-15-010</w:t>
    </w:r>
    <w:r>
      <w:rPr>
        <w:i/>
        <w:color w:val="808080" w:themeColor="background1" w:themeShade="80"/>
        <w:sz w:val="22"/>
        <w:szCs w:val="22"/>
      </w:rPr>
      <w:t>; WA 2-32 &amp; 3-32</w:t>
    </w:r>
    <w:r w:rsidRPr="00836C9B">
      <w:rPr>
        <w:szCs w:val="24"/>
      </w:rPr>
      <w:tab/>
    </w:r>
    <w:r w:rsidRPr="00836C9B">
      <w:rPr>
        <w:szCs w:val="24"/>
      </w:rPr>
      <w:tab/>
    </w:r>
    <w:r w:rsidRPr="00836C9B">
      <w:rPr>
        <w:szCs w:val="24"/>
      </w:rPr>
      <w:fldChar w:fldCharType="begin"/>
    </w:r>
    <w:r w:rsidRPr="00836C9B">
      <w:rPr>
        <w:szCs w:val="24"/>
      </w:rPr>
      <w:instrText xml:space="preserve"> PAGE   \* MERGEFORMAT </w:instrText>
    </w:r>
    <w:r w:rsidRPr="00836C9B">
      <w:rPr>
        <w:szCs w:val="24"/>
      </w:rPr>
      <w:fldChar w:fldCharType="separate"/>
    </w:r>
    <w:r>
      <w:rPr>
        <w:noProof/>
        <w:szCs w:val="24"/>
      </w:rPr>
      <w:t>1-4</w:t>
    </w:r>
    <w:r w:rsidRPr="00836C9B">
      <w:rPr>
        <w:noProof/>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59B0D" w14:textId="77777777" w:rsidR="00F17892" w:rsidRPr="00836C9B" w:rsidRDefault="00F17892" w:rsidP="00087996">
    <w:pPr>
      <w:pStyle w:val="Footer"/>
      <w:tabs>
        <w:tab w:val="clear" w:pos="9360"/>
        <w:tab w:val="right" w:pos="12960"/>
      </w:tabs>
      <w:rPr>
        <w:szCs w:val="24"/>
      </w:rPr>
    </w:pPr>
    <w:r w:rsidRPr="00260431">
      <w:rPr>
        <w:i/>
        <w:color w:val="808080" w:themeColor="background1" w:themeShade="80"/>
        <w:sz w:val="22"/>
        <w:szCs w:val="22"/>
      </w:rPr>
      <w:t>EP-C-15-010</w:t>
    </w:r>
    <w:r>
      <w:rPr>
        <w:i/>
        <w:color w:val="808080" w:themeColor="background1" w:themeShade="80"/>
        <w:sz w:val="22"/>
        <w:szCs w:val="22"/>
      </w:rPr>
      <w:t>; WA 2-32</w:t>
    </w:r>
    <w:r w:rsidRPr="00836C9B">
      <w:rPr>
        <w:szCs w:val="24"/>
      </w:rPr>
      <w:tab/>
    </w:r>
    <w:r w:rsidRPr="00836C9B">
      <w:rPr>
        <w:szCs w:val="24"/>
      </w:rPr>
      <w:tab/>
    </w:r>
    <w:r w:rsidRPr="00836C9B">
      <w:rPr>
        <w:szCs w:val="24"/>
      </w:rPr>
      <w:fldChar w:fldCharType="begin"/>
    </w:r>
    <w:r w:rsidRPr="00836C9B">
      <w:rPr>
        <w:szCs w:val="24"/>
      </w:rPr>
      <w:instrText xml:space="preserve"> PAGE   \* MERGEFORMAT </w:instrText>
    </w:r>
    <w:r w:rsidRPr="00836C9B">
      <w:rPr>
        <w:szCs w:val="24"/>
      </w:rPr>
      <w:fldChar w:fldCharType="separate"/>
    </w:r>
    <w:r>
      <w:rPr>
        <w:noProof/>
        <w:szCs w:val="24"/>
      </w:rPr>
      <w:t>1-4</w:t>
    </w:r>
    <w:r w:rsidRPr="00836C9B">
      <w:rPr>
        <w:noProof/>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E5991" w14:textId="620281BC" w:rsidR="00F17892" w:rsidRPr="00D6650A" w:rsidRDefault="00F17892" w:rsidP="00582DDF">
    <w:pPr>
      <w:pStyle w:val="Footer"/>
      <w:rPr>
        <w:szCs w:val="24"/>
      </w:rPr>
    </w:pPr>
    <w:r w:rsidRPr="00011941">
      <w:rPr>
        <w:i/>
        <w:color w:val="808080" w:themeColor="background1" w:themeShade="80"/>
        <w:sz w:val="22"/>
        <w:szCs w:val="22"/>
      </w:rPr>
      <w:t>EP-C-14-022 WA 1-11</w:t>
    </w:r>
    <w:sdt>
      <w:sdtPr>
        <w:rPr>
          <w:sz w:val="22"/>
          <w:szCs w:val="22"/>
        </w:rPr>
        <w:id w:val="1003783472"/>
        <w:docPartObj>
          <w:docPartGallery w:val="Page Numbers (Bottom of Page)"/>
          <w:docPartUnique/>
        </w:docPartObj>
      </w:sdtPr>
      <w:sdtEndPr>
        <w:rPr>
          <w:noProof/>
          <w:sz w:val="24"/>
          <w:szCs w:val="24"/>
        </w:rPr>
      </w:sdtEndPr>
      <w:sdtContent>
        <w:r w:rsidRPr="00836C9B">
          <w:rPr>
            <w:szCs w:val="24"/>
          </w:rPr>
          <w:tab/>
        </w:r>
        <w:r w:rsidRPr="00836C9B">
          <w:rPr>
            <w:szCs w:val="24"/>
          </w:rPr>
          <w:tab/>
        </w:r>
        <w:r w:rsidRPr="00836C9B">
          <w:rPr>
            <w:szCs w:val="24"/>
          </w:rPr>
          <w:fldChar w:fldCharType="begin"/>
        </w:r>
        <w:r w:rsidRPr="00836C9B">
          <w:rPr>
            <w:szCs w:val="24"/>
          </w:rPr>
          <w:instrText xml:space="preserve"> PAGE   \* MERGEFORMAT </w:instrText>
        </w:r>
        <w:r w:rsidRPr="00836C9B">
          <w:rPr>
            <w:szCs w:val="24"/>
          </w:rPr>
          <w:fldChar w:fldCharType="separate"/>
        </w:r>
        <w:r>
          <w:rPr>
            <w:noProof/>
            <w:szCs w:val="24"/>
          </w:rPr>
          <w:t>7-1</w:t>
        </w:r>
        <w:r w:rsidRPr="00836C9B">
          <w:rPr>
            <w:noProof/>
            <w:szCs w:val="24"/>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63B9E" w14:textId="45F9880D" w:rsidR="00F17892" w:rsidRPr="00836C9B" w:rsidRDefault="00F17892" w:rsidP="00087996">
    <w:pPr>
      <w:pStyle w:val="Footer"/>
      <w:tabs>
        <w:tab w:val="clear" w:pos="9360"/>
        <w:tab w:val="right" w:pos="12960"/>
      </w:tabs>
      <w:rPr>
        <w:szCs w:val="24"/>
      </w:rPr>
    </w:pPr>
    <w:r w:rsidRPr="00260431">
      <w:rPr>
        <w:i/>
        <w:color w:val="808080" w:themeColor="background1" w:themeShade="80"/>
        <w:sz w:val="22"/>
        <w:szCs w:val="22"/>
      </w:rPr>
      <w:t>EP-C-15-010</w:t>
    </w:r>
    <w:r>
      <w:rPr>
        <w:i/>
        <w:color w:val="808080" w:themeColor="background1" w:themeShade="80"/>
        <w:sz w:val="22"/>
        <w:szCs w:val="22"/>
      </w:rPr>
      <w:t>; WA 2-32 &amp; 3-32</w:t>
    </w:r>
    <w:r w:rsidRPr="00836C9B">
      <w:rPr>
        <w:szCs w:val="24"/>
      </w:rPr>
      <w:tab/>
    </w:r>
    <w:r w:rsidRPr="00836C9B">
      <w:rPr>
        <w:szCs w:val="24"/>
      </w:rPr>
      <w:tab/>
    </w:r>
    <w:r w:rsidRPr="00836C9B">
      <w:rPr>
        <w:szCs w:val="24"/>
      </w:rPr>
      <w:fldChar w:fldCharType="begin"/>
    </w:r>
    <w:r w:rsidRPr="00836C9B">
      <w:rPr>
        <w:szCs w:val="24"/>
      </w:rPr>
      <w:instrText xml:space="preserve"> PAGE   \* MERGEFORMAT </w:instrText>
    </w:r>
    <w:r w:rsidRPr="00836C9B">
      <w:rPr>
        <w:szCs w:val="24"/>
      </w:rPr>
      <w:fldChar w:fldCharType="separate"/>
    </w:r>
    <w:r>
      <w:rPr>
        <w:noProof/>
        <w:szCs w:val="24"/>
      </w:rPr>
      <w:t>1-4</w:t>
    </w:r>
    <w:r w:rsidRPr="00836C9B">
      <w:rPr>
        <w:noProof/>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052321"/>
      <w:docPartObj>
        <w:docPartGallery w:val="Page Numbers (Bottom of Page)"/>
        <w:docPartUnique/>
      </w:docPartObj>
    </w:sdtPr>
    <w:sdtEndPr>
      <w:rPr>
        <w:noProof/>
      </w:rPr>
    </w:sdtEndPr>
    <w:sdtContent>
      <w:p w14:paraId="70CFBA50" w14:textId="3825CD8F" w:rsidR="00F17892" w:rsidRPr="007277B5" w:rsidRDefault="00F17892" w:rsidP="007277B5">
        <w:pPr>
          <w:pStyle w:val="Footer"/>
          <w:tabs>
            <w:tab w:val="clear" w:pos="9360"/>
            <w:tab w:val="right" w:pos="9630"/>
            <w:tab w:val="right" w:pos="12960"/>
          </w:tabs>
        </w:pPr>
        <w:r w:rsidRPr="00260431">
          <w:rPr>
            <w:i/>
            <w:color w:val="808080" w:themeColor="background1" w:themeShade="80"/>
            <w:sz w:val="22"/>
            <w:szCs w:val="22"/>
          </w:rPr>
          <w:t>EP-C-15-010</w:t>
        </w:r>
        <w:r>
          <w:rPr>
            <w:i/>
            <w:color w:val="808080" w:themeColor="background1" w:themeShade="80"/>
            <w:sz w:val="22"/>
            <w:szCs w:val="22"/>
          </w:rPr>
          <w:t>; WA 2-32</w:t>
        </w:r>
        <w:r w:rsidRPr="007277B5">
          <w:rPr>
            <w:i/>
            <w:szCs w:val="24"/>
          </w:rPr>
          <w:tab/>
        </w:r>
        <w:r w:rsidRPr="007277B5">
          <w:rPr>
            <w:i/>
            <w:szCs w:val="24"/>
          </w:rPr>
          <w:tab/>
        </w:r>
        <w:r w:rsidRPr="007277B5">
          <w:fldChar w:fldCharType="begin"/>
        </w:r>
        <w:r w:rsidRPr="007277B5">
          <w:instrText xml:space="preserve"> PAGE   \* MERGEFORMAT </w:instrText>
        </w:r>
        <w:r w:rsidRPr="007277B5">
          <w:fldChar w:fldCharType="separate"/>
        </w:r>
        <w:r>
          <w:rPr>
            <w:noProof/>
          </w:rPr>
          <w:t>9-3</w:t>
        </w:r>
        <w:r w:rsidRPr="007277B5">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397934"/>
      <w:docPartObj>
        <w:docPartGallery w:val="Page Numbers (Bottom of Page)"/>
        <w:docPartUnique/>
      </w:docPartObj>
    </w:sdtPr>
    <w:sdtEndPr>
      <w:rPr>
        <w:noProof/>
      </w:rPr>
    </w:sdtEndPr>
    <w:sdtContent>
      <w:p w14:paraId="7A8359C5" w14:textId="5F9CB292" w:rsidR="00F17892" w:rsidRPr="007277B5" w:rsidRDefault="00F17892" w:rsidP="007277B5">
        <w:pPr>
          <w:pStyle w:val="Footer"/>
          <w:tabs>
            <w:tab w:val="clear" w:pos="9360"/>
            <w:tab w:val="right" w:pos="9630"/>
            <w:tab w:val="right" w:pos="12960"/>
          </w:tabs>
        </w:pPr>
        <w:r w:rsidRPr="00260431">
          <w:rPr>
            <w:i/>
            <w:color w:val="808080" w:themeColor="background1" w:themeShade="80"/>
            <w:sz w:val="22"/>
            <w:szCs w:val="22"/>
          </w:rPr>
          <w:t>EP-C-15-010</w:t>
        </w:r>
        <w:r>
          <w:rPr>
            <w:i/>
            <w:color w:val="808080" w:themeColor="background1" w:themeShade="80"/>
            <w:sz w:val="22"/>
            <w:szCs w:val="22"/>
          </w:rPr>
          <w:t>; WA 2-32</w:t>
        </w:r>
        <w:r w:rsidRPr="007277B5">
          <w:rPr>
            <w:i/>
            <w:szCs w:val="24"/>
          </w:rPr>
          <w:tab/>
        </w:r>
        <w:r w:rsidRPr="007277B5">
          <w:rPr>
            <w:i/>
            <w:szCs w:val="24"/>
          </w:rPr>
          <w:tab/>
        </w:r>
        <w:r w:rsidRPr="007277B5">
          <w:fldChar w:fldCharType="begin"/>
        </w:r>
        <w:r w:rsidRPr="007277B5">
          <w:instrText xml:space="preserve"> PAGE   \* MERGEFORMAT </w:instrText>
        </w:r>
        <w:r w:rsidRPr="007277B5">
          <w:fldChar w:fldCharType="separate"/>
        </w:r>
        <w:r>
          <w:rPr>
            <w:noProof/>
          </w:rPr>
          <w:t>10-7</w:t>
        </w:r>
        <w:r w:rsidRPr="007277B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F15FD" w14:textId="77777777" w:rsidR="00F17892" w:rsidRDefault="00F17892">
      <w:r>
        <w:separator/>
      </w:r>
    </w:p>
  </w:footnote>
  <w:footnote w:type="continuationSeparator" w:id="0">
    <w:p w14:paraId="54C066A7" w14:textId="77777777" w:rsidR="00F17892" w:rsidRDefault="00F17892">
      <w:r>
        <w:continuationSeparator/>
      </w:r>
    </w:p>
  </w:footnote>
  <w:footnote w:type="continuationNotice" w:id="1">
    <w:p w14:paraId="4894B67C" w14:textId="77777777" w:rsidR="00F17892" w:rsidRDefault="00F17892"/>
  </w:footnote>
  <w:footnote w:id="2">
    <w:p w14:paraId="068E4195" w14:textId="405A2331" w:rsidR="00F17892" w:rsidRDefault="00F17892" w:rsidP="00DC704B">
      <w:pPr>
        <w:pStyle w:val="FootnoteText"/>
      </w:pPr>
      <w:r>
        <w:rPr>
          <w:rStyle w:val="FootnoteReference"/>
        </w:rPr>
        <w:footnoteRef/>
      </w:r>
      <w:r>
        <w:t xml:space="preserve"> “The name of this method “ReCiPe” is derived from two factors. First, the method provides a recipe to calculate life cycle impact categories. Second, the acronym represents the initials of institutes that were the main contributors: RIVM and Radboud University, CML, and PRѐ” (Goedkoop et al., 2009).</w:t>
      </w:r>
    </w:p>
  </w:footnote>
  <w:footnote w:id="3">
    <w:p w14:paraId="69152A3B" w14:textId="179E3ED2" w:rsidR="00F17892" w:rsidRDefault="00F17892">
      <w:pPr>
        <w:pStyle w:val="FootnoteText"/>
      </w:pPr>
      <w:r>
        <w:rPr>
          <w:rStyle w:val="FootnoteReference"/>
        </w:rPr>
        <w:footnoteRef/>
      </w:r>
      <w:r>
        <w:t xml:space="preserve"> It is important to mention that the company Ecoloblue is not operational any longer, but it was operating at the time this study was conducted. The</w:t>
      </w:r>
      <w:r w:rsidRPr="002757C5">
        <w:t xml:space="preserve"> additional data points </w:t>
      </w:r>
      <w:r>
        <w:t xml:space="preserve">from Ecoloblue </w:t>
      </w:r>
      <w:r w:rsidRPr="002757C5">
        <w:t xml:space="preserve">are useful for determining a range of </w:t>
      </w:r>
      <w:r>
        <w:t xml:space="preserve">AWG LCA </w:t>
      </w:r>
      <w:r w:rsidRPr="002757C5">
        <w:t>results.</w:t>
      </w:r>
    </w:p>
  </w:footnote>
  <w:footnote w:id="4">
    <w:p w14:paraId="5DF72A6E" w14:textId="77777777" w:rsidR="00F17892" w:rsidRDefault="00F17892" w:rsidP="00C90E54">
      <w:pPr>
        <w:pStyle w:val="FootnoteText"/>
        <w:ind w:left="90" w:hanging="90"/>
      </w:pPr>
      <w:r>
        <w:rPr>
          <w:rStyle w:val="FootnoteReference"/>
        </w:rPr>
        <w:footnoteRef/>
      </w:r>
      <w:r>
        <w:t xml:space="preserve"> </w:t>
      </w:r>
      <w:r w:rsidRPr="00195BBC">
        <w:rPr>
          <w:i/>
        </w:rPr>
        <w:t>Existing data</w:t>
      </w:r>
      <w:r w:rsidRPr="00195BBC">
        <w:t xml:space="preserve"> means information and measurements that were originally produced for one purpose that are recompiled or reassessed for a different purpose. Existing data are also called secondary data. Sources of existing data may include published reports, journal articles, LCI and government databases, and industry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B9BFC" w14:textId="2790E526" w:rsidR="00F17892" w:rsidRPr="00C477BE" w:rsidRDefault="00F17892" w:rsidP="008709BA">
    <w:pPr>
      <w:pStyle w:val="Header"/>
      <w:rPr>
        <w:i w:val="0"/>
        <w:color w:val="808080" w:themeColor="background1" w:themeShade="80"/>
      </w:rPr>
    </w:pPr>
    <w:r>
      <w:rPr>
        <w:noProof/>
      </w:rPr>
      <w:fldChar w:fldCharType="begin"/>
    </w:r>
    <w:r>
      <w:rPr>
        <w:noProof/>
      </w:rPr>
      <w:instrText xml:space="preserve"> STYLEREF  "Heading 1_no number"  \* MERGEFORMAT </w:instrText>
    </w:r>
    <w:r>
      <w:rPr>
        <w:noProof/>
      </w:rPr>
      <w:fldChar w:fldCharType="separate"/>
    </w:r>
    <w:r w:rsidR="00FD7FEE">
      <w:rPr>
        <w:noProof/>
      </w:rPr>
      <w:t>Abstract</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AFE20" w14:textId="690A9362" w:rsidR="00F17892" w:rsidRPr="00C477BE" w:rsidRDefault="00F17892" w:rsidP="008709BA">
    <w:pPr>
      <w:pStyle w:val="Header"/>
      <w:rPr>
        <w:i w:val="0"/>
        <w:color w:val="808080" w:themeColor="background1" w:themeShade="80"/>
      </w:rPr>
    </w:pPr>
    <w:r>
      <w:t xml:space="preserve">Section </w:t>
    </w:r>
    <w:r>
      <w:rPr>
        <w:noProof/>
      </w:rPr>
      <w:fldChar w:fldCharType="begin"/>
    </w:r>
    <w:r>
      <w:rPr>
        <w:noProof/>
      </w:rPr>
      <w:instrText xml:space="preserve"> STYLEREF  "Heading 1" \n </w:instrText>
    </w:r>
    <w:r>
      <w:rPr>
        <w:noProof/>
      </w:rPr>
      <w:fldChar w:fldCharType="separate"/>
    </w:r>
    <w:r w:rsidR="00FD7FEE">
      <w:rPr>
        <w:noProof/>
      </w:rPr>
      <w:t>2</w:t>
    </w:r>
    <w:r>
      <w:rPr>
        <w:noProof/>
      </w:rPr>
      <w:fldChar w:fldCharType="end"/>
    </w:r>
    <w:r>
      <w:t>—</w:t>
    </w:r>
    <w:r>
      <w:rPr>
        <w:noProof/>
      </w:rPr>
      <w:fldChar w:fldCharType="begin"/>
    </w:r>
    <w:r>
      <w:rPr>
        <w:noProof/>
      </w:rPr>
      <w:instrText xml:space="preserve"> STYLEREF  "Heading 1"  \* MERGEFORMAT </w:instrText>
    </w:r>
    <w:r>
      <w:rPr>
        <w:noProof/>
      </w:rPr>
      <w:fldChar w:fldCharType="separate"/>
    </w:r>
    <w:r w:rsidR="00FD7FEE">
      <w:rPr>
        <w:noProof/>
      </w:rPr>
      <w:t>Methods</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B7B36" w14:textId="404E49D8" w:rsidR="00F17892" w:rsidRPr="00F65F63" w:rsidRDefault="00F17892" w:rsidP="00C54549">
    <w:pPr>
      <w:pStyle w:val="Header"/>
      <w:rPr>
        <w:i w:val="0"/>
        <w:color w:val="7F7F7F" w:themeColor="text1" w:themeTint="80"/>
      </w:rPr>
    </w:pPr>
    <w:r>
      <w:t xml:space="preserve">Section </w:t>
    </w:r>
    <w:r>
      <w:rPr>
        <w:noProof/>
      </w:rPr>
      <w:fldChar w:fldCharType="begin"/>
    </w:r>
    <w:r>
      <w:rPr>
        <w:noProof/>
      </w:rPr>
      <w:instrText xml:space="preserve"> STYLEREF  "Heading 1" \n </w:instrText>
    </w:r>
    <w:r>
      <w:rPr>
        <w:noProof/>
      </w:rPr>
      <w:fldChar w:fldCharType="separate"/>
    </w:r>
    <w:r w:rsidR="00FD7FEE">
      <w:rPr>
        <w:noProof/>
      </w:rPr>
      <w:t>4</w:t>
    </w:r>
    <w:r>
      <w:rPr>
        <w:noProof/>
      </w:rPr>
      <w:fldChar w:fldCharType="end"/>
    </w:r>
    <w:r>
      <w:rPr>
        <w:noProof/>
      </w:rPr>
      <w:t xml:space="preserve">: </w:t>
    </w:r>
    <w:r>
      <w:rPr>
        <w:noProof/>
      </w:rPr>
      <w:fldChar w:fldCharType="begin"/>
    </w:r>
    <w:r>
      <w:rPr>
        <w:noProof/>
      </w:rPr>
      <w:instrText xml:space="preserve"> STYLEREF  "Heading 1"  \* MERGEFORMAT </w:instrText>
    </w:r>
    <w:r>
      <w:rPr>
        <w:noProof/>
      </w:rPr>
      <w:fldChar w:fldCharType="separate"/>
    </w:r>
    <w:r w:rsidR="00FD7FEE">
      <w:rPr>
        <w:noProof/>
      </w:rPr>
      <w:t>LCA Results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BD908" w14:textId="77777777" w:rsidR="00F17892" w:rsidRPr="00F65F63" w:rsidRDefault="00F17892" w:rsidP="00974DEE">
    <w:pPr>
      <w:pStyle w:val="Header"/>
      <w:rPr>
        <w:i w:val="0"/>
        <w:color w:val="7F7F7F" w:themeColor="text1" w:themeTint="80"/>
      </w:rPr>
    </w:pPr>
    <w:r>
      <w:rPr>
        <w:color w:val="7F7F7F" w:themeColor="text1" w:themeTint="80"/>
      </w:rPr>
      <w:t>Section 6: Summary Baseline Results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1493F" w14:textId="135A505C" w:rsidR="00F17892" w:rsidRPr="00F65F63" w:rsidRDefault="00F17892" w:rsidP="007900B7">
    <w:pPr>
      <w:pStyle w:val="Header"/>
      <w:rPr>
        <w:i w:val="0"/>
        <w:color w:val="7F7F7F" w:themeColor="text1" w:themeTint="80"/>
      </w:rPr>
    </w:pPr>
    <w:r>
      <w:t xml:space="preserve">Section </w:t>
    </w:r>
    <w:r>
      <w:rPr>
        <w:noProof/>
      </w:rPr>
      <w:fldChar w:fldCharType="begin"/>
    </w:r>
    <w:r>
      <w:rPr>
        <w:noProof/>
      </w:rPr>
      <w:instrText xml:space="preserve"> STYLEREF  "Heading 1" \n </w:instrText>
    </w:r>
    <w:r>
      <w:rPr>
        <w:noProof/>
      </w:rPr>
      <w:fldChar w:fldCharType="separate"/>
    </w:r>
    <w:r w:rsidR="00FD7FEE">
      <w:rPr>
        <w:noProof/>
      </w:rPr>
      <w:t>5</w:t>
    </w:r>
    <w:r>
      <w:rPr>
        <w:noProof/>
      </w:rPr>
      <w:fldChar w:fldCharType="end"/>
    </w:r>
    <w:r>
      <w:rPr>
        <w:noProof/>
      </w:rPr>
      <w:t xml:space="preserve">: </w:t>
    </w:r>
    <w:r>
      <w:rPr>
        <w:noProof/>
      </w:rPr>
      <w:fldChar w:fldCharType="begin"/>
    </w:r>
    <w:r>
      <w:rPr>
        <w:noProof/>
      </w:rPr>
      <w:instrText xml:space="preserve"> STYLEREF  "Heading 1"  \* MERGEFORMAT </w:instrText>
    </w:r>
    <w:r>
      <w:rPr>
        <w:noProof/>
      </w:rPr>
      <w:fldChar w:fldCharType="separate"/>
    </w:r>
    <w:r w:rsidR="00FD7FEE">
      <w:rPr>
        <w:noProof/>
      </w:rPr>
      <w:t>Conclusions and Next Steps</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3A620" w14:textId="1B43FDDD" w:rsidR="00F17892" w:rsidRPr="00F65F63" w:rsidRDefault="00F17892" w:rsidP="007900B7">
    <w:pPr>
      <w:pStyle w:val="Header"/>
      <w:rPr>
        <w:i w:val="0"/>
        <w:color w:val="7F7F7F" w:themeColor="text1" w:themeTint="80"/>
      </w:rPr>
    </w:pPr>
    <w:r>
      <w:t xml:space="preserve">Section </w:t>
    </w:r>
    <w:r>
      <w:rPr>
        <w:noProof/>
      </w:rPr>
      <w:fldChar w:fldCharType="begin"/>
    </w:r>
    <w:r>
      <w:rPr>
        <w:noProof/>
      </w:rPr>
      <w:instrText xml:space="preserve"> STYLEREF  "Heading 1" \n </w:instrText>
    </w:r>
    <w:r>
      <w:rPr>
        <w:noProof/>
      </w:rPr>
      <w:fldChar w:fldCharType="separate"/>
    </w:r>
    <w:r w:rsidR="00FD7FEE">
      <w:rPr>
        <w:noProof/>
      </w:rPr>
      <w:t>6</w:t>
    </w:r>
    <w:r>
      <w:rPr>
        <w:noProof/>
      </w:rPr>
      <w:fldChar w:fldCharType="end"/>
    </w:r>
    <w:r>
      <w:rPr>
        <w:noProof/>
      </w:rPr>
      <w:t xml:space="preserve">: </w:t>
    </w:r>
    <w:r>
      <w:rPr>
        <w:noProof/>
      </w:rPr>
      <w:fldChar w:fldCharType="begin"/>
    </w:r>
    <w:r>
      <w:rPr>
        <w:noProof/>
      </w:rPr>
      <w:instrText xml:space="preserve"> STYLEREF  "Heading 1"  \* MERGEFORMAT </w:instrText>
    </w:r>
    <w:r>
      <w:rPr>
        <w:noProof/>
      </w:rPr>
      <w:fldChar w:fldCharType="separate"/>
    </w:r>
    <w:r w:rsidR="00FD7FEE">
      <w:rPr>
        <w:noProof/>
      </w:rPr>
      <w:t>References</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37D36" w14:textId="6B64862C" w:rsidR="00F17892" w:rsidRPr="00893683" w:rsidRDefault="00F17892" w:rsidP="007900B7">
    <w:pPr>
      <w:pStyle w:val="Header"/>
    </w:pPr>
    <w:r w:rsidRPr="00893683">
      <w:fldChar w:fldCharType="begin"/>
    </w:r>
    <w:r w:rsidRPr="00893683">
      <w:instrText xml:space="preserve"> REF _Ref525244946 \n \h  \* MERGEFORMAT </w:instrText>
    </w:r>
    <w:r w:rsidRPr="00893683">
      <w:fldChar w:fldCharType="separate"/>
    </w:r>
    <w:r w:rsidRPr="00893683">
      <w:t>Appendix A</w:t>
    </w:r>
    <w:r w:rsidRPr="00893683">
      <w:fldChar w:fldCharType="end"/>
    </w:r>
    <w:r w:rsidRPr="00893683">
      <w:fldChar w:fldCharType="begin"/>
    </w:r>
    <w:r w:rsidRPr="00893683">
      <w:instrText xml:space="preserve"> REF _Ref525244946 \h  \* MERGEFORMAT </w:instrText>
    </w:r>
    <w:r w:rsidRPr="00893683">
      <w:fldChar w:fldCharType="separate"/>
    </w:r>
    <w:r w:rsidRPr="00893683">
      <w:rPr>
        <w:rFonts w:eastAsiaTheme="majorEastAsia" w:cstheme="majorBidi"/>
        <w:bCs/>
        <w:iCs/>
      </w:rPr>
      <w:t>: AWG Inventory Data Compiled</w:t>
    </w:r>
    <w:r w:rsidRPr="00893683">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BA295" w14:textId="77777777" w:rsidR="00F17892" w:rsidRPr="00893683" w:rsidRDefault="00F17892" w:rsidP="007900B7">
    <w:pPr>
      <w:pStyle w:val="Header"/>
    </w:pPr>
    <w:r w:rsidRPr="00893683">
      <w:fldChar w:fldCharType="begin"/>
    </w:r>
    <w:r w:rsidRPr="00893683">
      <w:instrText xml:space="preserve"> REF _Ref525244946 \n \h  \* MERGEFORMAT </w:instrText>
    </w:r>
    <w:r w:rsidRPr="00893683">
      <w:fldChar w:fldCharType="separate"/>
    </w:r>
    <w:r w:rsidRPr="00893683">
      <w:t>Appendix A</w:t>
    </w:r>
    <w:r w:rsidRPr="00893683">
      <w:fldChar w:fldCharType="end"/>
    </w:r>
    <w:r w:rsidRPr="00893683">
      <w:fldChar w:fldCharType="begin"/>
    </w:r>
    <w:r w:rsidRPr="00893683">
      <w:instrText xml:space="preserve"> REF _Ref525244946 \h  \* MERGEFORMAT </w:instrText>
    </w:r>
    <w:r w:rsidRPr="00893683">
      <w:fldChar w:fldCharType="separate"/>
    </w:r>
    <w:r w:rsidRPr="00893683">
      <w:rPr>
        <w:rFonts w:eastAsiaTheme="majorEastAsia" w:cstheme="majorBidi"/>
        <w:bCs/>
        <w:iCs/>
      </w:rPr>
      <w:t>: AWG Inventory Data Compiled</w:t>
    </w:r>
    <w:r w:rsidRPr="00893683">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02B22" w14:textId="12273AA7" w:rsidR="00F17892" w:rsidRPr="00893683" w:rsidRDefault="00F17892" w:rsidP="007900B7">
    <w:pPr>
      <w:pStyle w:val="Header"/>
    </w:pPr>
    <w:r w:rsidRPr="00893683">
      <w:fldChar w:fldCharType="begin"/>
    </w:r>
    <w:r w:rsidRPr="00893683">
      <w:instrText xml:space="preserve"> REF _Ref525245388 \n \h  \* MERGEFORMAT </w:instrText>
    </w:r>
    <w:r w:rsidRPr="00893683">
      <w:fldChar w:fldCharType="separate"/>
    </w:r>
    <w:r w:rsidRPr="00893683">
      <w:t>Appendix B</w:t>
    </w:r>
    <w:r w:rsidRPr="00893683">
      <w:fldChar w:fldCharType="end"/>
    </w:r>
    <w:r w:rsidRPr="00893683">
      <w:fldChar w:fldCharType="begin"/>
    </w:r>
    <w:r w:rsidRPr="00893683">
      <w:instrText xml:space="preserve"> REF _Ref525245388 \h  \* MERGEFORMAT </w:instrText>
    </w:r>
    <w:r w:rsidRPr="00893683">
      <w:fldChar w:fldCharType="separate"/>
    </w:r>
    <w:r w:rsidRPr="00893683">
      <w:t xml:space="preserve">: </w:t>
    </w:r>
    <w:r w:rsidRPr="00893683">
      <w:rPr>
        <w:rStyle w:val="Hyperlink"/>
        <w:noProof/>
        <w:color w:val="000000" w:themeColor="text1"/>
        <w:u w:val="none"/>
      </w:rPr>
      <w:t>Life Cycle Results Calculator</w:t>
    </w:r>
    <w:r w:rsidRPr="00893683">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7AE1E" w14:textId="183E1EFF" w:rsidR="00F17892" w:rsidRPr="00893683" w:rsidRDefault="00F17892" w:rsidP="00893683">
    <w:pPr>
      <w:pStyle w:val="Header"/>
    </w:pPr>
    <w:r w:rsidRPr="00893683">
      <w:fldChar w:fldCharType="begin"/>
    </w:r>
    <w:r w:rsidRPr="00893683">
      <w:instrText xml:space="preserve"> REF _Ref525245388 \n \h  \* MERGEFORMAT </w:instrText>
    </w:r>
    <w:r w:rsidRPr="00893683">
      <w:fldChar w:fldCharType="separate"/>
    </w:r>
    <w:r w:rsidRPr="00893683">
      <w:t>Appendix B</w:t>
    </w:r>
    <w:r w:rsidRPr="00893683">
      <w:fldChar w:fldCharType="end"/>
    </w:r>
    <w:r w:rsidRPr="00893683">
      <w:fldChar w:fldCharType="begin"/>
    </w:r>
    <w:r w:rsidRPr="00893683">
      <w:instrText xml:space="preserve"> REF _Ref525245388 \h  \* MERGEFORMAT </w:instrText>
    </w:r>
    <w:r w:rsidRPr="00893683">
      <w:fldChar w:fldCharType="separate"/>
    </w:r>
    <w:r w:rsidRPr="00893683">
      <w:t xml:space="preserve">: </w:t>
    </w:r>
    <w:r w:rsidRPr="00893683">
      <w:rPr>
        <w:rStyle w:val="Hyperlink"/>
        <w:noProof/>
        <w:color w:val="000000" w:themeColor="text1"/>
        <w:u w:val="none"/>
      </w:rPr>
      <w:t>Life Cycle Results Calculator</w:t>
    </w:r>
    <w:r w:rsidRPr="008936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EBB7" w14:textId="77777777" w:rsidR="00F17892" w:rsidRPr="00F65F63" w:rsidRDefault="00F17892" w:rsidP="00974DEE">
    <w:pPr>
      <w:pStyle w:val="Header"/>
      <w:rPr>
        <w:i w:val="0"/>
        <w:color w:val="7F7F7F" w:themeColor="text1" w:themeTint="80"/>
      </w:rPr>
    </w:pPr>
    <w:r>
      <w:rPr>
        <w:color w:val="7F7F7F" w:themeColor="text1" w:themeTint="80"/>
      </w:rPr>
      <w:t>Goal and Scope Definition</w:t>
    </w:r>
  </w:p>
  <w:p w14:paraId="67F8ECB8" w14:textId="3B53D609" w:rsidR="00F17892" w:rsidRPr="00974DEE" w:rsidRDefault="00F17892" w:rsidP="00974D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6DDA" w14:textId="137EB877" w:rsidR="00F17892" w:rsidRPr="00C477BE" w:rsidRDefault="00F17892" w:rsidP="00D016C6">
    <w:pPr>
      <w:pStyle w:val="Header"/>
      <w:rPr>
        <w:i w:val="0"/>
        <w:color w:val="808080" w:themeColor="background1" w:themeShade="80"/>
      </w:rPr>
    </w:pPr>
    <w:r>
      <w:rPr>
        <w:noProof/>
      </w:rPr>
      <w:fldChar w:fldCharType="begin"/>
    </w:r>
    <w:r>
      <w:rPr>
        <w:noProof/>
      </w:rPr>
      <w:instrText xml:space="preserve"> STYLEREF  "Heading 1_no number"  \* MERGEFORMAT </w:instrText>
    </w:r>
    <w:r>
      <w:rPr>
        <w:noProof/>
      </w:rPr>
      <w:fldChar w:fldCharType="separate"/>
    </w:r>
    <w:r w:rsidR="00FD7FEE">
      <w:rPr>
        <w:noProof/>
      </w:rPr>
      <w:t>Acronyms and Abbreviations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0A256" w14:textId="23583F52" w:rsidR="00F17892" w:rsidRPr="00974DEE" w:rsidRDefault="00F17892" w:rsidP="00974DEE">
    <w:pPr>
      <w:pStyle w:val="Header"/>
    </w:pPr>
    <w:r>
      <w:rPr>
        <w:noProof/>
      </w:rPr>
      <w:t>Table of Contents</w:t>
    </w:r>
    <w:r>
      <w:rPr>
        <w:noProof/>
      </w:rPr>
      <w:fldChar w:fldCharType="begin"/>
    </w:r>
    <w:r>
      <w:rPr>
        <w:noProof/>
      </w:rPr>
      <w:instrText xml:space="preserve"> STYLEREF  Subtitle2  \* MERGEFORMAT </w:instrTex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187C" w14:textId="665F931D" w:rsidR="00F17892" w:rsidRDefault="00F17892" w:rsidP="00224D23">
    <w:pPr>
      <w:pStyle w:val="Header"/>
      <w:rPr>
        <w:color w:val="808080" w:themeColor="background1" w:themeShade="80"/>
      </w:rPr>
    </w:pPr>
    <w:r>
      <w:rPr>
        <w:color w:val="808080" w:themeColor="background1" w:themeShade="80"/>
      </w:rPr>
      <w:t>List of Tables</w:t>
    </w:r>
  </w:p>
  <w:p w14:paraId="6F9540F8" w14:textId="77777777" w:rsidR="00F17892" w:rsidRDefault="00F17892" w:rsidP="00224D23">
    <w:pPr>
      <w:pStyle w:val="Header"/>
      <w:pBdr>
        <w:bottom w:val="none" w:sz="0" w:space="0" w:color="auto"/>
      </w:pBdr>
      <w:rPr>
        <w:color w:val="808080" w:themeColor="background1" w:themeShade="8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AE404" w14:textId="32391386" w:rsidR="00F17892" w:rsidRPr="00F65F63" w:rsidRDefault="00F17892" w:rsidP="00974DEE">
    <w:pPr>
      <w:pStyle w:val="Header"/>
      <w:rPr>
        <w:i w:val="0"/>
        <w:color w:val="7F7F7F" w:themeColor="text1" w:themeTint="80"/>
      </w:rPr>
    </w:pPr>
    <w:r>
      <w:rPr>
        <w:noProof/>
      </w:rPr>
      <w:fldChar w:fldCharType="begin"/>
    </w:r>
    <w:r>
      <w:rPr>
        <w:noProof/>
      </w:rPr>
      <w:instrText xml:space="preserve"> STYLEREF  Subtitle2  \* MERGEFORMAT </w:instrTex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72165" w14:textId="60A5C04C" w:rsidR="00F17892" w:rsidRPr="00B67FE6" w:rsidRDefault="00F17892" w:rsidP="00B67FE6">
    <w:pPr>
      <w:pStyle w:val="Header"/>
      <w:jc w:val="left"/>
      <w:rPr>
        <w:i w:val="0"/>
        <w:color w:val="7F7F7F" w:themeColor="text1" w:themeTint="80"/>
      </w:rPr>
    </w:pPr>
    <w:r>
      <w:tab/>
    </w:r>
    <w:r>
      <w:tab/>
    </w:r>
    <w:r>
      <w:tab/>
      <w:t xml:space="preserve">Section </w:t>
    </w:r>
    <w:r>
      <w:rPr>
        <w:noProof/>
      </w:rPr>
      <w:fldChar w:fldCharType="begin"/>
    </w:r>
    <w:r>
      <w:rPr>
        <w:noProof/>
      </w:rPr>
      <w:instrText xml:space="preserve"> STYLEREF  "Heading 1" \n </w:instrText>
    </w:r>
    <w:r>
      <w:rPr>
        <w:noProof/>
      </w:rPr>
      <w:fldChar w:fldCharType="separate"/>
    </w:r>
    <w:r>
      <w:rPr>
        <w:noProof/>
      </w:rPr>
      <w:t>1</w:t>
    </w:r>
    <w:r>
      <w:rPr>
        <w:noProof/>
      </w:rPr>
      <w:fldChar w:fldCharType="end"/>
    </w:r>
    <w:r>
      <w:rPr>
        <w:noProof/>
      </w:rPr>
      <w:t xml:space="preserve">: </w:t>
    </w:r>
    <w:r>
      <w:rPr>
        <w:noProof/>
      </w:rPr>
      <w:fldChar w:fldCharType="begin"/>
    </w:r>
    <w:r>
      <w:rPr>
        <w:noProof/>
      </w:rPr>
      <w:instrText xml:space="preserve"> STYLEREF  "Heading 1"  \* MERGEFORMAT </w:instrText>
    </w:r>
    <w:r>
      <w:rPr>
        <w:noProof/>
      </w:rPr>
      <w:fldChar w:fldCharType="separate"/>
    </w:r>
    <w:r>
      <w:rPr>
        <w:noProof/>
      </w:rPr>
      <w:t>Goal and Scope Definition</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2A52C" w14:textId="16002344" w:rsidR="00F17892" w:rsidRPr="00F65F63" w:rsidRDefault="00F17892" w:rsidP="00974DEE">
    <w:pPr>
      <w:pStyle w:val="Header"/>
      <w:rPr>
        <w:i w:val="0"/>
        <w:color w:val="7F7F7F" w:themeColor="text1" w:themeTint="80"/>
      </w:rPr>
    </w:pPr>
    <w:r>
      <w:rPr>
        <w:noProof/>
      </w:rPr>
      <w:fldChar w:fldCharType="begin"/>
    </w:r>
    <w:r>
      <w:rPr>
        <w:noProof/>
      </w:rPr>
      <w:instrText xml:space="preserve"> STYLEREF  Subtitle2  \* MERGEFORMAT </w:instrText>
    </w:r>
    <w:r>
      <w:rPr>
        <w:noProof/>
      </w:rPr>
      <w:fldChar w:fldCharType="separate"/>
    </w:r>
    <w:r w:rsidR="00FD7FEE">
      <w:rPr>
        <w:noProof/>
      </w:rPr>
      <w:t>List of Figures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E136C" w14:textId="34B1BE20" w:rsidR="00F17892" w:rsidRPr="00C477BE" w:rsidRDefault="00F17892" w:rsidP="008709BA">
    <w:pPr>
      <w:pStyle w:val="Header"/>
      <w:rPr>
        <w:i w:val="0"/>
        <w:color w:val="808080" w:themeColor="background1" w:themeShade="80"/>
      </w:rPr>
    </w:pPr>
    <w:r>
      <w:t xml:space="preserve">Section </w:t>
    </w:r>
    <w:r>
      <w:rPr>
        <w:noProof/>
      </w:rPr>
      <w:fldChar w:fldCharType="begin"/>
    </w:r>
    <w:r>
      <w:rPr>
        <w:noProof/>
      </w:rPr>
      <w:instrText xml:space="preserve"> STYLEREF  "Heading 1" \n </w:instrText>
    </w:r>
    <w:r>
      <w:rPr>
        <w:noProof/>
      </w:rPr>
      <w:fldChar w:fldCharType="separate"/>
    </w:r>
    <w:r w:rsidR="00FD7FEE">
      <w:rPr>
        <w:noProof/>
      </w:rPr>
      <w:t>1</w:t>
    </w:r>
    <w:r>
      <w:rPr>
        <w:noProof/>
      </w:rPr>
      <w:fldChar w:fldCharType="end"/>
    </w:r>
    <w:r>
      <w:rPr>
        <w:noProof/>
      </w:rPr>
      <w:t xml:space="preserve">: </w:t>
    </w:r>
    <w:r>
      <w:rPr>
        <w:noProof/>
      </w:rPr>
      <w:fldChar w:fldCharType="begin"/>
    </w:r>
    <w:r>
      <w:rPr>
        <w:noProof/>
      </w:rPr>
      <w:instrText xml:space="preserve"> STYLEREF  "Heading 1"  \* MERGEFORMAT </w:instrText>
    </w:r>
    <w:r>
      <w:rPr>
        <w:noProof/>
      </w:rPr>
      <w:fldChar w:fldCharType="separate"/>
    </w:r>
    <w:r w:rsidR="00FD7FEE">
      <w:rPr>
        <w:noProof/>
      </w:rPr>
      <w:t>Goal and Scope Definition</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8848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741F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C40F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B7CC7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278F3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AA884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23A65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4520433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00001"/>
    <w:multiLevelType w:val="multilevel"/>
    <w:tmpl w:val="00000001"/>
    <w:lvl w:ilvl="0">
      <w:start w:val="1"/>
      <w:numFmt w:val="decimal"/>
      <w:lvlText w:val="%1."/>
      <w:lvlJc w:val="left"/>
      <w:pPr>
        <w:tabs>
          <w:tab w:val="num" w:pos="0"/>
        </w:tabs>
        <w:ind w:left="0" w:firstLine="0"/>
      </w:pPr>
      <w:rPr>
        <w:rFonts w:ascii="Arial" w:hAnsi="Arial" w:cs="Arial"/>
        <w:sz w:val="22"/>
        <w:szCs w:val="22"/>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0" w15:restartNumberingAfterBreak="0">
    <w:nsid w:val="00377BD1"/>
    <w:multiLevelType w:val="hybridMultilevel"/>
    <w:tmpl w:val="C6600724"/>
    <w:lvl w:ilvl="0" w:tplc="E3B63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733C20"/>
    <w:multiLevelType w:val="hybridMultilevel"/>
    <w:tmpl w:val="ABE26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70420"/>
    <w:multiLevelType w:val="hybridMultilevel"/>
    <w:tmpl w:val="3138881E"/>
    <w:lvl w:ilvl="0" w:tplc="8B303E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D24F2"/>
    <w:multiLevelType w:val="hybridMultilevel"/>
    <w:tmpl w:val="C6600724"/>
    <w:lvl w:ilvl="0" w:tplc="E3B63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081CF5"/>
    <w:multiLevelType w:val="hybridMultilevel"/>
    <w:tmpl w:val="07E8A05C"/>
    <w:lvl w:ilvl="0" w:tplc="0262D014">
      <w:start w:val="1"/>
      <w:numFmt w:val="bullet"/>
      <w:lvlText w:val=""/>
      <w:lvlJc w:val="left"/>
      <w:pPr>
        <w:tabs>
          <w:tab w:val="num" w:pos="216"/>
        </w:tabs>
        <w:ind w:left="216" w:hanging="216"/>
      </w:pPr>
      <w:rPr>
        <w:rFonts w:ascii="Symbol" w:hAnsi="Symbol" w:cs="Times New Roman" w:hint="default"/>
        <w:sz w:val="18"/>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205FD9"/>
    <w:multiLevelType w:val="hybridMultilevel"/>
    <w:tmpl w:val="992A4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12797D"/>
    <w:multiLevelType w:val="hybridMultilevel"/>
    <w:tmpl w:val="27A089B4"/>
    <w:lvl w:ilvl="0" w:tplc="04090001">
      <w:start w:val="1"/>
      <w:numFmt w:val="bullet"/>
      <w:lvlText w:val=""/>
      <w:lvlJc w:val="left"/>
      <w:pPr>
        <w:tabs>
          <w:tab w:val="num" w:pos="720"/>
        </w:tabs>
        <w:ind w:left="720" w:hanging="360"/>
      </w:pPr>
      <w:rPr>
        <w:rFonts w:ascii="Symbol" w:hAnsi="Symbol" w:hint="default"/>
      </w:rPr>
    </w:lvl>
    <w:lvl w:ilvl="1" w:tplc="432084E2">
      <w:start w:val="1"/>
      <w:numFmt w:val="bullet"/>
      <w:lvlText w:val="–"/>
      <w:lvlJc w:val="left"/>
      <w:pPr>
        <w:tabs>
          <w:tab w:val="num" w:pos="1440"/>
        </w:tabs>
        <w:ind w:left="1440" w:hanging="360"/>
      </w:pPr>
      <w:rPr>
        <w:rFonts w:ascii="Times New Roman" w:hAnsi="Times New Roman" w:hint="default"/>
      </w:rPr>
    </w:lvl>
    <w:lvl w:ilvl="2" w:tplc="56068A58" w:tentative="1">
      <w:start w:val="1"/>
      <w:numFmt w:val="bullet"/>
      <w:lvlText w:val="–"/>
      <w:lvlJc w:val="left"/>
      <w:pPr>
        <w:tabs>
          <w:tab w:val="num" w:pos="2160"/>
        </w:tabs>
        <w:ind w:left="2160" w:hanging="360"/>
      </w:pPr>
      <w:rPr>
        <w:rFonts w:ascii="Times New Roman" w:hAnsi="Times New Roman" w:hint="default"/>
      </w:rPr>
    </w:lvl>
    <w:lvl w:ilvl="3" w:tplc="DFB24152" w:tentative="1">
      <w:start w:val="1"/>
      <w:numFmt w:val="bullet"/>
      <w:lvlText w:val="–"/>
      <w:lvlJc w:val="left"/>
      <w:pPr>
        <w:tabs>
          <w:tab w:val="num" w:pos="2880"/>
        </w:tabs>
        <w:ind w:left="2880" w:hanging="360"/>
      </w:pPr>
      <w:rPr>
        <w:rFonts w:ascii="Times New Roman" w:hAnsi="Times New Roman" w:hint="default"/>
      </w:rPr>
    </w:lvl>
    <w:lvl w:ilvl="4" w:tplc="597A1B42" w:tentative="1">
      <w:start w:val="1"/>
      <w:numFmt w:val="bullet"/>
      <w:lvlText w:val="–"/>
      <w:lvlJc w:val="left"/>
      <w:pPr>
        <w:tabs>
          <w:tab w:val="num" w:pos="3600"/>
        </w:tabs>
        <w:ind w:left="3600" w:hanging="360"/>
      </w:pPr>
      <w:rPr>
        <w:rFonts w:ascii="Times New Roman" w:hAnsi="Times New Roman" w:hint="default"/>
      </w:rPr>
    </w:lvl>
    <w:lvl w:ilvl="5" w:tplc="08029258" w:tentative="1">
      <w:start w:val="1"/>
      <w:numFmt w:val="bullet"/>
      <w:lvlText w:val="–"/>
      <w:lvlJc w:val="left"/>
      <w:pPr>
        <w:tabs>
          <w:tab w:val="num" w:pos="4320"/>
        </w:tabs>
        <w:ind w:left="4320" w:hanging="360"/>
      </w:pPr>
      <w:rPr>
        <w:rFonts w:ascii="Times New Roman" w:hAnsi="Times New Roman" w:hint="default"/>
      </w:rPr>
    </w:lvl>
    <w:lvl w:ilvl="6" w:tplc="AA40E354" w:tentative="1">
      <w:start w:val="1"/>
      <w:numFmt w:val="bullet"/>
      <w:lvlText w:val="–"/>
      <w:lvlJc w:val="left"/>
      <w:pPr>
        <w:tabs>
          <w:tab w:val="num" w:pos="5040"/>
        </w:tabs>
        <w:ind w:left="5040" w:hanging="360"/>
      </w:pPr>
      <w:rPr>
        <w:rFonts w:ascii="Times New Roman" w:hAnsi="Times New Roman" w:hint="default"/>
      </w:rPr>
    </w:lvl>
    <w:lvl w:ilvl="7" w:tplc="A27AC24E" w:tentative="1">
      <w:start w:val="1"/>
      <w:numFmt w:val="bullet"/>
      <w:lvlText w:val="–"/>
      <w:lvlJc w:val="left"/>
      <w:pPr>
        <w:tabs>
          <w:tab w:val="num" w:pos="5760"/>
        </w:tabs>
        <w:ind w:left="5760" w:hanging="360"/>
      </w:pPr>
      <w:rPr>
        <w:rFonts w:ascii="Times New Roman" w:hAnsi="Times New Roman" w:hint="default"/>
      </w:rPr>
    </w:lvl>
    <w:lvl w:ilvl="8" w:tplc="A904732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5D61D99"/>
    <w:multiLevelType w:val="multilevel"/>
    <w:tmpl w:val="7B923570"/>
    <w:lvl w:ilvl="0">
      <w:start w:val="1"/>
      <w:numFmt w:val="decimal"/>
      <w:pStyle w:val="ListNumber"/>
      <w:lvlText w:val="%1."/>
      <w:lvlJc w:val="left"/>
      <w:pPr>
        <w:tabs>
          <w:tab w:val="num" w:pos="720"/>
        </w:tabs>
        <w:ind w:left="1440" w:hanging="720"/>
      </w:pPr>
      <w:rPr>
        <w:rFonts w:hint="default"/>
      </w:rPr>
    </w:lvl>
    <w:lvl w:ilvl="1">
      <w:start w:val="1"/>
      <w:numFmt w:val="lowerLetter"/>
      <w:lvlText w:val="%2."/>
      <w:lvlJc w:val="left"/>
      <w:pPr>
        <w:tabs>
          <w:tab w:val="num" w:pos="720"/>
        </w:tabs>
        <w:ind w:left="2160" w:hanging="720"/>
      </w:pPr>
      <w:rPr>
        <w:rFonts w:hint="default"/>
      </w:rPr>
    </w:lvl>
    <w:lvl w:ilvl="2">
      <w:start w:val="1"/>
      <w:numFmt w:val="lowerRoman"/>
      <w:lvlText w:val="%3."/>
      <w:lvlJc w:val="left"/>
      <w:pPr>
        <w:tabs>
          <w:tab w:val="num" w:pos="720"/>
        </w:tabs>
        <w:ind w:left="2880" w:hanging="720"/>
      </w:pPr>
      <w:rPr>
        <w:rFonts w:hint="default"/>
      </w:rPr>
    </w:lvl>
    <w:lvl w:ilvl="3">
      <w:start w:val="1"/>
      <w:numFmt w:val="decimal"/>
      <w:lvlText w:val="%4)"/>
      <w:lvlJc w:val="left"/>
      <w:pPr>
        <w:tabs>
          <w:tab w:val="num" w:pos="720"/>
        </w:tabs>
        <w:ind w:left="4320" w:hanging="720"/>
      </w:pPr>
      <w:rPr>
        <w:rFonts w:hint="default"/>
      </w:rPr>
    </w:lvl>
    <w:lvl w:ilvl="4">
      <w:start w:val="1"/>
      <w:numFmt w:val="lowerLetter"/>
      <w:lvlText w:val="(%5)"/>
      <w:lvlJc w:val="left"/>
      <w:pPr>
        <w:tabs>
          <w:tab w:val="num" w:pos="720"/>
        </w:tabs>
        <w:ind w:left="5040" w:hanging="720"/>
      </w:pPr>
      <w:rPr>
        <w:rFonts w:hint="default"/>
      </w:rPr>
    </w:lvl>
    <w:lvl w:ilvl="5">
      <w:start w:val="1"/>
      <w:numFmt w:val="lowerRoman"/>
      <w:lvlText w:val="(%6)"/>
      <w:lvlJc w:val="left"/>
      <w:pPr>
        <w:tabs>
          <w:tab w:val="num" w:pos="720"/>
        </w:tabs>
        <w:ind w:left="5760" w:hanging="72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 w15:restartNumberingAfterBreak="0">
    <w:nsid w:val="35FD797B"/>
    <w:multiLevelType w:val="hybridMultilevel"/>
    <w:tmpl w:val="5A283364"/>
    <w:lvl w:ilvl="0" w:tplc="E3B63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B6C77"/>
    <w:multiLevelType w:val="hybridMultilevel"/>
    <w:tmpl w:val="51D270B0"/>
    <w:lvl w:ilvl="0" w:tplc="5E0C7A04">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F4D45"/>
    <w:multiLevelType w:val="hybridMultilevel"/>
    <w:tmpl w:val="49A0DFFC"/>
    <w:lvl w:ilvl="0" w:tplc="04090003">
      <w:start w:val="1"/>
      <w:numFmt w:val="bullet"/>
      <w:lvlText w:val="o"/>
      <w:lvlJc w:val="left"/>
      <w:pPr>
        <w:tabs>
          <w:tab w:val="num" w:pos="720"/>
        </w:tabs>
        <w:ind w:left="2160" w:hanging="720"/>
      </w:pPr>
      <w:rPr>
        <w:rFonts w:ascii="Courier New" w:hAnsi="Courier New" w:cs="Courier New"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34237F"/>
    <w:multiLevelType w:val="hybridMultilevel"/>
    <w:tmpl w:val="7FD0CB8E"/>
    <w:lvl w:ilvl="0" w:tplc="9146D5C8">
      <w:start w:val="1"/>
      <w:numFmt w:val="bullet"/>
      <w:pStyle w:val="ListBulletLa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B0685"/>
    <w:multiLevelType w:val="hybridMultilevel"/>
    <w:tmpl w:val="BF1A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9A3142"/>
    <w:multiLevelType w:val="hybridMultilevel"/>
    <w:tmpl w:val="620E16A8"/>
    <w:lvl w:ilvl="0" w:tplc="9EA6CDD0">
      <w:start w:val="1"/>
      <w:numFmt w:val="bullet"/>
      <w:pStyle w:val="ListBulletSingle"/>
      <w:lvlText w:val=""/>
      <w:lvlJc w:val="left"/>
      <w:pPr>
        <w:ind w:left="1440" w:hanging="360"/>
      </w:pPr>
      <w:rPr>
        <w:rFonts w:ascii="Symbol" w:hAnsi="Symbol" w:hint="default"/>
        <w:color w:val="001F5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0C40C9"/>
    <w:multiLevelType w:val="hybridMultilevel"/>
    <w:tmpl w:val="284C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251925"/>
    <w:multiLevelType w:val="hybridMultilevel"/>
    <w:tmpl w:val="B784B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850365"/>
    <w:multiLevelType w:val="hybridMultilevel"/>
    <w:tmpl w:val="EF9833EA"/>
    <w:lvl w:ilvl="0" w:tplc="FF805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B534A6"/>
    <w:multiLevelType w:val="hybridMultilevel"/>
    <w:tmpl w:val="7402E724"/>
    <w:lvl w:ilvl="0" w:tplc="3A3ED8A0">
      <w:start w:val="1"/>
      <w:numFmt w:val="bullet"/>
      <w:pStyle w:val="ListBullet2"/>
      <w:lvlText w:val="—"/>
      <w:lvlJc w:val="left"/>
      <w:pPr>
        <w:tabs>
          <w:tab w:val="num" w:pos="720"/>
        </w:tabs>
        <w:ind w:left="2160" w:hanging="720"/>
      </w:pPr>
      <w:rPr>
        <w:rFonts w:ascii="Times New Roman" w:hAnsi="Times New Roman"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E26494"/>
    <w:multiLevelType w:val="multilevel"/>
    <w:tmpl w:val="B6E4DC5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044" w:hanging="104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lvlRestart w:val="0"/>
      <w:pStyle w:val="Heading7"/>
      <w:suff w:val="nothing"/>
      <w:lvlText w:val="Appendix %7"/>
      <w:lvlJc w:val="left"/>
      <w:pPr>
        <w:ind w:left="0" w:firstLine="0"/>
      </w:pPr>
      <w:rPr>
        <w:rFonts w:hint="default"/>
        <w:specVanish w:val="0"/>
      </w:rPr>
    </w:lvl>
    <w:lvl w:ilvl="7">
      <w:start w:val="1"/>
      <w:numFmt w:val="decimal"/>
      <w:pStyle w:val="Heading8"/>
      <w:lvlText w:val="%7.%8"/>
      <w:lvlJc w:val="left"/>
      <w:pPr>
        <w:ind w:left="576" w:hanging="576"/>
      </w:pPr>
      <w:rPr>
        <w:rFonts w:hint="default"/>
      </w:rPr>
    </w:lvl>
    <w:lvl w:ilvl="8">
      <w:start w:val="1"/>
      <w:numFmt w:val="decimal"/>
      <w:pStyle w:val="Heading9"/>
      <w:lvlText w:val="%7.%8.%9"/>
      <w:lvlJc w:val="left"/>
      <w:pPr>
        <w:ind w:left="720" w:hanging="720"/>
      </w:pPr>
      <w:rPr>
        <w:rFonts w:hint="default"/>
      </w:rPr>
    </w:lvl>
  </w:abstractNum>
  <w:abstractNum w:abstractNumId="29" w15:restartNumberingAfterBreak="0">
    <w:nsid w:val="5EFD5986"/>
    <w:multiLevelType w:val="hybridMultilevel"/>
    <w:tmpl w:val="EF60DDB2"/>
    <w:lvl w:ilvl="0" w:tplc="7D245FD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C7D468B"/>
    <w:multiLevelType w:val="multilevel"/>
    <w:tmpl w:val="EBB4FCE6"/>
    <w:lvl w:ilvl="0">
      <w:start w:val="1"/>
      <w:numFmt w:val="decimal"/>
      <w:lvlText w:val="%1."/>
      <w:lvlJc w:val="left"/>
      <w:pPr>
        <w:tabs>
          <w:tab w:val="num" w:pos="720"/>
        </w:tabs>
        <w:ind w:left="72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D6F675B"/>
    <w:multiLevelType w:val="hybridMultilevel"/>
    <w:tmpl w:val="8862B2EC"/>
    <w:lvl w:ilvl="0" w:tplc="14A0A138">
      <w:start w:val="1"/>
      <w:numFmt w:val="bullet"/>
      <w:pStyle w:val="ListBulletlast0"/>
      <w:lvlText w:val=""/>
      <w:lvlJc w:val="left"/>
      <w:pPr>
        <w:ind w:left="1080" w:hanging="360"/>
      </w:pPr>
      <w:rPr>
        <w:rFonts w:ascii="Symbol" w:hAnsi="Symbol"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rPr>
    </w:lvl>
    <w:lvl w:ilvl="1" w:tplc="0409000F">
      <w:start w:val="1"/>
      <w:numFmt w:val="bullet"/>
      <w:lvlText w:val="o"/>
      <w:lvlJc w:val="left"/>
      <w:pPr>
        <w:ind w:left="2160" w:hanging="360"/>
      </w:pPr>
      <w:rPr>
        <w:rFonts w:ascii="Courier New" w:hAnsi="Courier New" w:cs="Courier New" w:hint="default"/>
      </w:rPr>
    </w:lvl>
    <w:lvl w:ilvl="2" w:tplc="0409000F"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DB26FB9"/>
    <w:multiLevelType w:val="hybridMultilevel"/>
    <w:tmpl w:val="C4C42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4"/>
  </w:num>
  <w:num w:numId="4">
    <w:abstractNumId w:val="28"/>
  </w:num>
  <w:num w:numId="5">
    <w:abstractNumId w:val="31"/>
  </w:num>
  <w:num w:numId="6">
    <w:abstractNumId w:val="27"/>
  </w:num>
  <w:num w:numId="7">
    <w:abstractNumId w:val="6"/>
  </w:num>
  <w:num w:numId="8">
    <w:abstractNumId w:val="5"/>
  </w:num>
  <w:num w:numId="9">
    <w:abstractNumId w:val="4"/>
  </w:num>
  <w:num w:numId="10">
    <w:abstractNumId w:val="21"/>
  </w:num>
  <w:num w:numId="11">
    <w:abstractNumId w:val="17"/>
  </w:num>
  <w:num w:numId="12">
    <w:abstractNumId w:val="3"/>
  </w:num>
  <w:num w:numId="13">
    <w:abstractNumId w:val="2"/>
  </w:num>
  <w:num w:numId="14">
    <w:abstractNumId w:val="1"/>
  </w:num>
  <w:num w:numId="15">
    <w:abstractNumId w:val="0"/>
  </w:num>
  <w:num w:numId="16">
    <w:abstractNumId w:val="30"/>
  </w:num>
  <w:num w:numId="17">
    <w:abstractNumId w:val="23"/>
  </w:num>
  <w:num w:numId="18">
    <w:abstractNumId w:val="25"/>
  </w:num>
  <w:num w:numId="19">
    <w:abstractNumId w:val="24"/>
  </w:num>
  <w:num w:numId="20">
    <w:abstractNumId w:val="29"/>
  </w:num>
  <w:num w:numId="21">
    <w:abstractNumId w:val="22"/>
  </w:num>
  <w:num w:numId="22">
    <w:abstractNumId w:val="11"/>
  </w:num>
  <w:num w:numId="23">
    <w:abstractNumId w:val="18"/>
  </w:num>
  <w:num w:numId="24">
    <w:abstractNumId w:val="16"/>
  </w:num>
  <w:num w:numId="25">
    <w:abstractNumId w:val="32"/>
  </w:num>
  <w:num w:numId="26">
    <w:abstractNumId w:val="28"/>
  </w:num>
  <w:num w:numId="27">
    <w:abstractNumId w:val="28"/>
  </w:num>
  <w:num w:numId="28">
    <w:abstractNumId w:val="12"/>
  </w:num>
  <w:num w:numId="29">
    <w:abstractNumId w:val="15"/>
  </w:num>
  <w:num w:numId="30">
    <w:abstractNumId w:val="10"/>
  </w:num>
  <w:num w:numId="31">
    <w:abstractNumId w:val="13"/>
  </w:num>
  <w:num w:numId="32">
    <w:abstractNumId w:val="28"/>
  </w:num>
  <w:num w:numId="33">
    <w:abstractNumId w:val="28"/>
  </w:num>
  <w:num w:numId="34">
    <w:abstractNumId w:val="28"/>
  </w:num>
  <w:num w:numId="35">
    <w:abstractNumId w:val="26"/>
  </w:num>
  <w:num w:numId="36">
    <w:abstractNumId w:val="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GB"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720"/>
  <w:drawingGridHorizontalSpacing w:val="120"/>
  <w:displayHorizontalDrawingGridEvery w:val="2"/>
  <w:noPunctuationKerning/>
  <w:characterSpacingControl w:val="doNotCompress"/>
  <w:hdrShapeDefaults>
    <o:shapedefaults v:ext="edit" spidmax="20481"/>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9f5sa59jvdaxlezv5pxzpepvz9sepr5zsap&quot;&gt;NutrientWWT_LCA&lt;record-ids&gt;&lt;item&gt;4&lt;/item&gt;&lt;item&gt;5&lt;/item&gt;&lt;item&gt;8&lt;/item&gt;&lt;item&gt;10&lt;/item&gt;&lt;item&gt;11&lt;/item&gt;&lt;item&gt;13&lt;/item&gt;&lt;item&gt;14&lt;/item&gt;&lt;item&gt;15&lt;/item&gt;&lt;item&gt;16&lt;/item&gt;&lt;item&gt;17&lt;/item&gt;&lt;item&gt;18&lt;/item&gt;&lt;item&gt;19&lt;/item&gt;&lt;item&gt;20&lt;/item&gt;&lt;item&gt;21&lt;/item&gt;&lt;item&gt;22&lt;/item&gt;&lt;item&gt;23&lt;/item&gt;&lt;/record-ids&gt;&lt;/item&gt;&lt;/Libraries&gt;"/>
  </w:docVars>
  <w:rsids>
    <w:rsidRoot w:val="00660E26"/>
    <w:rsid w:val="00000BDC"/>
    <w:rsid w:val="000022C0"/>
    <w:rsid w:val="0000283B"/>
    <w:rsid w:val="000028F9"/>
    <w:rsid w:val="00002A03"/>
    <w:rsid w:val="00002D83"/>
    <w:rsid w:val="00002E92"/>
    <w:rsid w:val="00003FE5"/>
    <w:rsid w:val="00004360"/>
    <w:rsid w:val="00005A5E"/>
    <w:rsid w:val="00005D63"/>
    <w:rsid w:val="000065B1"/>
    <w:rsid w:val="00006715"/>
    <w:rsid w:val="00006790"/>
    <w:rsid w:val="000068A8"/>
    <w:rsid w:val="00006992"/>
    <w:rsid w:val="00007127"/>
    <w:rsid w:val="0000770E"/>
    <w:rsid w:val="00007929"/>
    <w:rsid w:val="00007B0F"/>
    <w:rsid w:val="00010A66"/>
    <w:rsid w:val="00010AEE"/>
    <w:rsid w:val="00010E65"/>
    <w:rsid w:val="00010EF0"/>
    <w:rsid w:val="0001103D"/>
    <w:rsid w:val="0001113A"/>
    <w:rsid w:val="0001130C"/>
    <w:rsid w:val="000115D1"/>
    <w:rsid w:val="0001189B"/>
    <w:rsid w:val="000118E7"/>
    <w:rsid w:val="00011941"/>
    <w:rsid w:val="00011F61"/>
    <w:rsid w:val="00012ACD"/>
    <w:rsid w:val="000132F7"/>
    <w:rsid w:val="000138A3"/>
    <w:rsid w:val="000141C7"/>
    <w:rsid w:val="000142AC"/>
    <w:rsid w:val="000147AB"/>
    <w:rsid w:val="000155DB"/>
    <w:rsid w:val="000156D7"/>
    <w:rsid w:val="000156E7"/>
    <w:rsid w:val="00015959"/>
    <w:rsid w:val="00015A24"/>
    <w:rsid w:val="000168A6"/>
    <w:rsid w:val="00016E15"/>
    <w:rsid w:val="000171BA"/>
    <w:rsid w:val="000173E8"/>
    <w:rsid w:val="00020719"/>
    <w:rsid w:val="00021299"/>
    <w:rsid w:val="00021673"/>
    <w:rsid w:val="00021AC3"/>
    <w:rsid w:val="00022003"/>
    <w:rsid w:val="00022046"/>
    <w:rsid w:val="00022745"/>
    <w:rsid w:val="0002287B"/>
    <w:rsid w:val="00023890"/>
    <w:rsid w:val="00023987"/>
    <w:rsid w:val="00023C33"/>
    <w:rsid w:val="000241BB"/>
    <w:rsid w:val="0002456F"/>
    <w:rsid w:val="0002482F"/>
    <w:rsid w:val="00025306"/>
    <w:rsid w:val="00025BCE"/>
    <w:rsid w:val="00027F70"/>
    <w:rsid w:val="00030096"/>
    <w:rsid w:val="0003117C"/>
    <w:rsid w:val="00031A67"/>
    <w:rsid w:val="00031C03"/>
    <w:rsid w:val="00032091"/>
    <w:rsid w:val="000323A9"/>
    <w:rsid w:val="0003284F"/>
    <w:rsid w:val="000328A8"/>
    <w:rsid w:val="00033B0A"/>
    <w:rsid w:val="0003511B"/>
    <w:rsid w:val="00035901"/>
    <w:rsid w:val="00035D9A"/>
    <w:rsid w:val="00036028"/>
    <w:rsid w:val="00036066"/>
    <w:rsid w:val="0003641C"/>
    <w:rsid w:val="0003649A"/>
    <w:rsid w:val="00036BCD"/>
    <w:rsid w:val="00037F40"/>
    <w:rsid w:val="00040690"/>
    <w:rsid w:val="00040757"/>
    <w:rsid w:val="0004159E"/>
    <w:rsid w:val="00042CAD"/>
    <w:rsid w:val="000443EE"/>
    <w:rsid w:val="0004446B"/>
    <w:rsid w:val="0004487D"/>
    <w:rsid w:val="00044880"/>
    <w:rsid w:val="00044930"/>
    <w:rsid w:val="000450AD"/>
    <w:rsid w:val="00045B32"/>
    <w:rsid w:val="0004693A"/>
    <w:rsid w:val="00046B75"/>
    <w:rsid w:val="000470E0"/>
    <w:rsid w:val="00047642"/>
    <w:rsid w:val="00047C89"/>
    <w:rsid w:val="00050091"/>
    <w:rsid w:val="0005031A"/>
    <w:rsid w:val="00050C8D"/>
    <w:rsid w:val="00050F5D"/>
    <w:rsid w:val="00051296"/>
    <w:rsid w:val="00051310"/>
    <w:rsid w:val="0005157D"/>
    <w:rsid w:val="00051C70"/>
    <w:rsid w:val="00052382"/>
    <w:rsid w:val="00052421"/>
    <w:rsid w:val="00053298"/>
    <w:rsid w:val="00053D00"/>
    <w:rsid w:val="00054C30"/>
    <w:rsid w:val="000553FD"/>
    <w:rsid w:val="0005771A"/>
    <w:rsid w:val="00060420"/>
    <w:rsid w:val="00060520"/>
    <w:rsid w:val="00060B24"/>
    <w:rsid w:val="00060C93"/>
    <w:rsid w:val="0006149F"/>
    <w:rsid w:val="000616B0"/>
    <w:rsid w:val="000623B1"/>
    <w:rsid w:val="0006250A"/>
    <w:rsid w:val="0006281C"/>
    <w:rsid w:val="000632CB"/>
    <w:rsid w:val="000635F4"/>
    <w:rsid w:val="00063A9E"/>
    <w:rsid w:val="00064B8D"/>
    <w:rsid w:val="00064E5E"/>
    <w:rsid w:val="000652F7"/>
    <w:rsid w:val="000653BF"/>
    <w:rsid w:val="0006558F"/>
    <w:rsid w:val="00065C68"/>
    <w:rsid w:val="00067186"/>
    <w:rsid w:val="00067FC5"/>
    <w:rsid w:val="00070E0F"/>
    <w:rsid w:val="000717BF"/>
    <w:rsid w:val="00072FA7"/>
    <w:rsid w:val="00073D7A"/>
    <w:rsid w:val="00073E24"/>
    <w:rsid w:val="00074189"/>
    <w:rsid w:val="00074395"/>
    <w:rsid w:val="000756ED"/>
    <w:rsid w:val="00075A90"/>
    <w:rsid w:val="00076058"/>
    <w:rsid w:val="00076177"/>
    <w:rsid w:val="0007650A"/>
    <w:rsid w:val="00076739"/>
    <w:rsid w:val="000777B1"/>
    <w:rsid w:val="00080164"/>
    <w:rsid w:val="00080487"/>
    <w:rsid w:val="0008272A"/>
    <w:rsid w:val="00083162"/>
    <w:rsid w:val="0008358C"/>
    <w:rsid w:val="000835FC"/>
    <w:rsid w:val="000837DF"/>
    <w:rsid w:val="00085001"/>
    <w:rsid w:val="000853E5"/>
    <w:rsid w:val="00085799"/>
    <w:rsid w:val="000860F5"/>
    <w:rsid w:val="00086842"/>
    <w:rsid w:val="00087629"/>
    <w:rsid w:val="00087996"/>
    <w:rsid w:val="00087CF3"/>
    <w:rsid w:val="000900A1"/>
    <w:rsid w:val="000905D9"/>
    <w:rsid w:val="00090E2C"/>
    <w:rsid w:val="00090E37"/>
    <w:rsid w:val="00092107"/>
    <w:rsid w:val="000927AF"/>
    <w:rsid w:val="0009288B"/>
    <w:rsid w:val="000929ED"/>
    <w:rsid w:val="00092D57"/>
    <w:rsid w:val="000935E5"/>
    <w:rsid w:val="0009369F"/>
    <w:rsid w:val="00094471"/>
    <w:rsid w:val="0009586E"/>
    <w:rsid w:val="00095C00"/>
    <w:rsid w:val="0009600C"/>
    <w:rsid w:val="0009662D"/>
    <w:rsid w:val="0009693F"/>
    <w:rsid w:val="000969C3"/>
    <w:rsid w:val="00096B38"/>
    <w:rsid w:val="000973CF"/>
    <w:rsid w:val="00097653"/>
    <w:rsid w:val="000977F3"/>
    <w:rsid w:val="000A0085"/>
    <w:rsid w:val="000A1C5F"/>
    <w:rsid w:val="000A1D4C"/>
    <w:rsid w:val="000A207C"/>
    <w:rsid w:val="000A2918"/>
    <w:rsid w:val="000A2C43"/>
    <w:rsid w:val="000A39A7"/>
    <w:rsid w:val="000A406F"/>
    <w:rsid w:val="000A4650"/>
    <w:rsid w:val="000A475A"/>
    <w:rsid w:val="000A49EC"/>
    <w:rsid w:val="000A5267"/>
    <w:rsid w:val="000A52DA"/>
    <w:rsid w:val="000A6225"/>
    <w:rsid w:val="000A64CA"/>
    <w:rsid w:val="000A6C10"/>
    <w:rsid w:val="000A6EDF"/>
    <w:rsid w:val="000A760B"/>
    <w:rsid w:val="000A78B4"/>
    <w:rsid w:val="000A794E"/>
    <w:rsid w:val="000B0157"/>
    <w:rsid w:val="000B068B"/>
    <w:rsid w:val="000B097A"/>
    <w:rsid w:val="000B1793"/>
    <w:rsid w:val="000B342D"/>
    <w:rsid w:val="000B4A85"/>
    <w:rsid w:val="000B4B3A"/>
    <w:rsid w:val="000B4B92"/>
    <w:rsid w:val="000B4F6A"/>
    <w:rsid w:val="000B531C"/>
    <w:rsid w:val="000B55EF"/>
    <w:rsid w:val="000B5728"/>
    <w:rsid w:val="000B5790"/>
    <w:rsid w:val="000B5B1B"/>
    <w:rsid w:val="000B5CD2"/>
    <w:rsid w:val="000B61DE"/>
    <w:rsid w:val="000B6273"/>
    <w:rsid w:val="000B682B"/>
    <w:rsid w:val="000B6A80"/>
    <w:rsid w:val="000B6DBB"/>
    <w:rsid w:val="000B70F4"/>
    <w:rsid w:val="000B710F"/>
    <w:rsid w:val="000B73A7"/>
    <w:rsid w:val="000B7457"/>
    <w:rsid w:val="000C0364"/>
    <w:rsid w:val="000C04C0"/>
    <w:rsid w:val="000C14F3"/>
    <w:rsid w:val="000C1613"/>
    <w:rsid w:val="000C1631"/>
    <w:rsid w:val="000C1B36"/>
    <w:rsid w:val="000C28A0"/>
    <w:rsid w:val="000C3C2B"/>
    <w:rsid w:val="000C3EFA"/>
    <w:rsid w:val="000C4097"/>
    <w:rsid w:val="000C458A"/>
    <w:rsid w:val="000C4C41"/>
    <w:rsid w:val="000C4E2A"/>
    <w:rsid w:val="000C62D5"/>
    <w:rsid w:val="000C6532"/>
    <w:rsid w:val="000C6707"/>
    <w:rsid w:val="000C6C91"/>
    <w:rsid w:val="000C7DF9"/>
    <w:rsid w:val="000D13AC"/>
    <w:rsid w:val="000D14CB"/>
    <w:rsid w:val="000D2CA0"/>
    <w:rsid w:val="000D356E"/>
    <w:rsid w:val="000D366D"/>
    <w:rsid w:val="000D3D07"/>
    <w:rsid w:val="000D3D18"/>
    <w:rsid w:val="000D3E0F"/>
    <w:rsid w:val="000D45BA"/>
    <w:rsid w:val="000D4BB9"/>
    <w:rsid w:val="000D4EF6"/>
    <w:rsid w:val="000D501B"/>
    <w:rsid w:val="000D5A8D"/>
    <w:rsid w:val="000D5DB5"/>
    <w:rsid w:val="000D6A02"/>
    <w:rsid w:val="000D6EF5"/>
    <w:rsid w:val="000D721F"/>
    <w:rsid w:val="000D77D9"/>
    <w:rsid w:val="000D7BF6"/>
    <w:rsid w:val="000E0546"/>
    <w:rsid w:val="000E059A"/>
    <w:rsid w:val="000E0C0F"/>
    <w:rsid w:val="000E0DD2"/>
    <w:rsid w:val="000E2A66"/>
    <w:rsid w:val="000E2F78"/>
    <w:rsid w:val="000E386B"/>
    <w:rsid w:val="000E40A9"/>
    <w:rsid w:val="000E4F6F"/>
    <w:rsid w:val="000E5386"/>
    <w:rsid w:val="000E53D1"/>
    <w:rsid w:val="000E5485"/>
    <w:rsid w:val="000E55F3"/>
    <w:rsid w:val="000E5BB0"/>
    <w:rsid w:val="000E60E6"/>
    <w:rsid w:val="000E634C"/>
    <w:rsid w:val="000E6722"/>
    <w:rsid w:val="000E7E06"/>
    <w:rsid w:val="000F092B"/>
    <w:rsid w:val="000F0A22"/>
    <w:rsid w:val="000F2250"/>
    <w:rsid w:val="000F2849"/>
    <w:rsid w:val="000F2B11"/>
    <w:rsid w:val="000F2D80"/>
    <w:rsid w:val="000F34D2"/>
    <w:rsid w:val="000F3803"/>
    <w:rsid w:val="000F3934"/>
    <w:rsid w:val="000F395E"/>
    <w:rsid w:val="000F3D21"/>
    <w:rsid w:val="000F49DC"/>
    <w:rsid w:val="000F4E5E"/>
    <w:rsid w:val="000F5391"/>
    <w:rsid w:val="000F6585"/>
    <w:rsid w:val="000F79B9"/>
    <w:rsid w:val="000F7B6F"/>
    <w:rsid w:val="00100452"/>
    <w:rsid w:val="00100B61"/>
    <w:rsid w:val="001014BD"/>
    <w:rsid w:val="00101683"/>
    <w:rsid w:val="00101C8A"/>
    <w:rsid w:val="00102A2D"/>
    <w:rsid w:val="00102BE4"/>
    <w:rsid w:val="00102D59"/>
    <w:rsid w:val="00104F49"/>
    <w:rsid w:val="00105E1D"/>
    <w:rsid w:val="001067EA"/>
    <w:rsid w:val="001072AD"/>
    <w:rsid w:val="001076A5"/>
    <w:rsid w:val="00107FB7"/>
    <w:rsid w:val="00110CFD"/>
    <w:rsid w:val="0011140D"/>
    <w:rsid w:val="001118BB"/>
    <w:rsid w:val="001121A1"/>
    <w:rsid w:val="0011229F"/>
    <w:rsid w:val="0011310F"/>
    <w:rsid w:val="001135AE"/>
    <w:rsid w:val="0011488A"/>
    <w:rsid w:val="001155F3"/>
    <w:rsid w:val="001156A5"/>
    <w:rsid w:val="00115B05"/>
    <w:rsid w:val="00116079"/>
    <w:rsid w:val="00117B4C"/>
    <w:rsid w:val="001200A2"/>
    <w:rsid w:val="0012041E"/>
    <w:rsid w:val="00120CF6"/>
    <w:rsid w:val="00121E34"/>
    <w:rsid w:val="00121E5B"/>
    <w:rsid w:val="001228D7"/>
    <w:rsid w:val="001239AF"/>
    <w:rsid w:val="00123E0A"/>
    <w:rsid w:val="001244E2"/>
    <w:rsid w:val="001247E9"/>
    <w:rsid w:val="001262B1"/>
    <w:rsid w:val="0012638D"/>
    <w:rsid w:val="001265D6"/>
    <w:rsid w:val="001266D3"/>
    <w:rsid w:val="001268BF"/>
    <w:rsid w:val="00126E33"/>
    <w:rsid w:val="0012712A"/>
    <w:rsid w:val="00127608"/>
    <w:rsid w:val="00127CE3"/>
    <w:rsid w:val="001309DE"/>
    <w:rsid w:val="00130B2D"/>
    <w:rsid w:val="001318E9"/>
    <w:rsid w:val="001326F7"/>
    <w:rsid w:val="00132E56"/>
    <w:rsid w:val="00133F67"/>
    <w:rsid w:val="00134186"/>
    <w:rsid w:val="001345BC"/>
    <w:rsid w:val="0013472D"/>
    <w:rsid w:val="001364DC"/>
    <w:rsid w:val="0013652B"/>
    <w:rsid w:val="001369A2"/>
    <w:rsid w:val="00137479"/>
    <w:rsid w:val="00140BC0"/>
    <w:rsid w:val="00142646"/>
    <w:rsid w:val="00142B68"/>
    <w:rsid w:val="00143377"/>
    <w:rsid w:val="0014360A"/>
    <w:rsid w:val="00143CF6"/>
    <w:rsid w:val="00143E09"/>
    <w:rsid w:val="00143E79"/>
    <w:rsid w:val="001443B8"/>
    <w:rsid w:val="00144C7B"/>
    <w:rsid w:val="001452C3"/>
    <w:rsid w:val="00145B0F"/>
    <w:rsid w:val="00146D56"/>
    <w:rsid w:val="00146FE7"/>
    <w:rsid w:val="00147735"/>
    <w:rsid w:val="001505AD"/>
    <w:rsid w:val="00150B02"/>
    <w:rsid w:val="00150CF7"/>
    <w:rsid w:val="00151AE0"/>
    <w:rsid w:val="00151E7B"/>
    <w:rsid w:val="001529CE"/>
    <w:rsid w:val="001537AD"/>
    <w:rsid w:val="00153C4A"/>
    <w:rsid w:val="00153DE6"/>
    <w:rsid w:val="0015492B"/>
    <w:rsid w:val="001549E0"/>
    <w:rsid w:val="0015554F"/>
    <w:rsid w:val="00155980"/>
    <w:rsid w:val="00155EE4"/>
    <w:rsid w:val="00156BB1"/>
    <w:rsid w:val="00156BB5"/>
    <w:rsid w:val="0016001A"/>
    <w:rsid w:val="001604E4"/>
    <w:rsid w:val="001610B9"/>
    <w:rsid w:val="00161611"/>
    <w:rsid w:val="001616C4"/>
    <w:rsid w:val="0016194A"/>
    <w:rsid w:val="00161B8D"/>
    <w:rsid w:val="0016279B"/>
    <w:rsid w:val="001627E2"/>
    <w:rsid w:val="00162B90"/>
    <w:rsid w:val="00163170"/>
    <w:rsid w:val="0016329F"/>
    <w:rsid w:val="0016403C"/>
    <w:rsid w:val="00164704"/>
    <w:rsid w:val="00164970"/>
    <w:rsid w:val="00165266"/>
    <w:rsid w:val="0016592C"/>
    <w:rsid w:val="00165ED9"/>
    <w:rsid w:val="001668CF"/>
    <w:rsid w:val="00166BA8"/>
    <w:rsid w:val="00170045"/>
    <w:rsid w:val="00170364"/>
    <w:rsid w:val="001709F5"/>
    <w:rsid w:val="00170A15"/>
    <w:rsid w:val="0017118A"/>
    <w:rsid w:val="00171754"/>
    <w:rsid w:val="001718FA"/>
    <w:rsid w:val="00171BEE"/>
    <w:rsid w:val="001722DA"/>
    <w:rsid w:val="00172FC9"/>
    <w:rsid w:val="0017397C"/>
    <w:rsid w:val="001739C3"/>
    <w:rsid w:val="00173A93"/>
    <w:rsid w:val="00173BB9"/>
    <w:rsid w:val="001756B1"/>
    <w:rsid w:val="001759F5"/>
    <w:rsid w:val="00175D0F"/>
    <w:rsid w:val="00175F40"/>
    <w:rsid w:val="00176350"/>
    <w:rsid w:val="001778FD"/>
    <w:rsid w:val="00180D0F"/>
    <w:rsid w:val="00181934"/>
    <w:rsid w:val="00181B6F"/>
    <w:rsid w:val="0018211A"/>
    <w:rsid w:val="001822B6"/>
    <w:rsid w:val="00182923"/>
    <w:rsid w:val="001830C5"/>
    <w:rsid w:val="0018346F"/>
    <w:rsid w:val="00183BFC"/>
    <w:rsid w:val="00183D31"/>
    <w:rsid w:val="00183FD9"/>
    <w:rsid w:val="001842BF"/>
    <w:rsid w:val="00184428"/>
    <w:rsid w:val="001854EF"/>
    <w:rsid w:val="00186C53"/>
    <w:rsid w:val="001872AE"/>
    <w:rsid w:val="001873D4"/>
    <w:rsid w:val="00187552"/>
    <w:rsid w:val="00187844"/>
    <w:rsid w:val="00187948"/>
    <w:rsid w:val="00190002"/>
    <w:rsid w:val="001902AF"/>
    <w:rsid w:val="00190CE8"/>
    <w:rsid w:val="0019145B"/>
    <w:rsid w:val="0019187E"/>
    <w:rsid w:val="00192086"/>
    <w:rsid w:val="001922DE"/>
    <w:rsid w:val="00192819"/>
    <w:rsid w:val="0019333D"/>
    <w:rsid w:val="001939F2"/>
    <w:rsid w:val="00193A4A"/>
    <w:rsid w:val="001943C3"/>
    <w:rsid w:val="0019469A"/>
    <w:rsid w:val="00194FDE"/>
    <w:rsid w:val="00195623"/>
    <w:rsid w:val="0019567B"/>
    <w:rsid w:val="001961E2"/>
    <w:rsid w:val="00196683"/>
    <w:rsid w:val="00196F58"/>
    <w:rsid w:val="0019744B"/>
    <w:rsid w:val="001A013D"/>
    <w:rsid w:val="001A0BFE"/>
    <w:rsid w:val="001A0D3A"/>
    <w:rsid w:val="001A153D"/>
    <w:rsid w:val="001A1E6D"/>
    <w:rsid w:val="001A1F32"/>
    <w:rsid w:val="001A32A5"/>
    <w:rsid w:val="001A3956"/>
    <w:rsid w:val="001A520E"/>
    <w:rsid w:val="001A55A5"/>
    <w:rsid w:val="001A5B6C"/>
    <w:rsid w:val="001A6464"/>
    <w:rsid w:val="001A64CE"/>
    <w:rsid w:val="001A65E5"/>
    <w:rsid w:val="001A67C1"/>
    <w:rsid w:val="001A6BE8"/>
    <w:rsid w:val="001A7022"/>
    <w:rsid w:val="001A7427"/>
    <w:rsid w:val="001A742A"/>
    <w:rsid w:val="001A7542"/>
    <w:rsid w:val="001A7983"/>
    <w:rsid w:val="001A7AC6"/>
    <w:rsid w:val="001A7B55"/>
    <w:rsid w:val="001A7D7E"/>
    <w:rsid w:val="001B10BD"/>
    <w:rsid w:val="001B132C"/>
    <w:rsid w:val="001B1E29"/>
    <w:rsid w:val="001B1E2A"/>
    <w:rsid w:val="001B2498"/>
    <w:rsid w:val="001B24D7"/>
    <w:rsid w:val="001B28C5"/>
    <w:rsid w:val="001B2FBF"/>
    <w:rsid w:val="001B53C3"/>
    <w:rsid w:val="001B6093"/>
    <w:rsid w:val="001B6528"/>
    <w:rsid w:val="001B6874"/>
    <w:rsid w:val="001B6A2A"/>
    <w:rsid w:val="001B75C2"/>
    <w:rsid w:val="001B7A5A"/>
    <w:rsid w:val="001B7C11"/>
    <w:rsid w:val="001C09E4"/>
    <w:rsid w:val="001C0A57"/>
    <w:rsid w:val="001C0B33"/>
    <w:rsid w:val="001C20D5"/>
    <w:rsid w:val="001C22E2"/>
    <w:rsid w:val="001C25FC"/>
    <w:rsid w:val="001C30AC"/>
    <w:rsid w:val="001C39C7"/>
    <w:rsid w:val="001C3A28"/>
    <w:rsid w:val="001C3B53"/>
    <w:rsid w:val="001C3F6D"/>
    <w:rsid w:val="001C44B9"/>
    <w:rsid w:val="001C4BE5"/>
    <w:rsid w:val="001C5978"/>
    <w:rsid w:val="001C5D3D"/>
    <w:rsid w:val="001C5DF7"/>
    <w:rsid w:val="001C6167"/>
    <w:rsid w:val="001D1678"/>
    <w:rsid w:val="001D1998"/>
    <w:rsid w:val="001D2153"/>
    <w:rsid w:val="001D2A99"/>
    <w:rsid w:val="001D2CB9"/>
    <w:rsid w:val="001D2EA1"/>
    <w:rsid w:val="001D2F5E"/>
    <w:rsid w:val="001D3449"/>
    <w:rsid w:val="001D3DA5"/>
    <w:rsid w:val="001D42AA"/>
    <w:rsid w:val="001D44F5"/>
    <w:rsid w:val="001D4520"/>
    <w:rsid w:val="001D45B3"/>
    <w:rsid w:val="001D4D1C"/>
    <w:rsid w:val="001D56A6"/>
    <w:rsid w:val="001D5889"/>
    <w:rsid w:val="001D5B81"/>
    <w:rsid w:val="001D5E16"/>
    <w:rsid w:val="001D61B4"/>
    <w:rsid w:val="001D6464"/>
    <w:rsid w:val="001D6BB8"/>
    <w:rsid w:val="001D719F"/>
    <w:rsid w:val="001D725A"/>
    <w:rsid w:val="001D735B"/>
    <w:rsid w:val="001D7465"/>
    <w:rsid w:val="001D750B"/>
    <w:rsid w:val="001E0701"/>
    <w:rsid w:val="001E09C5"/>
    <w:rsid w:val="001E2B3F"/>
    <w:rsid w:val="001E2C50"/>
    <w:rsid w:val="001E3FB7"/>
    <w:rsid w:val="001E4B28"/>
    <w:rsid w:val="001E4E90"/>
    <w:rsid w:val="001E5294"/>
    <w:rsid w:val="001E52F2"/>
    <w:rsid w:val="001E5731"/>
    <w:rsid w:val="001E5AE2"/>
    <w:rsid w:val="001E5C8E"/>
    <w:rsid w:val="001E7067"/>
    <w:rsid w:val="001E798D"/>
    <w:rsid w:val="001E7A10"/>
    <w:rsid w:val="001E7E4A"/>
    <w:rsid w:val="001F11DC"/>
    <w:rsid w:val="001F2630"/>
    <w:rsid w:val="001F363F"/>
    <w:rsid w:val="001F3785"/>
    <w:rsid w:val="001F3963"/>
    <w:rsid w:val="001F3978"/>
    <w:rsid w:val="001F3D11"/>
    <w:rsid w:val="001F5567"/>
    <w:rsid w:val="001F55F6"/>
    <w:rsid w:val="001F59D8"/>
    <w:rsid w:val="001F5F6E"/>
    <w:rsid w:val="001F63EB"/>
    <w:rsid w:val="001F65DA"/>
    <w:rsid w:val="001F6953"/>
    <w:rsid w:val="001F6D3D"/>
    <w:rsid w:val="001F6F3F"/>
    <w:rsid w:val="001F7270"/>
    <w:rsid w:val="001F73A8"/>
    <w:rsid w:val="001F73B4"/>
    <w:rsid w:val="0020071A"/>
    <w:rsid w:val="00201137"/>
    <w:rsid w:val="00201226"/>
    <w:rsid w:val="0020129D"/>
    <w:rsid w:val="002026FC"/>
    <w:rsid w:val="00202BED"/>
    <w:rsid w:val="00203802"/>
    <w:rsid w:val="002047EA"/>
    <w:rsid w:val="00204ECC"/>
    <w:rsid w:val="00204F23"/>
    <w:rsid w:val="00205010"/>
    <w:rsid w:val="00205442"/>
    <w:rsid w:val="00205B98"/>
    <w:rsid w:val="00206015"/>
    <w:rsid w:val="00206485"/>
    <w:rsid w:val="002069C2"/>
    <w:rsid w:val="002070AB"/>
    <w:rsid w:val="00207ADD"/>
    <w:rsid w:val="00210132"/>
    <w:rsid w:val="00210558"/>
    <w:rsid w:val="0021147C"/>
    <w:rsid w:val="00211AF2"/>
    <w:rsid w:val="00211B5A"/>
    <w:rsid w:val="00212100"/>
    <w:rsid w:val="002123FD"/>
    <w:rsid w:val="00212FEB"/>
    <w:rsid w:val="00213463"/>
    <w:rsid w:val="00213518"/>
    <w:rsid w:val="00213CE3"/>
    <w:rsid w:val="00214357"/>
    <w:rsid w:val="0021443D"/>
    <w:rsid w:val="00214581"/>
    <w:rsid w:val="00214796"/>
    <w:rsid w:val="002150A9"/>
    <w:rsid w:val="002151EE"/>
    <w:rsid w:val="002154F8"/>
    <w:rsid w:val="00215B11"/>
    <w:rsid w:val="00216032"/>
    <w:rsid w:val="002161D5"/>
    <w:rsid w:val="002161E4"/>
    <w:rsid w:val="00216D75"/>
    <w:rsid w:val="00217076"/>
    <w:rsid w:val="00217183"/>
    <w:rsid w:val="00217386"/>
    <w:rsid w:val="00217AEB"/>
    <w:rsid w:val="002200D2"/>
    <w:rsid w:val="002207E7"/>
    <w:rsid w:val="002209DE"/>
    <w:rsid w:val="00220BC1"/>
    <w:rsid w:val="00220C65"/>
    <w:rsid w:val="00220F4A"/>
    <w:rsid w:val="002217BF"/>
    <w:rsid w:val="00222903"/>
    <w:rsid w:val="0022297B"/>
    <w:rsid w:val="00222C03"/>
    <w:rsid w:val="00222D83"/>
    <w:rsid w:val="00222F21"/>
    <w:rsid w:val="0022388A"/>
    <w:rsid w:val="002238CB"/>
    <w:rsid w:val="00224D23"/>
    <w:rsid w:val="00225604"/>
    <w:rsid w:val="0022596A"/>
    <w:rsid w:val="002259DA"/>
    <w:rsid w:val="00225BB5"/>
    <w:rsid w:val="00225BC7"/>
    <w:rsid w:val="0022640B"/>
    <w:rsid w:val="0022672D"/>
    <w:rsid w:val="0022698E"/>
    <w:rsid w:val="00226B5D"/>
    <w:rsid w:val="00226DD5"/>
    <w:rsid w:val="00227088"/>
    <w:rsid w:val="002270EB"/>
    <w:rsid w:val="00227474"/>
    <w:rsid w:val="002275B6"/>
    <w:rsid w:val="002277E8"/>
    <w:rsid w:val="0023009C"/>
    <w:rsid w:val="00230267"/>
    <w:rsid w:val="0023058F"/>
    <w:rsid w:val="00231042"/>
    <w:rsid w:val="00231E8C"/>
    <w:rsid w:val="00232372"/>
    <w:rsid w:val="00232A01"/>
    <w:rsid w:val="00233643"/>
    <w:rsid w:val="00233C0C"/>
    <w:rsid w:val="00233D33"/>
    <w:rsid w:val="00234D54"/>
    <w:rsid w:val="00235801"/>
    <w:rsid w:val="002367B1"/>
    <w:rsid w:val="002369E7"/>
    <w:rsid w:val="00236E48"/>
    <w:rsid w:val="00236FF0"/>
    <w:rsid w:val="002400DB"/>
    <w:rsid w:val="002402B7"/>
    <w:rsid w:val="00240594"/>
    <w:rsid w:val="002419BF"/>
    <w:rsid w:val="00241D2F"/>
    <w:rsid w:val="00242479"/>
    <w:rsid w:val="0024248A"/>
    <w:rsid w:val="00243343"/>
    <w:rsid w:val="002436E3"/>
    <w:rsid w:val="0024407D"/>
    <w:rsid w:val="002450D3"/>
    <w:rsid w:val="00245174"/>
    <w:rsid w:val="0024702E"/>
    <w:rsid w:val="00247454"/>
    <w:rsid w:val="002474CC"/>
    <w:rsid w:val="0024764F"/>
    <w:rsid w:val="00247EF2"/>
    <w:rsid w:val="0025039F"/>
    <w:rsid w:val="002504D3"/>
    <w:rsid w:val="00251566"/>
    <w:rsid w:val="00251747"/>
    <w:rsid w:val="00252EF2"/>
    <w:rsid w:val="00253A5D"/>
    <w:rsid w:val="0025451F"/>
    <w:rsid w:val="00254D62"/>
    <w:rsid w:val="00255213"/>
    <w:rsid w:val="00255379"/>
    <w:rsid w:val="002553CE"/>
    <w:rsid w:val="00255E52"/>
    <w:rsid w:val="002563C2"/>
    <w:rsid w:val="002565B3"/>
    <w:rsid w:val="00257592"/>
    <w:rsid w:val="00260431"/>
    <w:rsid w:val="0026143C"/>
    <w:rsid w:val="00261B38"/>
    <w:rsid w:val="00261B9D"/>
    <w:rsid w:val="002632D0"/>
    <w:rsid w:val="00264170"/>
    <w:rsid w:val="00264443"/>
    <w:rsid w:val="00264CEB"/>
    <w:rsid w:val="00265B8E"/>
    <w:rsid w:val="0026604F"/>
    <w:rsid w:val="00266297"/>
    <w:rsid w:val="0026690D"/>
    <w:rsid w:val="00266AB0"/>
    <w:rsid w:val="00266D28"/>
    <w:rsid w:val="00266EAE"/>
    <w:rsid w:val="002674E0"/>
    <w:rsid w:val="0026796B"/>
    <w:rsid w:val="0027007A"/>
    <w:rsid w:val="00270174"/>
    <w:rsid w:val="002705EA"/>
    <w:rsid w:val="002707CE"/>
    <w:rsid w:val="00270C35"/>
    <w:rsid w:val="00270C46"/>
    <w:rsid w:val="00270E46"/>
    <w:rsid w:val="00271423"/>
    <w:rsid w:val="00271BF6"/>
    <w:rsid w:val="00271D52"/>
    <w:rsid w:val="0027264A"/>
    <w:rsid w:val="00272971"/>
    <w:rsid w:val="00272C19"/>
    <w:rsid w:val="002732C3"/>
    <w:rsid w:val="0027337A"/>
    <w:rsid w:val="00273790"/>
    <w:rsid w:val="00273A8F"/>
    <w:rsid w:val="002747DE"/>
    <w:rsid w:val="00274952"/>
    <w:rsid w:val="0027520D"/>
    <w:rsid w:val="002757C5"/>
    <w:rsid w:val="002757DD"/>
    <w:rsid w:val="0027604B"/>
    <w:rsid w:val="002762B5"/>
    <w:rsid w:val="00276379"/>
    <w:rsid w:val="002763B1"/>
    <w:rsid w:val="00276835"/>
    <w:rsid w:val="00276EA5"/>
    <w:rsid w:val="002779DB"/>
    <w:rsid w:val="00277C19"/>
    <w:rsid w:val="00277CCF"/>
    <w:rsid w:val="00277D12"/>
    <w:rsid w:val="00277E03"/>
    <w:rsid w:val="0028049C"/>
    <w:rsid w:val="00280C96"/>
    <w:rsid w:val="002821E8"/>
    <w:rsid w:val="0028275B"/>
    <w:rsid w:val="00282CBF"/>
    <w:rsid w:val="00282ECC"/>
    <w:rsid w:val="00283167"/>
    <w:rsid w:val="00283634"/>
    <w:rsid w:val="00283BD8"/>
    <w:rsid w:val="002860BF"/>
    <w:rsid w:val="00286748"/>
    <w:rsid w:val="00286D6A"/>
    <w:rsid w:val="00287B76"/>
    <w:rsid w:val="00287ED9"/>
    <w:rsid w:val="00290017"/>
    <w:rsid w:val="0029054E"/>
    <w:rsid w:val="0029078A"/>
    <w:rsid w:val="00291303"/>
    <w:rsid w:val="002913A2"/>
    <w:rsid w:val="0029162E"/>
    <w:rsid w:val="00291E93"/>
    <w:rsid w:val="00291EF6"/>
    <w:rsid w:val="00292461"/>
    <w:rsid w:val="0029265A"/>
    <w:rsid w:val="00292B20"/>
    <w:rsid w:val="00292B28"/>
    <w:rsid w:val="00293901"/>
    <w:rsid w:val="00293CBB"/>
    <w:rsid w:val="0029447F"/>
    <w:rsid w:val="002945D4"/>
    <w:rsid w:val="0029585B"/>
    <w:rsid w:val="002974BC"/>
    <w:rsid w:val="00297609"/>
    <w:rsid w:val="0029761D"/>
    <w:rsid w:val="00297CBA"/>
    <w:rsid w:val="002A0D7A"/>
    <w:rsid w:val="002A156D"/>
    <w:rsid w:val="002A1A26"/>
    <w:rsid w:val="002A2B76"/>
    <w:rsid w:val="002A2C19"/>
    <w:rsid w:val="002A2C4B"/>
    <w:rsid w:val="002A2D17"/>
    <w:rsid w:val="002A3342"/>
    <w:rsid w:val="002A357E"/>
    <w:rsid w:val="002A3740"/>
    <w:rsid w:val="002A3802"/>
    <w:rsid w:val="002A3BC6"/>
    <w:rsid w:val="002A3C41"/>
    <w:rsid w:val="002A40CB"/>
    <w:rsid w:val="002A4C85"/>
    <w:rsid w:val="002A4FEE"/>
    <w:rsid w:val="002A5634"/>
    <w:rsid w:val="002A5A54"/>
    <w:rsid w:val="002A5D00"/>
    <w:rsid w:val="002A619C"/>
    <w:rsid w:val="002A67AB"/>
    <w:rsid w:val="002A6E83"/>
    <w:rsid w:val="002B0E65"/>
    <w:rsid w:val="002B106A"/>
    <w:rsid w:val="002B12D0"/>
    <w:rsid w:val="002B15D5"/>
    <w:rsid w:val="002B1F69"/>
    <w:rsid w:val="002B25BD"/>
    <w:rsid w:val="002B269B"/>
    <w:rsid w:val="002B30F5"/>
    <w:rsid w:val="002B3890"/>
    <w:rsid w:val="002B3897"/>
    <w:rsid w:val="002B3B07"/>
    <w:rsid w:val="002B4005"/>
    <w:rsid w:val="002B443B"/>
    <w:rsid w:val="002B46B2"/>
    <w:rsid w:val="002B4FC1"/>
    <w:rsid w:val="002B6412"/>
    <w:rsid w:val="002B6759"/>
    <w:rsid w:val="002B7215"/>
    <w:rsid w:val="002B73D9"/>
    <w:rsid w:val="002C01CD"/>
    <w:rsid w:val="002C04AF"/>
    <w:rsid w:val="002C14CC"/>
    <w:rsid w:val="002C23F0"/>
    <w:rsid w:val="002C26EE"/>
    <w:rsid w:val="002C3520"/>
    <w:rsid w:val="002C3B0D"/>
    <w:rsid w:val="002C3E09"/>
    <w:rsid w:val="002C626D"/>
    <w:rsid w:val="002C693E"/>
    <w:rsid w:val="002C6B29"/>
    <w:rsid w:val="002D02DC"/>
    <w:rsid w:val="002D056A"/>
    <w:rsid w:val="002D08B7"/>
    <w:rsid w:val="002D0C66"/>
    <w:rsid w:val="002D14FF"/>
    <w:rsid w:val="002D1BA8"/>
    <w:rsid w:val="002D2744"/>
    <w:rsid w:val="002D2901"/>
    <w:rsid w:val="002D4B33"/>
    <w:rsid w:val="002D4D79"/>
    <w:rsid w:val="002D4EB1"/>
    <w:rsid w:val="002D4FEC"/>
    <w:rsid w:val="002D53FA"/>
    <w:rsid w:val="002D5C85"/>
    <w:rsid w:val="002D6A3E"/>
    <w:rsid w:val="002D6D4B"/>
    <w:rsid w:val="002D7CBB"/>
    <w:rsid w:val="002D7E14"/>
    <w:rsid w:val="002D7F00"/>
    <w:rsid w:val="002E10F6"/>
    <w:rsid w:val="002E16DE"/>
    <w:rsid w:val="002E184A"/>
    <w:rsid w:val="002E1A12"/>
    <w:rsid w:val="002E1AA1"/>
    <w:rsid w:val="002E1B3C"/>
    <w:rsid w:val="002E1CD7"/>
    <w:rsid w:val="002E1D5D"/>
    <w:rsid w:val="002E1F29"/>
    <w:rsid w:val="002E2E6B"/>
    <w:rsid w:val="002E39E5"/>
    <w:rsid w:val="002E3ABC"/>
    <w:rsid w:val="002E3CD2"/>
    <w:rsid w:val="002E3CF3"/>
    <w:rsid w:val="002E41EB"/>
    <w:rsid w:val="002E42EF"/>
    <w:rsid w:val="002E43FE"/>
    <w:rsid w:val="002E4538"/>
    <w:rsid w:val="002E4C8D"/>
    <w:rsid w:val="002E5748"/>
    <w:rsid w:val="002E58E5"/>
    <w:rsid w:val="002E5CB9"/>
    <w:rsid w:val="002E5D1E"/>
    <w:rsid w:val="002E6087"/>
    <w:rsid w:val="002E60C5"/>
    <w:rsid w:val="002E6277"/>
    <w:rsid w:val="002E64D4"/>
    <w:rsid w:val="002E6EB5"/>
    <w:rsid w:val="002E6F87"/>
    <w:rsid w:val="002E7AF1"/>
    <w:rsid w:val="002E7ED1"/>
    <w:rsid w:val="002F02F2"/>
    <w:rsid w:val="002F074F"/>
    <w:rsid w:val="002F1776"/>
    <w:rsid w:val="002F1952"/>
    <w:rsid w:val="002F1D1C"/>
    <w:rsid w:val="002F2592"/>
    <w:rsid w:val="002F27D3"/>
    <w:rsid w:val="002F31E4"/>
    <w:rsid w:val="002F435E"/>
    <w:rsid w:val="002F4C09"/>
    <w:rsid w:val="002F51EA"/>
    <w:rsid w:val="002F52BD"/>
    <w:rsid w:val="002F52CA"/>
    <w:rsid w:val="002F5596"/>
    <w:rsid w:val="002F55CA"/>
    <w:rsid w:val="002F58E4"/>
    <w:rsid w:val="002F627E"/>
    <w:rsid w:val="002F7517"/>
    <w:rsid w:val="002F7B6B"/>
    <w:rsid w:val="00300002"/>
    <w:rsid w:val="00300060"/>
    <w:rsid w:val="0030025A"/>
    <w:rsid w:val="0030046D"/>
    <w:rsid w:val="0030080F"/>
    <w:rsid w:val="00300D4F"/>
    <w:rsid w:val="00301DF8"/>
    <w:rsid w:val="00302337"/>
    <w:rsid w:val="00303971"/>
    <w:rsid w:val="00303A76"/>
    <w:rsid w:val="00303CDC"/>
    <w:rsid w:val="00304043"/>
    <w:rsid w:val="00305522"/>
    <w:rsid w:val="00305C0C"/>
    <w:rsid w:val="00305CAE"/>
    <w:rsid w:val="00306DD2"/>
    <w:rsid w:val="00307A60"/>
    <w:rsid w:val="00310268"/>
    <w:rsid w:val="003103CF"/>
    <w:rsid w:val="0031060E"/>
    <w:rsid w:val="00310749"/>
    <w:rsid w:val="00310828"/>
    <w:rsid w:val="00310E9F"/>
    <w:rsid w:val="003113C7"/>
    <w:rsid w:val="00311A92"/>
    <w:rsid w:val="00311B59"/>
    <w:rsid w:val="003125FA"/>
    <w:rsid w:val="003127D0"/>
    <w:rsid w:val="003143DF"/>
    <w:rsid w:val="0031488E"/>
    <w:rsid w:val="0031490E"/>
    <w:rsid w:val="0031492A"/>
    <w:rsid w:val="00315AC2"/>
    <w:rsid w:val="00315CC3"/>
    <w:rsid w:val="003166AF"/>
    <w:rsid w:val="003169A1"/>
    <w:rsid w:val="00316B2C"/>
    <w:rsid w:val="00316CCE"/>
    <w:rsid w:val="003176FA"/>
    <w:rsid w:val="00317FBB"/>
    <w:rsid w:val="00320673"/>
    <w:rsid w:val="00320BB8"/>
    <w:rsid w:val="00320CB9"/>
    <w:rsid w:val="003212A2"/>
    <w:rsid w:val="00321983"/>
    <w:rsid w:val="003223C4"/>
    <w:rsid w:val="00322A19"/>
    <w:rsid w:val="00322E1F"/>
    <w:rsid w:val="0032320C"/>
    <w:rsid w:val="00323E2C"/>
    <w:rsid w:val="00324296"/>
    <w:rsid w:val="00325639"/>
    <w:rsid w:val="00325815"/>
    <w:rsid w:val="00325C38"/>
    <w:rsid w:val="00325C7E"/>
    <w:rsid w:val="00325E0E"/>
    <w:rsid w:val="003267CA"/>
    <w:rsid w:val="00326D08"/>
    <w:rsid w:val="00326D8D"/>
    <w:rsid w:val="003273EF"/>
    <w:rsid w:val="003277E4"/>
    <w:rsid w:val="00330543"/>
    <w:rsid w:val="0033159B"/>
    <w:rsid w:val="0033171E"/>
    <w:rsid w:val="00331D71"/>
    <w:rsid w:val="00332C46"/>
    <w:rsid w:val="00332E45"/>
    <w:rsid w:val="003338A7"/>
    <w:rsid w:val="00333BB4"/>
    <w:rsid w:val="00334973"/>
    <w:rsid w:val="003349FC"/>
    <w:rsid w:val="00336824"/>
    <w:rsid w:val="0033695B"/>
    <w:rsid w:val="003369EB"/>
    <w:rsid w:val="0033786A"/>
    <w:rsid w:val="00337BBB"/>
    <w:rsid w:val="003402C5"/>
    <w:rsid w:val="00340D10"/>
    <w:rsid w:val="00342249"/>
    <w:rsid w:val="00342B13"/>
    <w:rsid w:val="0034320E"/>
    <w:rsid w:val="00343EE0"/>
    <w:rsid w:val="0034458C"/>
    <w:rsid w:val="00344CC2"/>
    <w:rsid w:val="00344E3C"/>
    <w:rsid w:val="00344FAB"/>
    <w:rsid w:val="00345254"/>
    <w:rsid w:val="00347EB9"/>
    <w:rsid w:val="00347F19"/>
    <w:rsid w:val="00350266"/>
    <w:rsid w:val="003508F9"/>
    <w:rsid w:val="00351061"/>
    <w:rsid w:val="00351758"/>
    <w:rsid w:val="00351AA7"/>
    <w:rsid w:val="00352965"/>
    <w:rsid w:val="00352FFD"/>
    <w:rsid w:val="003534D0"/>
    <w:rsid w:val="00353A2C"/>
    <w:rsid w:val="00353ED0"/>
    <w:rsid w:val="003540D5"/>
    <w:rsid w:val="003543B5"/>
    <w:rsid w:val="003559D0"/>
    <w:rsid w:val="003601CA"/>
    <w:rsid w:val="0036049F"/>
    <w:rsid w:val="0036090A"/>
    <w:rsid w:val="00360D67"/>
    <w:rsid w:val="00360F71"/>
    <w:rsid w:val="003610D0"/>
    <w:rsid w:val="003613AC"/>
    <w:rsid w:val="003619C4"/>
    <w:rsid w:val="00361AA8"/>
    <w:rsid w:val="00361DF5"/>
    <w:rsid w:val="00362199"/>
    <w:rsid w:val="003623CF"/>
    <w:rsid w:val="003624EB"/>
    <w:rsid w:val="00362713"/>
    <w:rsid w:val="003630E4"/>
    <w:rsid w:val="0036347F"/>
    <w:rsid w:val="003634C0"/>
    <w:rsid w:val="00363F20"/>
    <w:rsid w:val="00363F8B"/>
    <w:rsid w:val="0036410E"/>
    <w:rsid w:val="00364867"/>
    <w:rsid w:val="00364B5D"/>
    <w:rsid w:val="00364BAA"/>
    <w:rsid w:val="00366311"/>
    <w:rsid w:val="00366743"/>
    <w:rsid w:val="00366C8F"/>
    <w:rsid w:val="0036713A"/>
    <w:rsid w:val="00367426"/>
    <w:rsid w:val="00367C69"/>
    <w:rsid w:val="00370854"/>
    <w:rsid w:val="00370ACB"/>
    <w:rsid w:val="00371442"/>
    <w:rsid w:val="00371774"/>
    <w:rsid w:val="003717ED"/>
    <w:rsid w:val="00371826"/>
    <w:rsid w:val="0037184D"/>
    <w:rsid w:val="00371853"/>
    <w:rsid w:val="00371AA2"/>
    <w:rsid w:val="00371C7A"/>
    <w:rsid w:val="00372BEF"/>
    <w:rsid w:val="0037329E"/>
    <w:rsid w:val="003737C9"/>
    <w:rsid w:val="00373914"/>
    <w:rsid w:val="00373FB8"/>
    <w:rsid w:val="00374204"/>
    <w:rsid w:val="00374794"/>
    <w:rsid w:val="0037491F"/>
    <w:rsid w:val="003759A2"/>
    <w:rsid w:val="003760F9"/>
    <w:rsid w:val="00377A36"/>
    <w:rsid w:val="00377D9E"/>
    <w:rsid w:val="00377EB7"/>
    <w:rsid w:val="003806F6"/>
    <w:rsid w:val="003814C6"/>
    <w:rsid w:val="00381CD1"/>
    <w:rsid w:val="003824C4"/>
    <w:rsid w:val="0038294D"/>
    <w:rsid w:val="00382A2A"/>
    <w:rsid w:val="003830AA"/>
    <w:rsid w:val="00383EA1"/>
    <w:rsid w:val="00383EB9"/>
    <w:rsid w:val="00384B49"/>
    <w:rsid w:val="003850D5"/>
    <w:rsid w:val="00385110"/>
    <w:rsid w:val="00385208"/>
    <w:rsid w:val="003853B9"/>
    <w:rsid w:val="00385629"/>
    <w:rsid w:val="0038577E"/>
    <w:rsid w:val="00385B84"/>
    <w:rsid w:val="00385E03"/>
    <w:rsid w:val="00386218"/>
    <w:rsid w:val="00386735"/>
    <w:rsid w:val="0038695F"/>
    <w:rsid w:val="003876BB"/>
    <w:rsid w:val="00387BE5"/>
    <w:rsid w:val="00390057"/>
    <w:rsid w:val="00390744"/>
    <w:rsid w:val="00390B4D"/>
    <w:rsid w:val="00391622"/>
    <w:rsid w:val="003918DF"/>
    <w:rsid w:val="00391A34"/>
    <w:rsid w:val="00392355"/>
    <w:rsid w:val="0039244C"/>
    <w:rsid w:val="003925CB"/>
    <w:rsid w:val="00392BDA"/>
    <w:rsid w:val="0039325D"/>
    <w:rsid w:val="00393BD8"/>
    <w:rsid w:val="00393DEA"/>
    <w:rsid w:val="003948F4"/>
    <w:rsid w:val="00394D18"/>
    <w:rsid w:val="00396115"/>
    <w:rsid w:val="003962B3"/>
    <w:rsid w:val="00396725"/>
    <w:rsid w:val="00397858"/>
    <w:rsid w:val="003A0159"/>
    <w:rsid w:val="003A0201"/>
    <w:rsid w:val="003A0570"/>
    <w:rsid w:val="003A0BA6"/>
    <w:rsid w:val="003A0CA7"/>
    <w:rsid w:val="003A246B"/>
    <w:rsid w:val="003A2494"/>
    <w:rsid w:val="003A3035"/>
    <w:rsid w:val="003A3512"/>
    <w:rsid w:val="003A375F"/>
    <w:rsid w:val="003A3E14"/>
    <w:rsid w:val="003A42B9"/>
    <w:rsid w:val="003A4887"/>
    <w:rsid w:val="003A59B0"/>
    <w:rsid w:val="003A5DBD"/>
    <w:rsid w:val="003A61A7"/>
    <w:rsid w:val="003A6E3F"/>
    <w:rsid w:val="003A74D0"/>
    <w:rsid w:val="003A7530"/>
    <w:rsid w:val="003A753F"/>
    <w:rsid w:val="003A7651"/>
    <w:rsid w:val="003A796E"/>
    <w:rsid w:val="003B00BF"/>
    <w:rsid w:val="003B0315"/>
    <w:rsid w:val="003B0762"/>
    <w:rsid w:val="003B080A"/>
    <w:rsid w:val="003B1FDE"/>
    <w:rsid w:val="003B257C"/>
    <w:rsid w:val="003B2627"/>
    <w:rsid w:val="003B2CAD"/>
    <w:rsid w:val="003B2DA8"/>
    <w:rsid w:val="003B2F04"/>
    <w:rsid w:val="003B44DD"/>
    <w:rsid w:val="003B46B5"/>
    <w:rsid w:val="003B46DD"/>
    <w:rsid w:val="003B5A8B"/>
    <w:rsid w:val="003B74C9"/>
    <w:rsid w:val="003B784D"/>
    <w:rsid w:val="003C03E9"/>
    <w:rsid w:val="003C03F3"/>
    <w:rsid w:val="003C0843"/>
    <w:rsid w:val="003C0956"/>
    <w:rsid w:val="003C1991"/>
    <w:rsid w:val="003C3BE0"/>
    <w:rsid w:val="003C4298"/>
    <w:rsid w:val="003C45A8"/>
    <w:rsid w:val="003C4A2E"/>
    <w:rsid w:val="003C5289"/>
    <w:rsid w:val="003C5C5B"/>
    <w:rsid w:val="003C5EB5"/>
    <w:rsid w:val="003C5EF0"/>
    <w:rsid w:val="003C6205"/>
    <w:rsid w:val="003C644F"/>
    <w:rsid w:val="003C6DFC"/>
    <w:rsid w:val="003C7054"/>
    <w:rsid w:val="003C77E0"/>
    <w:rsid w:val="003C79B5"/>
    <w:rsid w:val="003C7AFC"/>
    <w:rsid w:val="003D0B4D"/>
    <w:rsid w:val="003D136F"/>
    <w:rsid w:val="003D13D2"/>
    <w:rsid w:val="003D1C0C"/>
    <w:rsid w:val="003D1E97"/>
    <w:rsid w:val="003D24E5"/>
    <w:rsid w:val="003D269A"/>
    <w:rsid w:val="003D2AE0"/>
    <w:rsid w:val="003D2BD8"/>
    <w:rsid w:val="003D36F1"/>
    <w:rsid w:val="003D3C77"/>
    <w:rsid w:val="003D3CAC"/>
    <w:rsid w:val="003D3F48"/>
    <w:rsid w:val="003D411E"/>
    <w:rsid w:val="003D49E5"/>
    <w:rsid w:val="003D4C1E"/>
    <w:rsid w:val="003D51C6"/>
    <w:rsid w:val="003D572A"/>
    <w:rsid w:val="003D5799"/>
    <w:rsid w:val="003D5FF1"/>
    <w:rsid w:val="003D6A0F"/>
    <w:rsid w:val="003E020F"/>
    <w:rsid w:val="003E183F"/>
    <w:rsid w:val="003E1F82"/>
    <w:rsid w:val="003E204E"/>
    <w:rsid w:val="003E5258"/>
    <w:rsid w:val="003E5BA8"/>
    <w:rsid w:val="003E5C5F"/>
    <w:rsid w:val="003E60AF"/>
    <w:rsid w:val="003E60DB"/>
    <w:rsid w:val="003E6B53"/>
    <w:rsid w:val="003E6C35"/>
    <w:rsid w:val="003E7643"/>
    <w:rsid w:val="003E7A80"/>
    <w:rsid w:val="003F0719"/>
    <w:rsid w:val="003F077C"/>
    <w:rsid w:val="003F0783"/>
    <w:rsid w:val="003F07E4"/>
    <w:rsid w:val="003F1208"/>
    <w:rsid w:val="003F2647"/>
    <w:rsid w:val="003F272B"/>
    <w:rsid w:val="003F2DB7"/>
    <w:rsid w:val="003F33CA"/>
    <w:rsid w:val="003F3C5F"/>
    <w:rsid w:val="003F3E79"/>
    <w:rsid w:val="003F40A0"/>
    <w:rsid w:val="003F499A"/>
    <w:rsid w:val="003F5A72"/>
    <w:rsid w:val="003F60F3"/>
    <w:rsid w:val="003F6FAC"/>
    <w:rsid w:val="003F72EB"/>
    <w:rsid w:val="003F7BDD"/>
    <w:rsid w:val="003F7BF5"/>
    <w:rsid w:val="003F7F66"/>
    <w:rsid w:val="00400810"/>
    <w:rsid w:val="00400901"/>
    <w:rsid w:val="0040106F"/>
    <w:rsid w:val="00402E41"/>
    <w:rsid w:val="00404E9F"/>
    <w:rsid w:val="00405906"/>
    <w:rsid w:val="004061A7"/>
    <w:rsid w:val="00406823"/>
    <w:rsid w:val="0040683D"/>
    <w:rsid w:val="004077AB"/>
    <w:rsid w:val="00407D0A"/>
    <w:rsid w:val="00410278"/>
    <w:rsid w:val="00411521"/>
    <w:rsid w:val="00411664"/>
    <w:rsid w:val="0041170D"/>
    <w:rsid w:val="00411841"/>
    <w:rsid w:val="0041232F"/>
    <w:rsid w:val="004135A8"/>
    <w:rsid w:val="00413A13"/>
    <w:rsid w:val="004147CC"/>
    <w:rsid w:val="00416266"/>
    <w:rsid w:val="004162F9"/>
    <w:rsid w:val="00416E11"/>
    <w:rsid w:val="004171A1"/>
    <w:rsid w:val="004173D1"/>
    <w:rsid w:val="00417EC0"/>
    <w:rsid w:val="00417F4C"/>
    <w:rsid w:val="00420CBF"/>
    <w:rsid w:val="00420FFA"/>
    <w:rsid w:val="00421231"/>
    <w:rsid w:val="00421B5C"/>
    <w:rsid w:val="00421BD7"/>
    <w:rsid w:val="0042252D"/>
    <w:rsid w:val="004228C2"/>
    <w:rsid w:val="00423C5F"/>
    <w:rsid w:val="00424AC6"/>
    <w:rsid w:val="00425180"/>
    <w:rsid w:val="004254B1"/>
    <w:rsid w:val="004259E2"/>
    <w:rsid w:val="00426432"/>
    <w:rsid w:val="00426912"/>
    <w:rsid w:val="004274AD"/>
    <w:rsid w:val="00427582"/>
    <w:rsid w:val="004276B3"/>
    <w:rsid w:val="00427EA4"/>
    <w:rsid w:val="00430BEC"/>
    <w:rsid w:val="00430CB6"/>
    <w:rsid w:val="00431E1F"/>
    <w:rsid w:val="00432661"/>
    <w:rsid w:val="00432F48"/>
    <w:rsid w:val="004335A2"/>
    <w:rsid w:val="004335A3"/>
    <w:rsid w:val="00433B4C"/>
    <w:rsid w:val="00433FD9"/>
    <w:rsid w:val="00434860"/>
    <w:rsid w:val="004348C4"/>
    <w:rsid w:val="00434B21"/>
    <w:rsid w:val="00434B51"/>
    <w:rsid w:val="0043577D"/>
    <w:rsid w:val="00435E34"/>
    <w:rsid w:val="00435E7D"/>
    <w:rsid w:val="004363E5"/>
    <w:rsid w:val="00436FFE"/>
    <w:rsid w:val="00437766"/>
    <w:rsid w:val="00437E03"/>
    <w:rsid w:val="00437E72"/>
    <w:rsid w:val="00440A93"/>
    <w:rsid w:val="00441E2E"/>
    <w:rsid w:val="00442357"/>
    <w:rsid w:val="0044291C"/>
    <w:rsid w:val="00442FC0"/>
    <w:rsid w:val="00443310"/>
    <w:rsid w:val="00443D5C"/>
    <w:rsid w:val="00444036"/>
    <w:rsid w:val="004440C8"/>
    <w:rsid w:val="00444479"/>
    <w:rsid w:val="00444DAC"/>
    <w:rsid w:val="00444E58"/>
    <w:rsid w:val="00445120"/>
    <w:rsid w:val="0044539D"/>
    <w:rsid w:val="00445B09"/>
    <w:rsid w:val="00446023"/>
    <w:rsid w:val="004461D5"/>
    <w:rsid w:val="0044733C"/>
    <w:rsid w:val="004473A0"/>
    <w:rsid w:val="00447D17"/>
    <w:rsid w:val="004502E7"/>
    <w:rsid w:val="0045064C"/>
    <w:rsid w:val="00451B96"/>
    <w:rsid w:val="0045246A"/>
    <w:rsid w:val="0045329F"/>
    <w:rsid w:val="0045371A"/>
    <w:rsid w:val="004538DE"/>
    <w:rsid w:val="004542FC"/>
    <w:rsid w:val="004546C8"/>
    <w:rsid w:val="00454BAC"/>
    <w:rsid w:val="004559C1"/>
    <w:rsid w:val="00455D02"/>
    <w:rsid w:val="004566A2"/>
    <w:rsid w:val="00456F68"/>
    <w:rsid w:val="0045701B"/>
    <w:rsid w:val="00460FB8"/>
    <w:rsid w:val="0046121B"/>
    <w:rsid w:val="00461A8A"/>
    <w:rsid w:val="00462294"/>
    <w:rsid w:val="00462452"/>
    <w:rsid w:val="00462540"/>
    <w:rsid w:val="00462C31"/>
    <w:rsid w:val="004631B4"/>
    <w:rsid w:val="00463973"/>
    <w:rsid w:val="00465072"/>
    <w:rsid w:val="004653E1"/>
    <w:rsid w:val="0046591A"/>
    <w:rsid w:val="00465A3A"/>
    <w:rsid w:val="00465FB4"/>
    <w:rsid w:val="00466389"/>
    <w:rsid w:val="004665D3"/>
    <w:rsid w:val="004666E7"/>
    <w:rsid w:val="0046694A"/>
    <w:rsid w:val="00466C4D"/>
    <w:rsid w:val="00466E5A"/>
    <w:rsid w:val="00467762"/>
    <w:rsid w:val="00467BA2"/>
    <w:rsid w:val="004705B5"/>
    <w:rsid w:val="00470EA4"/>
    <w:rsid w:val="00471156"/>
    <w:rsid w:val="00471EF4"/>
    <w:rsid w:val="00471FE5"/>
    <w:rsid w:val="004728C4"/>
    <w:rsid w:val="00472EB5"/>
    <w:rsid w:val="00473584"/>
    <w:rsid w:val="0047573A"/>
    <w:rsid w:val="00476C12"/>
    <w:rsid w:val="00476DF0"/>
    <w:rsid w:val="00476F9E"/>
    <w:rsid w:val="00477184"/>
    <w:rsid w:val="004776E1"/>
    <w:rsid w:val="00477A11"/>
    <w:rsid w:val="00477E39"/>
    <w:rsid w:val="00480244"/>
    <w:rsid w:val="004803E4"/>
    <w:rsid w:val="00480A23"/>
    <w:rsid w:val="00480B3E"/>
    <w:rsid w:val="00480F91"/>
    <w:rsid w:val="00481386"/>
    <w:rsid w:val="00481634"/>
    <w:rsid w:val="00481AC9"/>
    <w:rsid w:val="00482216"/>
    <w:rsid w:val="004829BD"/>
    <w:rsid w:val="004835D5"/>
    <w:rsid w:val="0048381B"/>
    <w:rsid w:val="0048407B"/>
    <w:rsid w:val="0048440E"/>
    <w:rsid w:val="00484E39"/>
    <w:rsid w:val="0048516D"/>
    <w:rsid w:val="00485320"/>
    <w:rsid w:val="00485668"/>
    <w:rsid w:val="004856C5"/>
    <w:rsid w:val="00485BA7"/>
    <w:rsid w:val="00486248"/>
    <w:rsid w:val="00486313"/>
    <w:rsid w:val="004864A7"/>
    <w:rsid w:val="0048688C"/>
    <w:rsid w:val="00486E69"/>
    <w:rsid w:val="00487667"/>
    <w:rsid w:val="00490496"/>
    <w:rsid w:val="00490B7B"/>
    <w:rsid w:val="00490E72"/>
    <w:rsid w:val="0049122D"/>
    <w:rsid w:val="0049174A"/>
    <w:rsid w:val="004917E6"/>
    <w:rsid w:val="00491D33"/>
    <w:rsid w:val="00491D6B"/>
    <w:rsid w:val="004924FB"/>
    <w:rsid w:val="00492A5F"/>
    <w:rsid w:val="00492DD4"/>
    <w:rsid w:val="00493286"/>
    <w:rsid w:val="004932BC"/>
    <w:rsid w:val="00493B9E"/>
    <w:rsid w:val="00493E5A"/>
    <w:rsid w:val="00493EE3"/>
    <w:rsid w:val="004942B8"/>
    <w:rsid w:val="004943AA"/>
    <w:rsid w:val="004949CD"/>
    <w:rsid w:val="0049535A"/>
    <w:rsid w:val="00495CFD"/>
    <w:rsid w:val="0049633A"/>
    <w:rsid w:val="0049698D"/>
    <w:rsid w:val="00496A0E"/>
    <w:rsid w:val="00496A6D"/>
    <w:rsid w:val="00496E6A"/>
    <w:rsid w:val="004A01AC"/>
    <w:rsid w:val="004A090A"/>
    <w:rsid w:val="004A15A7"/>
    <w:rsid w:val="004A25E6"/>
    <w:rsid w:val="004A266C"/>
    <w:rsid w:val="004A2998"/>
    <w:rsid w:val="004A3512"/>
    <w:rsid w:val="004A3F68"/>
    <w:rsid w:val="004A5D61"/>
    <w:rsid w:val="004A64DD"/>
    <w:rsid w:val="004A696D"/>
    <w:rsid w:val="004A6CC1"/>
    <w:rsid w:val="004A6EB6"/>
    <w:rsid w:val="004A7078"/>
    <w:rsid w:val="004A78B8"/>
    <w:rsid w:val="004A7E42"/>
    <w:rsid w:val="004B0178"/>
    <w:rsid w:val="004B02BF"/>
    <w:rsid w:val="004B0823"/>
    <w:rsid w:val="004B0C46"/>
    <w:rsid w:val="004B147A"/>
    <w:rsid w:val="004B1C8A"/>
    <w:rsid w:val="004B24F6"/>
    <w:rsid w:val="004B38E7"/>
    <w:rsid w:val="004B3D68"/>
    <w:rsid w:val="004B4102"/>
    <w:rsid w:val="004B44E5"/>
    <w:rsid w:val="004B463B"/>
    <w:rsid w:val="004B4642"/>
    <w:rsid w:val="004B4735"/>
    <w:rsid w:val="004B4B20"/>
    <w:rsid w:val="004B59AA"/>
    <w:rsid w:val="004B687B"/>
    <w:rsid w:val="004B6FF9"/>
    <w:rsid w:val="004B7A1A"/>
    <w:rsid w:val="004C0230"/>
    <w:rsid w:val="004C05B8"/>
    <w:rsid w:val="004C079B"/>
    <w:rsid w:val="004C0CAA"/>
    <w:rsid w:val="004C17CE"/>
    <w:rsid w:val="004C185B"/>
    <w:rsid w:val="004C2394"/>
    <w:rsid w:val="004C23AD"/>
    <w:rsid w:val="004C27B6"/>
    <w:rsid w:val="004C28AD"/>
    <w:rsid w:val="004C2911"/>
    <w:rsid w:val="004C3C65"/>
    <w:rsid w:val="004C4233"/>
    <w:rsid w:val="004C5783"/>
    <w:rsid w:val="004C5D67"/>
    <w:rsid w:val="004C63DC"/>
    <w:rsid w:val="004C6FB5"/>
    <w:rsid w:val="004C7139"/>
    <w:rsid w:val="004C7388"/>
    <w:rsid w:val="004C78BB"/>
    <w:rsid w:val="004D07C1"/>
    <w:rsid w:val="004D0973"/>
    <w:rsid w:val="004D0CB3"/>
    <w:rsid w:val="004D1589"/>
    <w:rsid w:val="004D1BB5"/>
    <w:rsid w:val="004D32D8"/>
    <w:rsid w:val="004D46B4"/>
    <w:rsid w:val="004D4FED"/>
    <w:rsid w:val="004D503B"/>
    <w:rsid w:val="004D548A"/>
    <w:rsid w:val="004D6A5E"/>
    <w:rsid w:val="004D6E4F"/>
    <w:rsid w:val="004D7260"/>
    <w:rsid w:val="004D7765"/>
    <w:rsid w:val="004D7CF5"/>
    <w:rsid w:val="004E1B3F"/>
    <w:rsid w:val="004E2B4D"/>
    <w:rsid w:val="004E3401"/>
    <w:rsid w:val="004E3D89"/>
    <w:rsid w:val="004E495D"/>
    <w:rsid w:val="004E4AC5"/>
    <w:rsid w:val="004E6020"/>
    <w:rsid w:val="004E6040"/>
    <w:rsid w:val="004E7193"/>
    <w:rsid w:val="004F000A"/>
    <w:rsid w:val="004F06AD"/>
    <w:rsid w:val="004F0D9F"/>
    <w:rsid w:val="004F2B96"/>
    <w:rsid w:val="004F4F6B"/>
    <w:rsid w:val="004F5419"/>
    <w:rsid w:val="004F5620"/>
    <w:rsid w:val="004F573E"/>
    <w:rsid w:val="004F5E4F"/>
    <w:rsid w:val="004F6416"/>
    <w:rsid w:val="004F67CC"/>
    <w:rsid w:val="004F6F7D"/>
    <w:rsid w:val="004F734B"/>
    <w:rsid w:val="0050008E"/>
    <w:rsid w:val="00500803"/>
    <w:rsid w:val="005012AB"/>
    <w:rsid w:val="00501FB8"/>
    <w:rsid w:val="005027C4"/>
    <w:rsid w:val="00502CDA"/>
    <w:rsid w:val="00503D11"/>
    <w:rsid w:val="00503F7D"/>
    <w:rsid w:val="0050409A"/>
    <w:rsid w:val="005044A5"/>
    <w:rsid w:val="00505AAB"/>
    <w:rsid w:val="00505D24"/>
    <w:rsid w:val="00505F5D"/>
    <w:rsid w:val="005066D0"/>
    <w:rsid w:val="0050698E"/>
    <w:rsid w:val="00507242"/>
    <w:rsid w:val="00507506"/>
    <w:rsid w:val="0051025A"/>
    <w:rsid w:val="00510F9D"/>
    <w:rsid w:val="00511426"/>
    <w:rsid w:val="0051174F"/>
    <w:rsid w:val="00511E0D"/>
    <w:rsid w:val="00511F18"/>
    <w:rsid w:val="00512795"/>
    <w:rsid w:val="00513379"/>
    <w:rsid w:val="00513B61"/>
    <w:rsid w:val="00514824"/>
    <w:rsid w:val="005159CC"/>
    <w:rsid w:val="005161DF"/>
    <w:rsid w:val="00520177"/>
    <w:rsid w:val="00521169"/>
    <w:rsid w:val="00521E1F"/>
    <w:rsid w:val="0052253B"/>
    <w:rsid w:val="00522969"/>
    <w:rsid w:val="005231C7"/>
    <w:rsid w:val="00523721"/>
    <w:rsid w:val="00524030"/>
    <w:rsid w:val="005242A5"/>
    <w:rsid w:val="005245C1"/>
    <w:rsid w:val="00524619"/>
    <w:rsid w:val="005249F5"/>
    <w:rsid w:val="00524A12"/>
    <w:rsid w:val="005264B9"/>
    <w:rsid w:val="00526693"/>
    <w:rsid w:val="0052691A"/>
    <w:rsid w:val="00526D80"/>
    <w:rsid w:val="00526FB9"/>
    <w:rsid w:val="00527310"/>
    <w:rsid w:val="005276D0"/>
    <w:rsid w:val="0052773C"/>
    <w:rsid w:val="00527A30"/>
    <w:rsid w:val="0053019F"/>
    <w:rsid w:val="005303BC"/>
    <w:rsid w:val="00532849"/>
    <w:rsid w:val="005334F7"/>
    <w:rsid w:val="0053360A"/>
    <w:rsid w:val="005342E3"/>
    <w:rsid w:val="005343E2"/>
    <w:rsid w:val="005346C6"/>
    <w:rsid w:val="0053499C"/>
    <w:rsid w:val="00534C34"/>
    <w:rsid w:val="005352A2"/>
    <w:rsid w:val="00535EF2"/>
    <w:rsid w:val="00535F22"/>
    <w:rsid w:val="005371FD"/>
    <w:rsid w:val="00537E52"/>
    <w:rsid w:val="00537F72"/>
    <w:rsid w:val="00540229"/>
    <w:rsid w:val="00540312"/>
    <w:rsid w:val="005405DA"/>
    <w:rsid w:val="00540794"/>
    <w:rsid w:val="0054098B"/>
    <w:rsid w:val="005411D4"/>
    <w:rsid w:val="0054161C"/>
    <w:rsid w:val="00541A9C"/>
    <w:rsid w:val="00541C71"/>
    <w:rsid w:val="00541C87"/>
    <w:rsid w:val="00541DBA"/>
    <w:rsid w:val="00542ECC"/>
    <w:rsid w:val="0054300B"/>
    <w:rsid w:val="0054313B"/>
    <w:rsid w:val="005431A7"/>
    <w:rsid w:val="0054328A"/>
    <w:rsid w:val="0054346F"/>
    <w:rsid w:val="005435B7"/>
    <w:rsid w:val="00544616"/>
    <w:rsid w:val="00544BEC"/>
    <w:rsid w:val="00545070"/>
    <w:rsid w:val="005466FE"/>
    <w:rsid w:val="00546753"/>
    <w:rsid w:val="0054683E"/>
    <w:rsid w:val="00547276"/>
    <w:rsid w:val="0054738D"/>
    <w:rsid w:val="00547790"/>
    <w:rsid w:val="0054794F"/>
    <w:rsid w:val="005507B1"/>
    <w:rsid w:val="00550DD6"/>
    <w:rsid w:val="00550DF4"/>
    <w:rsid w:val="0055144D"/>
    <w:rsid w:val="00552A6A"/>
    <w:rsid w:val="005530CC"/>
    <w:rsid w:val="00553DE7"/>
    <w:rsid w:val="00554CEB"/>
    <w:rsid w:val="00554F9A"/>
    <w:rsid w:val="00555323"/>
    <w:rsid w:val="00555EBB"/>
    <w:rsid w:val="00556560"/>
    <w:rsid w:val="00556965"/>
    <w:rsid w:val="005579A8"/>
    <w:rsid w:val="00560352"/>
    <w:rsid w:val="00560ED3"/>
    <w:rsid w:val="0056104A"/>
    <w:rsid w:val="00561357"/>
    <w:rsid w:val="00561D10"/>
    <w:rsid w:val="00561DC4"/>
    <w:rsid w:val="005623D6"/>
    <w:rsid w:val="00562E22"/>
    <w:rsid w:val="00563078"/>
    <w:rsid w:val="00563083"/>
    <w:rsid w:val="005634C4"/>
    <w:rsid w:val="00563610"/>
    <w:rsid w:val="005638EA"/>
    <w:rsid w:val="00563FC7"/>
    <w:rsid w:val="00564A8D"/>
    <w:rsid w:val="00564E08"/>
    <w:rsid w:val="00565CF7"/>
    <w:rsid w:val="0056645A"/>
    <w:rsid w:val="005666FD"/>
    <w:rsid w:val="00566A92"/>
    <w:rsid w:val="00566FC5"/>
    <w:rsid w:val="005678D9"/>
    <w:rsid w:val="00567D01"/>
    <w:rsid w:val="00567F5D"/>
    <w:rsid w:val="00570077"/>
    <w:rsid w:val="00570819"/>
    <w:rsid w:val="00570C0C"/>
    <w:rsid w:val="00571216"/>
    <w:rsid w:val="0057187F"/>
    <w:rsid w:val="00572145"/>
    <w:rsid w:val="00572575"/>
    <w:rsid w:val="00573269"/>
    <w:rsid w:val="0057346E"/>
    <w:rsid w:val="0057388B"/>
    <w:rsid w:val="005739BA"/>
    <w:rsid w:val="00573C53"/>
    <w:rsid w:val="00574ED2"/>
    <w:rsid w:val="00575215"/>
    <w:rsid w:val="00576285"/>
    <w:rsid w:val="005769D4"/>
    <w:rsid w:val="00577CC0"/>
    <w:rsid w:val="0058064D"/>
    <w:rsid w:val="00580E23"/>
    <w:rsid w:val="005810D9"/>
    <w:rsid w:val="00581492"/>
    <w:rsid w:val="0058165B"/>
    <w:rsid w:val="00581C40"/>
    <w:rsid w:val="00582293"/>
    <w:rsid w:val="0058265D"/>
    <w:rsid w:val="00582948"/>
    <w:rsid w:val="00582CF8"/>
    <w:rsid w:val="00582DDF"/>
    <w:rsid w:val="00582F66"/>
    <w:rsid w:val="005833DB"/>
    <w:rsid w:val="00585772"/>
    <w:rsid w:val="00585986"/>
    <w:rsid w:val="00585A17"/>
    <w:rsid w:val="00585AC4"/>
    <w:rsid w:val="00585AD8"/>
    <w:rsid w:val="0058636B"/>
    <w:rsid w:val="005866F1"/>
    <w:rsid w:val="00587656"/>
    <w:rsid w:val="00587C68"/>
    <w:rsid w:val="005900A5"/>
    <w:rsid w:val="0059039F"/>
    <w:rsid w:val="005905C1"/>
    <w:rsid w:val="005905F5"/>
    <w:rsid w:val="00590A63"/>
    <w:rsid w:val="00590BDC"/>
    <w:rsid w:val="00591185"/>
    <w:rsid w:val="005917A6"/>
    <w:rsid w:val="00591ADF"/>
    <w:rsid w:val="005923FA"/>
    <w:rsid w:val="00592622"/>
    <w:rsid w:val="00594AF7"/>
    <w:rsid w:val="00594E7F"/>
    <w:rsid w:val="00595274"/>
    <w:rsid w:val="005956DC"/>
    <w:rsid w:val="00595A87"/>
    <w:rsid w:val="005961BF"/>
    <w:rsid w:val="00596A45"/>
    <w:rsid w:val="005975A9"/>
    <w:rsid w:val="005A019F"/>
    <w:rsid w:val="005A05E4"/>
    <w:rsid w:val="005A1673"/>
    <w:rsid w:val="005A18EA"/>
    <w:rsid w:val="005A1DD4"/>
    <w:rsid w:val="005A22F8"/>
    <w:rsid w:val="005A28A8"/>
    <w:rsid w:val="005A36F9"/>
    <w:rsid w:val="005A39C7"/>
    <w:rsid w:val="005A3F36"/>
    <w:rsid w:val="005A4EF0"/>
    <w:rsid w:val="005A57C5"/>
    <w:rsid w:val="005A5DB3"/>
    <w:rsid w:val="005A61B9"/>
    <w:rsid w:val="005A6650"/>
    <w:rsid w:val="005A6AD9"/>
    <w:rsid w:val="005A6BAA"/>
    <w:rsid w:val="005A6BD0"/>
    <w:rsid w:val="005A6C05"/>
    <w:rsid w:val="005A7155"/>
    <w:rsid w:val="005A7498"/>
    <w:rsid w:val="005A7515"/>
    <w:rsid w:val="005A774C"/>
    <w:rsid w:val="005A78DD"/>
    <w:rsid w:val="005B01A4"/>
    <w:rsid w:val="005B1531"/>
    <w:rsid w:val="005B172F"/>
    <w:rsid w:val="005B1C54"/>
    <w:rsid w:val="005B1DD2"/>
    <w:rsid w:val="005B2485"/>
    <w:rsid w:val="005B2609"/>
    <w:rsid w:val="005B334B"/>
    <w:rsid w:val="005B41BA"/>
    <w:rsid w:val="005B4325"/>
    <w:rsid w:val="005B50CB"/>
    <w:rsid w:val="005B5B10"/>
    <w:rsid w:val="005B7639"/>
    <w:rsid w:val="005B7C90"/>
    <w:rsid w:val="005B7E2B"/>
    <w:rsid w:val="005C0E3B"/>
    <w:rsid w:val="005C185C"/>
    <w:rsid w:val="005C1A3E"/>
    <w:rsid w:val="005C2512"/>
    <w:rsid w:val="005C366D"/>
    <w:rsid w:val="005C3A43"/>
    <w:rsid w:val="005C3C5D"/>
    <w:rsid w:val="005C3D8B"/>
    <w:rsid w:val="005C3FA8"/>
    <w:rsid w:val="005C6339"/>
    <w:rsid w:val="005C69B0"/>
    <w:rsid w:val="005C6D80"/>
    <w:rsid w:val="005C7256"/>
    <w:rsid w:val="005D0119"/>
    <w:rsid w:val="005D0A69"/>
    <w:rsid w:val="005D1440"/>
    <w:rsid w:val="005D1A40"/>
    <w:rsid w:val="005D1AE2"/>
    <w:rsid w:val="005D2175"/>
    <w:rsid w:val="005D2328"/>
    <w:rsid w:val="005D2639"/>
    <w:rsid w:val="005D27F0"/>
    <w:rsid w:val="005D342C"/>
    <w:rsid w:val="005D393A"/>
    <w:rsid w:val="005D4DAA"/>
    <w:rsid w:val="005D54A8"/>
    <w:rsid w:val="005D580D"/>
    <w:rsid w:val="005D59B0"/>
    <w:rsid w:val="005D6030"/>
    <w:rsid w:val="005D6941"/>
    <w:rsid w:val="005D76A6"/>
    <w:rsid w:val="005E04A3"/>
    <w:rsid w:val="005E068A"/>
    <w:rsid w:val="005E0F99"/>
    <w:rsid w:val="005E2208"/>
    <w:rsid w:val="005E24EB"/>
    <w:rsid w:val="005E297B"/>
    <w:rsid w:val="005E2BD5"/>
    <w:rsid w:val="005E2DC4"/>
    <w:rsid w:val="005E3105"/>
    <w:rsid w:val="005E3294"/>
    <w:rsid w:val="005E3482"/>
    <w:rsid w:val="005E50F1"/>
    <w:rsid w:val="005E514F"/>
    <w:rsid w:val="005E548B"/>
    <w:rsid w:val="005E559F"/>
    <w:rsid w:val="005E6C5A"/>
    <w:rsid w:val="005E75E5"/>
    <w:rsid w:val="005E7859"/>
    <w:rsid w:val="005E79F5"/>
    <w:rsid w:val="005E7B17"/>
    <w:rsid w:val="005E7CDF"/>
    <w:rsid w:val="005E7F58"/>
    <w:rsid w:val="005F09F1"/>
    <w:rsid w:val="005F124A"/>
    <w:rsid w:val="005F12CD"/>
    <w:rsid w:val="005F16E7"/>
    <w:rsid w:val="005F1E8D"/>
    <w:rsid w:val="005F28F5"/>
    <w:rsid w:val="005F29E7"/>
    <w:rsid w:val="005F2E5C"/>
    <w:rsid w:val="005F3266"/>
    <w:rsid w:val="005F349C"/>
    <w:rsid w:val="005F383F"/>
    <w:rsid w:val="005F4643"/>
    <w:rsid w:val="005F5311"/>
    <w:rsid w:val="005F5768"/>
    <w:rsid w:val="005F5897"/>
    <w:rsid w:val="005F5B58"/>
    <w:rsid w:val="005F5D27"/>
    <w:rsid w:val="005F5D75"/>
    <w:rsid w:val="005F65C5"/>
    <w:rsid w:val="005F6A6F"/>
    <w:rsid w:val="005F70DA"/>
    <w:rsid w:val="005F714C"/>
    <w:rsid w:val="005F720F"/>
    <w:rsid w:val="005F7B2A"/>
    <w:rsid w:val="005F7B7B"/>
    <w:rsid w:val="005F7B9F"/>
    <w:rsid w:val="0060034E"/>
    <w:rsid w:val="00600984"/>
    <w:rsid w:val="0060164B"/>
    <w:rsid w:val="00601AEB"/>
    <w:rsid w:val="00601EFB"/>
    <w:rsid w:val="0060306A"/>
    <w:rsid w:val="006031B2"/>
    <w:rsid w:val="00604733"/>
    <w:rsid w:val="0060549F"/>
    <w:rsid w:val="00605C3F"/>
    <w:rsid w:val="00606077"/>
    <w:rsid w:val="006063D3"/>
    <w:rsid w:val="006066CE"/>
    <w:rsid w:val="0061013D"/>
    <w:rsid w:val="006104AE"/>
    <w:rsid w:val="0061050A"/>
    <w:rsid w:val="00611124"/>
    <w:rsid w:val="00612C39"/>
    <w:rsid w:val="00613963"/>
    <w:rsid w:val="0061437A"/>
    <w:rsid w:val="006144A5"/>
    <w:rsid w:val="0061476B"/>
    <w:rsid w:val="00614B4C"/>
    <w:rsid w:val="006155D4"/>
    <w:rsid w:val="006155E7"/>
    <w:rsid w:val="00615F81"/>
    <w:rsid w:val="00616DFF"/>
    <w:rsid w:val="00616EFB"/>
    <w:rsid w:val="00617264"/>
    <w:rsid w:val="00617AC9"/>
    <w:rsid w:val="00617D3F"/>
    <w:rsid w:val="00617F87"/>
    <w:rsid w:val="00620B2E"/>
    <w:rsid w:val="00620F4F"/>
    <w:rsid w:val="006212BF"/>
    <w:rsid w:val="006212FA"/>
    <w:rsid w:val="00621918"/>
    <w:rsid w:val="00621EC2"/>
    <w:rsid w:val="0062204C"/>
    <w:rsid w:val="006222A7"/>
    <w:rsid w:val="0062248A"/>
    <w:rsid w:val="00622690"/>
    <w:rsid w:val="006226A5"/>
    <w:rsid w:val="0062274A"/>
    <w:rsid w:val="006228FA"/>
    <w:rsid w:val="006233BB"/>
    <w:rsid w:val="00623DA3"/>
    <w:rsid w:val="0062461B"/>
    <w:rsid w:val="00624762"/>
    <w:rsid w:val="0062522C"/>
    <w:rsid w:val="00625B74"/>
    <w:rsid w:val="006261D3"/>
    <w:rsid w:val="00626911"/>
    <w:rsid w:val="00626F95"/>
    <w:rsid w:val="0062716C"/>
    <w:rsid w:val="0062779C"/>
    <w:rsid w:val="00627916"/>
    <w:rsid w:val="00627C12"/>
    <w:rsid w:val="0063038D"/>
    <w:rsid w:val="00630879"/>
    <w:rsid w:val="00630FED"/>
    <w:rsid w:val="00631099"/>
    <w:rsid w:val="006313BD"/>
    <w:rsid w:val="0063221C"/>
    <w:rsid w:val="00632C1A"/>
    <w:rsid w:val="00632E2D"/>
    <w:rsid w:val="00633764"/>
    <w:rsid w:val="00633E01"/>
    <w:rsid w:val="0063401E"/>
    <w:rsid w:val="00635899"/>
    <w:rsid w:val="00635A05"/>
    <w:rsid w:val="0063606A"/>
    <w:rsid w:val="006361DE"/>
    <w:rsid w:val="0063632C"/>
    <w:rsid w:val="006364AC"/>
    <w:rsid w:val="006365D9"/>
    <w:rsid w:val="006379CB"/>
    <w:rsid w:val="006379EA"/>
    <w:rsid w:val="00640C21"/>
    <w:rsid w:val="006413E8"/>
    <w:rsid w:val="00641AAB"/>
    <w:rsid w:val="00642104"/>
    <w:rsid w:val="0064215E"/>
    <w:rsid w:val="0064266C"/>
    <w:rsid w:val="00642721"/>
    <w:rsid w:val="00642C28"/>
    <w:rsid w:val="006433D8"/>
    <w:rsid w:val="00643880"/>
    <w:rsid w:val="006443A0"/>
    <w:rsid w:val="00644AAD"/>
    <w:rsid w:val="00644D7F"/>
    <w:rsid w:val="0064565D"/>
    <w:rsid w:val="00645FE4"/>
    <w:rsid w:val="006469F6"/>
    <w:rsid w:val="00646F70"/>
    <w:rsid w:val="0064712A"/>
    <w:rsid w:val="00647D5E"/>
    <w:rsid w:val="00650137"/>
    <w:rsid w:val="00650383"/>
    <w:rsid w:val="00650CBF"/>
    <w:rsid w:val="006511A7"/>
    <w:rsid w:val="00651522"/>
    <w:rsid w:val="00651622"/>
    <w:rsid w:val="00651C10"/>
    <w:rsid w:val="0065213B"/>
    <w:rsid w:val="00652B91"/>
    <w:rsid w:val="0065303F"/>
    <w:rsid w:val="0065343E"/>
    <w:rsid w:val="00654825"/>
    <w:rsid w:val="006554F8"/>
    <w:rsid w:val="00655A4C"/>
    <w:rsid w:val="00655C0A"/>
    <w:rsid w:val="00655D4F"/>
    <w:rsid w:val="00656292"/>
    <w:rsid w:val="00657572"/>
    <w:rsid w:val="006576C7"/>
    <w:rsid w:val="006576D0"/>
    <w:rsid w:val="00657B4F"/>
    <w:rsid w:val="00660904"/>
    <w:rsid w:val="00660A27"/>
    <w:rsid w:val="00660E26"/>
    <w:rsid w:val="00661F1D"/>
    <w:rsid w:val="00662953"/>
    <w:rsid w:val="00662BEB"/>
    <w:rsid w:val="006630D6"/>
    <w:rsid w:val="00663697"/>
    <w:rsid w:val="00663C8F"/>
    <w:rsid w:val="00663E04"/>
    <w:rsid w:val="00663FCE"/>
    <w:rsid w:val="00664405"/>
    <w:rsid w:val="00664AEB"/>
    <w:rsid w:val="006650C7"/>
    <w:rsid w:val="0066551B"/>
    <w:rsid w:val="0066587F"/>
    <w:rsid w:val="00665CA1"/>
    <w:rsid w:val="00665D5A"/>
    <w:rsid w:val="00666167"/>
    <w:rsid w:val="006666D8"/>
    <w:rsid w:val="00666A30"/>
    <w:rsid w:val="00666B31"/>
    <w:rsid w:val="00667356"/>
    <w:rsid w:val="00667B64"/>
    <w:rsid w:val="00670C16"/>
    <w:rsid w:val="0067193D"/>
    <w:rsid w:val="0067209E"/>
    <w:rsid w:val="0067316D"/>
    <w:rsid w:val="006731E7"/>
    <w:rsid w:val="006733C8"/>
    <w:rsid w:val="00673454"/>
    <w:rsid w:val="00673AF1"/>
    <w:rsid w:val="00673B04"/>
    <w:rsid w:val="00673DD1"/>
    <w:rsid w:val="00673F69"/>
    <w:rsid w:val="006744A6"/>
    <w:rsid w:val="00674877"/>
    <w:rsid w:val="00674D2F"/>
    <w:rsid w:val="00674DB9"/>
    <w:rsid w:val="006753A2"/>
    <w:rsid w:val="006754F4"/>
    <w:rsid w:val="0067574F"/>
    <w:rsid w:val="00675FB5"/>
    <w:rsid w:val="00676140"/>
    <w:rsid w:val="006763BD"/>
    <w:rsid w:val="00676430"/>
    <w:rsid w:val="00676A1F"/>
    <w:rsid w:val="00676FC8"/>
    <w:rsid w:val="006771B9"/>
    <w:rsid w:val="00680417"/>
    <w:rsid w:val="00680951"/>
    <w:rsid w:val="0068278A"/>
    <w:rsid w:val="00682887"/>
    <w:rsid w:val="00682889"/>
    <w:rsid w:val="00682972"/>
    <w:rsid w:val="00683C99"/>
    <w:rsid w:val="00683F4D"/>
    <w:rsid w:val="00683FA1"/>
    <w:rsid w:val="00684E99"/>
    <w:rsid w:val="006851D8"/>
    <w:rsid w:val="00685547"/>
    <w:rsid w:val="00685DC1"/>
    <w:rsid w:val="006862B9"/>
    <w:rsid w:val="00686DD2"/>
    <w:rsid w:val="00686E78"/>
    <w:rsid w:val="00687F2E"/>
    <w:rsid w:val="00690DBB"/>
    <w:rsid w:val="00690F82"/>
    <w:rsid w:val="006910C0"/>
    <w:rsid w:val="0069144A"/>
    <w:rsid w:val="00691595"/>
    <w:rsid w:val="0069186E"/>
    <w:rsid w:val="006918FA"/>
    <w:rsid w:val="00691EFC"/>
    <w:rsid w:val="00692216"/>
    <w:rsid w:val="006925F1"/>
    <w:rsid w:val="00692D83"/>
    <w:rsid w:val="00693820"/>
    <w:rsid w:val="00693AAD"/>
    <w:rsid w:val="00693D7D"/>
    <w:rsid w:val="006940AA"/>
    <w:rsid w:val="00694506"/>
    <w:rsid w:val="00694F36"/>
    <w:rsid w:val="0069577F"/>
    <w:rsid w:val="00695B84"/>
    <w:rsid w:val="00695FC2"/>
    <w:rsid w:val="00696274"/>
    <w:rsid w:val="00696821"/>
    <w:rsid w:val="00696B63"/>
    <w:rsid w:val="0069714A"/>
    <w:rsid w:val="006A0A14"/>
    <w:rsid w:val="006A0B6B"/>
    <w:rsid w:val="006A18F4"/>
    <w:rsid w:val="006A2BE9"/>
    <w:rsid w:val="006A4144"/>
    <w:rsid w:val="006A443A"/>
    <w:rsid w:val="006A44D3"/>
    <w:rsid w:val="006A45F9"/>
    <w:rsid w:val="006A4BF4"/>
    <w:rsid w:val="006A4C86"/>
    <w:rsid w:val="006A5C7E"/>
    <w:rsid w:val="006A5CF0"/>
    <w:rsid w:val="006A6623"/>
    <w:rsid w:val="006A7476"/>
    <w:rsid w:val="006A77CF"/>
    <w:rsid w:val="006A7AFA"/>
    <w:rsid w:val="006B00B2"/>
    <w:rsid w:val="006B099B"/>
    <w:rsid w:val="006B0F9E"/>
    <w:rsid w:val="006B181A"/>
    <w:rsid w:val="006B1D2F"/>
    <w:rsid w:val="006B1D5C"/>
    <w:rsid w:val="006B22FE"/>
    <w:rsid w:val="006B2872"/>
    <w:rsid w:val="006B2F24"/>
    <w:rsid w:val="006B3153"/>
    <w:rsid w:val="006B3A6C"/>
    <w:rsid w:val="006B5837"/>
    <w:rsid w:val="006B58B4"/>
    <w:rsid w:val="006B5950"/>
    <w:rsid w:val="006B62A6"/>
    <w:rsid w:val="006B6487"/>
    <w:rsid w:val="006B6570"/>
    <w:rsid w:val="006B6903"/>
    <w:rsid w:val="006B6AA8"/>
    <w:rsid w:val="006B70D3"/>
    <w:rsid w:val="006B7128"/>
    <w:rsid w:val="006B7A72"/>
    <w:rsid w:val="006C0584"/>
    <w:rsid w:val="006C065D"/>
    <w:rsid w:val="006C0AF7"/>
    <w:rsid w:val="006C196F"/>
    <w:rsid w:val="006C1EAC"/>
    <w:rsid w:val="006C2782"/>
    <w:rsid w:val="006C2D03"/>
    <w:rsid w:val="006C2F51"/>
    <w:rsid w:val="006C3077"/>
    <w:rsid w:val="006C41BE"/>
    <w:rsid w:val="006C439E"/>
    <w:rsid w:val="006C4E32"/>
    <w:rsid w:val="006C50D4"/>
    <w:rsid w:val="006C594E"/>
    <w:rsid w:val="006C5EED"/>
    <w:rsid w:val="006C678F"/>
    <w:rsid w:val="006C6A70"/>
    <w:rsid w:val="006C7587"/>
    <w:rsid w:val="006D0816"/>
    <w:rsid w:val="006D0D8C"/>
    <w:rsid w:val="006D1304"/>
    <w:rsid w:val="006D2B4A"/>
    <w:rsid w:val="006D395D"/>
    <w:rsid w:val="006D492D"/>
    <w:rsid w:val="006D4B70"/>
    <w:rsid w:val="006D4ED0"/>
    <w:rsid w:val="006D5249"/>
    <w:rsid w:val="006D52CE"/>
    <w:rsid w:val="006D5BFF"/>
    <w:rsid w:val="006D690B"/>
    <w:rsid w:val="006D6980"/>
    <w:rsid w:val="006D7494"/>
    <w:rsid w:val="006D7C36"/>
    <w:rsid w:val="006D7E28"/>
    <w:rsid w:val="006E0111"/>
    <w:rsid w:val="006E06E2"/>
    <w:rsid w:val="006E0F01"/>
    <w:rsid w:val="006E1871"/>
    <w:rsid w:val="006E2074"/>
    <w:rsid w:val="006E25CE"/>
    <w:rsid w:val="006E2FC0"/>
    <w:rsid w:val="006E3AC5"/>
    <w:rsid w:val="006E4076"/>
    <w:rsid w:val="006E44AE"/>
    <w:rsid w:val="006E44D5"/>
    <w:rsid w:val="006E4F4D"/>
    <w:rsid w:val="006E4FCE"/>
    <w:rsid w:val="006E50EC"/>
    <w:rsid w:val="006E60F3"/>
    <w:rsid w:val="006E71CB"/>
    <w:rsid w:val="006E75CD"/>
    <w:rsid w:val="006E77B5"/>
    <w:rsid w:val="006E7951"/>
    <w:rsid w:val="006F091B"/>
    <w:rsid w:val="006F0FE9"/>
    <w:rsid w:val="006F1D48"/>
    <w:rsid w:val="006F3444"/>
    <w:rsid w:val="006F36E3"/>
    <w:rsid w:val="006F4495"/>
    <w:rsid w:val="006F4AD1"/>
    <w:rsid w:val="006F51D0"/>
    <w:rsid w:val="006F53DB"/>
    <w:rsid w:val="006F5EFD"/>
    <w:rsid w:val="006F6738"/>
    <w:rsid w:val="006F6F80"/>
    <w:rsid w:val="006F73B0"/>
    <w:rsid w:val="006F797D"/>
    <w:rsid w:val="006F7BE3"/>
    <w:rsid w:val="00701063"/>
    <w:rsid w:val="00701972"/>
    <w:rsid w:val="00701A5B"/>
    <w:rsid w:val="00702443"/>
    <w:rsid w:val="00702AA2"/>
    <w:rsid w:val="00703D94"/>
    <w:rsid w:val="00704BA6"/>
    <w:rsid w:val="00704C40"/>
    <w:rsid w:val="007059C6"/>
    <w:rsid w:val="00706726"/>
    <w:rsid w:val="00706D7B"/>
    <w:rsid w:val="007071F6"/>
    <w:rsid w:val="00707C06"/>
    <w:rsid w:val="00710124"/>
    <w:rsid w:val="00710232"/>
    <w:rsid w:val="00710279"/>
    <w:rsid w:val="00710B90"/>
    <w:rsid w:val="0071119F"/>
    <w:rsid w:val="007119FC"/>
    <w:rsid w:val="0071246C"/>
    <w:rsid w:val="00712595"/>
    <w:rsid w:val="007128D5"/>
    <w:rsid w:val="007128DC"/>
    <w:rsid w:val="0071310B"/>
    <w:rsid w:val="00713516"/>
    <w:rsid w:val="007135DA"/>
    <w:rsid w:val="00713648"/>
    <w:rsid w:val="007144ED"/>
    <w:rsid w:val="0071475A"/>
    <w:rsid w:val="00714ABE"/>
    <w:rsid w:val="007153D4"/>
    <w:rsid w:val="00715BB7"/>
    <w:rsid w:val="00715C2D"/>
    <w:rsid w:val="007174D6"/>
    <w:rsid w:val="00717B21"/>
    <w:rsid w:val="00720580"/>
    <w:rsid w:val="0072114B"/>
    <w:rsid w:val="00721208"/>
    <w:rsid w:val="0072154B"/>
    <w:rsid w:val="00721748"/>
    <w:rsid w:val="0072174A"/>
    <w:rsid w:val="0072183F"/>
    <w:rsid w:val="007224F3"/>
    <w:rsid w:val="00722E86"/>
    <w:rsid w:val="0072328E"/>
    <w:rsid w:val="00723C14"/>
    <w:rsid w:val="00724113"/>
    <w:rsid w:val="00724249"/>
    <w:rsid w:val="007244EC"/>
    <w:rsid w:val="0072547E"/>
    <w:rsid w:val="00725643"/>
    <w:rsid w:val="00725989"/>
    <w:rsid w:val="0072681B"/>
    <w:rsid w:val="00726A5B"/>
    <w:rsid w:val="007275BC"/>
    <w:rsid w:val="007277B5"/>
    <w:rsid w:val="00727E0B"/>
    <w:rsid w:val="007307CB"/>
    <w:rsid w:val="007309C6"/>
    <w:rsid w:val="007314FF"/>
    <w:rsid w:val="00732312"/>
    <w:rsid w:val="007324FC"/>
    <w:rsid w:val="00732A76"/>
    <w:rsid w:val="00732CEF"/>
    <w:rsid w:val="00732FAA"/>
    <w:rsid w:val="007333B8"/>
    <w:rsid w:val="007348AC"/>
    <w:rsid w:val="00734A8B"/>
    <w:rsid w:val="007354D3"/>
    <w:rsid w:val="00735914"/>
    <w:rsid w:val="00735B9E"/>
    <w:rsid w:val="00735BCC"/>
    <w:rsid w:val="00735C45"/>
    <w:rsid w:val="00736E25"/>
    <w:rsid w:val="00737233"/>
    <w:rsid w:val="00740899"/>
    <w:rsid w:val="00740B0F"/>
    <w:rsid w:val="00741096"/>
    <w:rsid w:val="007414BA"/>
    <w:rsid w:val="007416C8"/>
    <w:rsid w:val="00741FCE"/>
    <w:rsid w:val="007420C9"/>
    <w:rsid w:val="007424EA"/>
    <w:rsid w:val="007425A2"/>
    <w:rsid w:val="00742A23"/>
    <w:rsid w:val="00743002"/>
    <w:rsid w:val="007432DC"/>
    <w:rsid w:val="00743C96"/>
    <w:rsid w:val="00743FD4"/>
    <w:rsid w:val="00745C4F"/>
    <w:rsid w:val="00745E23"/>
    <w:rsid w:val="0074627C"/>
    <w:rsid w:val="007463D3"/>
    <w:rsid w:val="00746C37"/>
    <w:rsid w:val="00746DD6"/>
    <w:rsid w:val="0074792A"/>
    <w:rsid w:val="00747C59"/>
    <w:rsid w:val="00747EEC"/>
    <w:rsid w:val="00750637"/>
    <w:rsid w:val="00750643"/>
    <w:rsid w:val="00750651"/>
    <w:rsid w:val="00750E5D"/>
    <w:rsid w:val="0075254A"/>
    <w:rsid w:val="00752B14"/>
    <w:rsid w:val="00752C88"/>
    <w:rsid w:val="00752D02"/>
    <w:rsid w:val="00752D77"/>
    <w:rsid w:val="007536EB"/>
    <w:rsid w:val="00753BB0"/>
    <w:rsid w:val="00753BE9"/>
    <w:rsid w:val="00753E93"/>
    <w:rsid w:val="00754C07"/>
    <w:rsid w:val="00754C77"/>
    <w:rsid w:val="00755492"/>
    <w:rsid w:val="00755876"/>
    <w:rsid w:val="00756859"/>
    <w:rsid w:val="007571A2"/>
    <w:rsid w:val="00757744"/>
    <w:rsid w:val="00757D13"/>
    <w:rsid w:val="00757F66"/>
    <w:rsid w:val="00760068"/>
    <w:rsid w:val="007603F2"/>
    <w:rsid w:val="007606C0"/>
    <w:rsid w:val="007607B9"/>
    <w:rsid w:val="00761295"/>
    <w:rsid w:val="00762425"/>
    <w:rsid w:val="00763146"/>
    <w:rsid w:val="0076382C"/>
    <w:rsid w:val="0076408A"/>
    <w:rsid w:val="0076433C"/>
    <w:rsid w:val="007647AA"/>
    <w:rsid w:val="007649A8"/>
    <w:rsid w:val="00764D4C"/>
    <w:rsid w:val="00765392"/>
    <w:rsid w:val="007657A1"/>
    <w:rsid w:val="007657AD"/>
    <w:rsid w:val="00765EF4"/>
    <w:rsid w:val="007669DD"/>
    <w:rsid w:val="00766EBB"/>
    <w:rsid w:val="0076749A"/>
    <w:rsid w:val="0076781D"/>
    <w:rsid w:val="00770020"/>
    <w:rsid w:val="00770836"/>
    <w:rsid w:val="00770BDA"/>
    <w:rsid w:val="00771170"/>
    <w:rsid w:val="00772AD7"/>
    <w:rsid w:val="007733B5"/>
    <w:rsid w:val="007746A8"/>
    <w:rsid w:val="00774BA0"/>
    <w:rsid w:val="00774D2A"/>
    <w:rsid w:val="0077505C"/>
    <w:rsid w:val="00775A88"/>
    <w:rsid w:val="00775B56"/>
    <w:rsid w:val="00775C33"/>
    <w:rsid w:val="00776EDE"/>
    <w:rsid w:val="0077732E"/>
    <w:rsid w:val="007774FE"/>
    <w:rsid w:val="007775B7"/>
    <w:rsid w:val="00777770"/>
    <w:rsid w:val="007801B6"/>
    <w:rsid w:val="007803D2"/>
    <w:rsid w:val="00780F46"/>
    <w:rsid w:val="00781392"/>
    <w:rsid w:val="00781C1D"/>
    <w:rsid w:val="00781C61"/>
    <w:rsid w:val="00782063"/>
    <w:rsid w:val="00782F2E"/>
    <w:rsid w:val="00783090"/>
    <w:rsid w:val="0078339B"/>
    <w:rsid w:val="0078369E"/>
    <w:rsid w:val="00783FE6"/>
    <w:rsid w:val="00784518"/>
    <w:rsid w:val="007849A3"/>
    <w:rsid w:val="00784A20"/>
    <w:rsid w:val="00784C90"/>
    <w:rsid w:val="0078513A"/>
    <w:rsid w:val="00785365"/>
    <w:rsid w:val="0078574F"/>
    <w:rsid w:val="00785E55"/>
    <w:rsid w:val="00785EE0"/>
    <w:rsid w:val="007860DF"/>
    <w:rsid w:val="00786EAD"/>
    <w:rsid w:val="007872BD"/>
    <w:rsid w:val="0078754E"/>
    <w:rsid w:val="007900B7"/>
    <w:rsid w:val="007901D4"/>
    <w:rsid w:val="00792B40"/>
    <w:rsid w:val="00793FAE"/>
    <w:rsid w:val="00795169"/>
    <w:rsid w:val="007953D2"/>
    <w:rsid w:val="007965F6"/>
    <w:rsid w:val="00796831"/>
    <w:rsid w:val="00796D5E"/>
    <w:rsid w:val="00796F00"/>
    <w:rsid w:val="007971B2"/>
    <w:rsid w:val="00797634"/>
    <w:rsid w:val="00797D18"/>
    <w:rsid w:val="007A0667"/>
    <w:rsid w:val="007A14EA"/>
    <w:rsid w:val="007A1EBF"/>
    <w:rsid w:val="007A2483"/>
    <w:rsid w:val="007A25EA"/>
    <w:rsid w:val="007A26E5"/>
    <w:rsid w:val="007A2D1C"/>
    <w:rsid w:val="007A4187"/>
    <w:rsid w:val="007A44AC"/>
    <w:rsid w:val="007A4B2C"/>
    <w:rsid w:val="007A4C9B"/>
    <w:rsid w:val="007A4D24"/>
    <w:rsid w:val="007A62F5"/>
    <w:rsid w:val="007A679F"/>
    <w:rsid w:val="007A6AA8"/>
    <w:rsid w:val="007A6C36"/>
    <w:rsid w:val="007A6E26"/>
    <w:rsid w:val="007A6E77"/>
    <w:rsid w:val="007B0C8F"/>
    <w:rsid w:val="007B0F91"/>
    <w:rsid w:val="007B122D"/>
    <w:rsid w:val="007B141B"/>
    <w:rsid w:val="007B22F9"/>
    <w:rsid w:val="007B2DCB"/>
    <w:rsid w:val="007B3182"/>
    <w:rsid w:val="007B4118"/>
    <w:rsid w:val="007B4140"/>
    <w:rsid w:val="007B44CF"/>
    <w:rsid w:val="007B454B"/>
    <w:rsid w:val="007B49D8"/>
    <w:rsid w:val="007B4C19"/>
    <w:rsid w:val="007B4D93"/>
    <w:rsid w:val="007B5028"/>
    <w:rsid w:val="007B57A1"/>
    <w:rsid w:val="007B5B95"/>
    <w:rsid w:val="007B61AD"/>
    <w:rsid w:val="007B63C8"/>
    <w:rsid w:val="007B652B"/>
    <w:rsid w:val="007B68B5"/>
    <w:rsid w:val="007B7573"/>
    <w:rsid w:val="007B75E6"/>
    <w:rsid w:val="007C0262"/>
    <w:rsid w:val="007C0891"/>
    <w:rsid w:val="007C0D20"/>
    <w:rsid w:val="007C0E17"/>
    <w:rsid w:val="007C1E72"/>
    <w:rsid w:val="007C2C0E"/>
    <w:rsid w:val="007C39B8"/>
    <w:rsid w:val="007C3A22"/>
    <w:rsid w:val="007C403B"/>
    <w:rsid w:val="007C474B"/>
    <w:rsid w:val="007C55E1"/>
    <w:rsid w:val="007C638E"/>
    <w:rsid w:val="007C6450"/>
    <w:rsid w:val="007C6B76"/>
    <w:rsid w:val="007C79B2"/>
    <w:rsid w:val="007D01AA"/>
    <w:rsid w:val="007D070A"/>
    <w:rsid w:val="007D0AC4"/>
    <w:rsid w:val="007D0C44"/>
    <w:rsid w:val="007D103B"/>
    <w:rsid w:val="007D12BC"/>
    <w:rsid w:val="007D1BD5"/>
    <w:rsid w:val="007D275D"/>
    <w:rsid w:val="007D285B"/>
    <w:rsid w:val="007D39F6"/>
    <w:rsid w:val="007D3AE0"/>
    <w:rsid w:val="007D3D51"/>
    <w:rsid w:val="007D43D3"/>
    <w:rsid w:val="007D4514"/>
    <w:rsid w:val="007D52D9"/>
    <w:rsid w:val="007D542C"/>
    <w:rsid w:val="007D54B8"/>
    <w:rsid w:val="007D55B5"/>
    <w:rsid w:val="007D57CF"/>
    <w:rsid w:val="007D588A"/>
    <w:rsid w:val="007D59FB"/>
    <w:rsid w:val="007D5DB1"/>
    <w:rsid w:val="007D6621"/>
    <w:rsid w:val="007D6A45"/>
    <w:rsid w:val="007D702A"/>
    <w:rsid w:val="007D7785"/>
    <w:rsid w:val="007D7E18"/>
    <w:rsid w:val="007D7F7C"/>
    <w:rsid w:val="007E038C"/>
    <w:rsid w:val="007E0B27"/>
    <w:rsid w:val="007E0E30"/>
    <w:rsid w:val="007E1B28"/>
    <w:rsid w:val="007E2009"/>
    <w:rsid w:val="007E3F05"/>
    <w:rsid w:val="007E44F9"/>
    <w:rsid w:val="007E45C2"/>
    <w:rsid w:val="007E4B8E"/>
    <w:rsid w:val="007E54DC"/>
    <w:rsid w:val="007E54E9"/>
    <w:rsid w:val="007E5554"/>
    <w:rsid w:val="007E5557"/>
    <w:rsid w:val="007E58A3"/>
    <w:rsid w:val="007E6813"/>
    <w:rsid w:val="007E6950"/>
    <w:rsid w:val="007E6F2C"/>
    <w:rsid w:val="007E74FE"/>
    <w:rsid w:val="007E760A"/>
    <w:rsid w:val="007F0242"/>
    <w:rsid w:val="007F03B2"/>
    <w:rsid w:val="007F08FD"/>
    <w:rsid w:val="007F0E9B"/>
    <w:rsid w:val="007F1509"/>
    <w:rsid w:val="007F257D"/>
    <w:rsid w:val="007F29F1"/>
    <w:rsid w:val="007F2B0A"/>
    <w:rsid w:val="007F4B97"/>
    <w:rsid w:val="007F4BB9"/>
    <w:rsid w:val="007F4D15"/>
    <w:rsid w:val="007F4E87"/>
    <w:rsid w:val="007F5441"/>
    <w:rsid w:val="007F5C9E"/>
    <w:rsid w:val="007F6491"/>
    <w:rsid w:val="007F752B"/>
    <w:rsid w:val="007F796E"/>
    <w:rsid w:val="008007E7"/>
    <w:rsid w:val="00800FA3"/>
    <w:rsid w:val="0080176E"/>
    <w:rsid w:val="008018F5"/>
    <w:rsid w:val="00802303"/>
    <w:rsid w:val="00802ED0"/>
    <w:rsid w:val="00803026"/>
    <w:rsid w:val="0080367E"/>
    <w:rsid w:val="00804257"/>
    <w:rsid w:val="00804AE8"/>
    <w:rsid w:val="00804CDE"/>
    <w:rsid w:val="0080557E"/>
    <w:rsid w:val="00805AE6"/>
    <w:rsid w:val="008072BC"/>
    <w:rsid w:val="0080776C"/>
    <w:rsid w:val="00807813"/>
    <w:rsid w:val="0080795A"/>
    <w:rsid w:val="008100E4"/>
    <w:rsid w:val="00810C3C"/>
    <w:rsid w:val="0081144C"/>
    <w:rsid w:val="00811E9D"/>
    <w:rsid w:val="00812190"/>
    <w:rsid w:val="00812522"/>
    <w:rsid w:val="00813360"/>
    <w:rsid w:val="0081354E"/>
    <w:rsid w:val="00813771"/>
    <w:rsid w:val="00813C55"/>
    <w:rsid w:val="00815429"/>
    <w:rsid w:val="0081596C"/>
    <w:rsid w:val="00815D65"/>
    <w:rsid w:val="00816055"/>
    <w:rsid w:val="00816120"/>
    <w:rsid w:val="008161D0"/>
    <w:rsid w:val="00816250"/>
    <w:rsid w:val="008167BD"/>
    <w:rsid w:val="008172A0"/>
    <w:rsid w:val="008177E2"/>
    <w:rsid w:val="00817CAD"/>
    <w:rsid w:val="00820467"/>
    <w:rsid w:val="008205FF"/>
    <w:rsid w:val="0082081E"/>
    <w:rsid w:val="00820EAD"/>
    <w:rsid w:val="008216C6"/>
    <w:rsid w:val="00821754"/>
    <w:rsid w:val="008225BA"/>
    <w:rsid w:val="00822C5F"/>
    <w:rsid w:val="00823D6B"/>
    <w:rsid w:val="0082419F"/>
    <w:rsid w:val="00824581"/>
    <w:rsid w:val="00825723"/>
    <w:rsid w:val="0082574F"/>
    <w:rsid w:val="00825C61"/>
    <w:rsid w:val="008261A6"/>
    <w:rsid w:val="0082690C"/>
    <w:rsid w:val="00826CDA"/>
    <w:rsid w:val="00832475"/>
    <w:rsid w:val="00832B73"/>
    <w:rsid w:val="00833871"/>
    <w:rsid w:val="00833AFA"/>
    <w:rsid w:val="00833BB9"/>
    <w:rsid w:val="00833BFE"/>
    <w:rsid w:val="00834D13"/>
    <w:rsid w:val="00835163"/>
    <w:rsid w:val="00836B6A"/>
    <w:rsid w:val="00836C9B"/>
    <w:rsid w:val="008372CF"/>
    <w:rsid w:val="00837978"/>
    <w:rsid w:val="00837E6F"/>
    <w:rsid w:val="008402DB"/>
    <w:rsid w:val="00840464"/>
    <w:rsid w:val="0084056E"/>
    <w:rsid w:val="00840D4D"/>
    <w:rsid w:val="00841B39"/>
    <w:rsid w:val="0084202C"/>
    <w:rsid w:val="00842BC9"/>
    <w:rsid w:val="0084312C"/>
    <w:rsid w:val="00844241"/>
    <w:rsid w:val="00844D17"/>
    <w:rsid w:val="008454B8"/>
    <w:rsid w:val="008459B0"/>
    <w:rsid w:val="00845BBF"/>
    <w:rsid w:val="008460B6"/>
    <w:rsid w:val="008467FD"/>
    <w:rsid w:val="00846A57"/>
    <w:rsid w:val="00846B07"/>
    <w:rsid w:val="00846C54"/>
    <w:rsid w:val="00850FF1"/>
    <w:rsid w:val="00852129"/>
    <w:rsid w:val="00852757"/>
    <w:rsid w:val="0085311C"/>
    <w:rsid w:val="00854A9B"/>
    <w:rsid w:val="00854CBA"/>
    <w:rsid w:val="00854D34"/>
    <w:rsid w:val="00854DBF"/>
    <w:rsid w:val="00855945"/>
    <w:rsid w:val="008559A1"/>
    <w:rsid w:val="008561BE"/>
    <w:rsid w:val="00856EB8"/>
    <w:rsid w:val="0085700D"/>
    <w:rsid w:val="008571C3"/>
    <w:rsid w:val="00857D67"/>
    <w:rsid w:val="0086020E"/>
    <w:rsid w:val="00860488"/>
    <w:rsid w:val="00860850"/>
    <w:rsid w:val="008608F6"/>
    <w:rsid w:val="008610B9"/>
    <w:rsid w:val="00861BFD"/>
    <w:rsid w:val="008622DB"/>
    <w:rsid w:val="00862568"/>
    <w:rsid w:val="008629D7"/>
    <w:rsid w:val="00862A97"/>
    <w:rsid w:val="0086325C"/>
    <w:rsid w:val="0086329F"/>
    <w:rsid w:val="00863574"/>
    <w:rsid w:val="00864547"/>
    <w:rsid w:val="00864ECD"/>
    <w:rsid w:val="0086576A"/>
    <w:rsid w:val="008662B9"/>
    <w:rsid w:val="00866A2E"/>
    <w:rsid w:val="00866F91"/>
    <w:rsid w:val="008673DD"/>
    <w:rsid w:val="00870620"/>
    <w:rsid w:val="008709BA"/>
    <w:rsid w:val="00872621"/>
    <w:rsid w:val="00872EA1"/>
    <w:rsid w:val="008730B0"/>
    <w:rsid w:val="00874257"/>
    <w:rsid w:val="00874B51"/>
    <w:rsid w:val="00874C71"/>
    <w:rsid w:val="0087502B"/>
    <w:rsid w:val="00876A16"/>
    <w:rsid w:val="00876E76"/>
    <w:rsid w:val="008775AE"/>
    <w:rsid w:val="008776A7"/>
    <w:rsid w:val="00877990"/>
    <w:rsid w:val="00877AA2"/>
    <w:rsid w:val="00877C8A"/>
    <w:rsid w:val="00880BB7"/>
    <w:rsid w:val="00880F5C"/>
    <w:rsid w:val="008812DD"/>
    <w:rsid w:val="0088140F"/>
    <w:rsid w:val="008814BE"/>
    <w:rsid w:val="00881611"/>
    <w:rsid w:val="00883676"/>
    <w:rsid w:val="00883CFE"/>
    <w:rsid w:val="00883D70"/>
    <w:rsid w:val="00884E4D"/>
    <w:rsid w:val="00884F86"/>
    <w:rsid w:val="00885C44"/>
    <w:rsid w:val="00885DD8"/>
    <w:rsid w:val="00886293"/>
    <w:rsid w:val="0088638A"/>
    <w:rsid w:val="00887451"/>
    <w:rsid w:val="00891080"/>
    <w:rsid w:val="008914E6"/>
    <w:rsid w:val="008918A8"/>
    <w:rsid w:val="00892065"/>
    <w:rsid w:val="008924BA"/>
    <w:rsid w:val="008924CA"/>
    <w:rsid w:val="00892576"/>
    <w:rsid w:val="008926C0"/>
    <w:rsid w:val="00892718"/>
    <w:rsid w:val="00892792"/>
    <w:rsid w:val="00892B06"/>
    <w:rsid w:val="00893017"/>
    <w:rsid w:val="00893683"/>
    <w:rsid w:val="00893C41"/>
    <w:rsid w:val="00893CEB"/>
    <w:rsid w:val="00893F11"/>
    <w:rsid w:val="008945F1"/>
    <w:rsid w:val="00894A4D"/>
    <w:rsid w:val="00894BA6"/>
    <w:rsid w:val="00894E1F"/>
    <w:rsid w:val="008955ED"/>
    <w:rsid w:val="008958BF"/>
    <w:rsid w:val="00896B3A"/>
    <w:rsid w:val="00897258"/>
    <w:rsid w:val="00897C0B"/>
    <w:rsid w:val="00897F41"/>
    <w:rsid w:val="008A057C"/>
    <w:rsid w:val="008A0874"/>
    <w:rsid w:val="008A1346"/>
    <w:rsid w:val="008A142F"/>
    <w:rsid w:val="008A1910"/>
    <w:rsid w:val="008A1CD6"/>
    <w:rsid w:val="008A215E"/>
    <w:rsid w:val="008A2841"/>
    <w:rsid w:val="008A2DEA"/>
    <w:rsid w:val="008A34D8"/>
    <w:rsid w:val="008A45FE"/>
    <w:rsid w:val="008A4A02"/>
    <w:rsid w:val="008A542E"/>
    <w:rsid w:val="008A6177"/>
    <w:rsid w:val="008A61CE"/>
    <w:rsid w:val="008A6E25"/>
    <w:rsid w:val="008A6E99"/>
    <w:rsid w:val="008A755E"/>
    <w:rsid w:val="008B02A7"/>
    <w:rsid w:val="008B0BA2"/>
    <w:rsid w:val="008B0FEB"/>
    <w:rsid w:val="008B1D31"/>
    <w:rsid w:val="008B2905"/>
    <w:rsid w:val="008B2C7C"/>
    <w:rsid w:val="008B30A8"/>
    <w:rsid w:val="008B319B"/>
    <w:rsid w:val="008B45D5"/>
    <w:rsid w:val="008B5362"/>
    <w:rsid w:val="008B5CAE"/>
    <w:rsid w:val="008B617A"/>
    <w:rsid w:val="008B6AAE"/>
    <w:rsid w:val="008B6F46"/>
    <w:rsid w:val="008B6FC4"/>
    <w:rsid w:val="008B749B"/>
    <w:rsid w:val="008C00D6"/>
    <w:rsid w:val="008C01BC"/>
    <w:rsid w:val="008C04A7"/>
    <w:rsid w:val="008C0650"/>
    <w:rsid w:val="008C0AD2"/>
    <w:rsid w:val="008C14F7"/>
    <w:rsid w:val="008C2C3C"/>
    <w:rsid w:val="008C2DDC"/>
    <w:rsid w:val="008C348F"/>
    <w:rsid w:val="008C35F1"/>
    <w:rsid w:val="008C40C6"/>
    <w:rsid w:val="008C597F"/>
    <w:rsid w:val="008C5EA3"/>
    <w:rsid w:val="008C6127"/>
    <w:rsid w:val="008C6AB8"/>
    <w:rsid w:val="008C6B9A"/>
    <w:rsid w:val="008C6C92"/>
    <w:rsid w:val="008C743D"/>
    <w:rsid w:val="008C7AD4"/>
    <w:rsid w:val="008C7CBD"/>
    <w:rsid w:val="008D0807"/>
    <w:rsid w:val="008D0C42"/>
    <w:rsid w:val="008D0F5B"/>
    <w:rsid w:val="008D1463"/>
    <w:rsid w:val="008D1BD5"/>
    <w:rsid w:val="008D1CB3"/>
    <w:rsid w:val="008D2201"/>
    <w:rsid w:val="008D2F11"/>
    <w:rsid w:val="008D30C9"/>
    <w:rsid w:val="008D30DD"/>
    <w:rsid w:val="008D42ED"/>
    <w:rsid w:val="008D54AF"/>
    <w:rsid w:val="008D5DD2"/>
    <w:rsid w:val="008D6089"/>
    <w:rsid w:val="008D6229"/>
    <w:rsid w:val="008D68E5"/>
    <w:rsid w:val="008D73A8"/>
    <w:rsid w:val="008D77D8"/>
    <w:rsid w:val="008E0240"/>
    <w:rsid w:val="008E108E"/>
    <w:rsid w:val="008E2FBA"/>
    <w:rsid w:val="008E59A9"/>
    <w:rsid w:val="008E5B5E"/>
    <w:rsid w:val="008E6583"/>
    <w:rsid w:val="008E70A0"/>
    <w:rsid w:val="008E72B5"/>
    <w:rsid w:val="008E7A49"/>
    <w:rsid w:val="008F0B3B"/>
    <w:rsid w:val="008F0CEA"/>
    <w:rsid w:val="008F173D"/>
    <w:rsid w:val="008F1BED"/>
    <w:rsid w:val="008F1D1B"/>
    <w:rsid w:val="008F2D2C"/>
    <w:rsid w:val="008F3560"/>
    <w:rsid w:val="008F4763"/>
    <w:rsid w:val="008F527D"/>
    <w:rsid w:val="008F5411"/>
    <w:rsid w:val="008F5570"/>
    <w:rsid w:val="008F6254"/>
    <w:rsid w:val="008F627E"/>
    <w:rsid w:val="008F64A6"/>
    <w:rsid w:val="008F675F"/>
    <w:rsid w:val="008F67BC"/>
    <w:rsid w:val="008F6FF5"/>
    <w:rsid w:val="008F787F"/>
    <w:rsid w:val="00900505"/>
    <w:rsid w:val="009011F9"/>
    <w:rsid w:val="0090254B"/>
    <w:rsid w:val="00902E32"/>
    <w:rsid w:val="00902EB1"/>
    <w:rsid w:val="00903243"/>
    <w:rsid w:val="009034E8"/>
    <w:rsid w:val="009039CF"/>
    <w:rsid w:val="00903C6C"/>
    <w:rsid w:val="00904362"/>
    <w:rsid w:val="0090501C"/>
    <w:rsid w:val="00905528"/>
    <w:rsid w:val="00905936"/>
    <w:rsid w:val="00905F90"/>
    <w:rsid w:val="0090608F"/>
    <w:rsid w:val="009065EE"/>
    <w:rsid w:val="00906665"/>
    <w:rsid w:val="0091090A"/>
    <w:rsid w:val="00910B92"/>
    <w:rsid w:val="00911E61"/>
    <w:rsid w:val="00912592"/>
    <w:rsid w:val="00913108"/>
    <w:rsid w:val="009131B9"/>
    <w:rsid w:val="00913C10"/>
    <w:rsid w:val="0091419D"/>
    <w:rsid w:val="00914600"/>
    <w:rsid w:val="00914BBE"/>
    <w:rsid w:val="009150B8"/>
    <w:rsid w:val="00915DDF"/>
    <w:rsid w:val="00916177"/>
    <w:rsid w:val="00916A34"/>
    <w:rsid w:val="00916E8B"/>
    <w:rsid w:val="009173CB"/>
    <w:rsid w:val="00917427"/>
    <w:rsid w:val="00917AC5"/>
    <w:rsid w:val="009206DF"/>
    <w:rsid w:val="00920955"/>
    <w:rsid w:val="00921340"/>
    <w:rsid w:val="009213A8"/>
    <w:rsid w:val="00921638"/>
    <w:rsid w:val="009220D3"/>
    <w:rsid w:val="00922521"/>
    <w:rsid w:val="0092271D"/>
    <w:rsid w:val="00923879"/>
    <w:rsid w:val="00923B2B"/>
    <w:rsid w:val="00923BEC"/>
    <w:rsid w:val="00924CD2"/>
    <w:rsid w:val="00925B11"/>
    <w:rsid w:val="00925CAD"/>
    <w:rsid w:val="0092606F"/>
    <w:rsid w:val="00926802"/>
    <w:rsid w:val="009272BE"/>
    <w:rsid w:val="00927A24"/>
    <w:rsid w:val="0093039E"/>
    <w:rsid w:val="00930930"/>
    <w:rsid w:val="00930F82"/>
    <w:rsid w:val="00930FE9"/>
    <w:rsid w:val="00931133"/>
    <w:rsid w:val="0093113E"/>
    <w:rsid w:val="00931810"/>
    <w:rsid w:val="00932080"/>
    <w:rsid w:val="009346D4"/>
    <w:rsid w:val="00934A39"/>
    <w:rsid w:val="00934EE5"/>
    <w:rsid w:val="00936360"/>
    <w:rsid w:val="00936704"/>
    <w:rsid w:val="009369BA"/>
    <w:rsid w:val="00936C14"/>
    <w:rsid w:val="009370C2"/>
    <w:rsid w:val="00937D80"/>
    <w:rsid w:val="00940756"/>
    <w:rsid w:val="009408C6"/>
    <w:rsid w:val="00940CA9"/>
    <w:rsid w:val="00941291"/>
    <w:rsid w:val="009418FC"/>
    <w:rsid w:val="00941C51"/>
    <w:rsid w:val="00942327"/>
    <w:rsid w:val="009431F8"/>
    <w:rsid w:val="0094363C"/>
    <w:rsid w:val="00943E38"/>
    <w:rsid w:val="00943F5A"/>
    <w:rsid w:val="0094407D"/>
    <w:rsid w:val="00944987"/>
    <w:rsid w:val="00945508"/>
    <w:rsid w:val="0094557E"/>
    <w:rsid w:val="009457BD"/>
    <w:rsid w:val="00945C29"/>
    <w:rsid w:val="00945CA7"/>
    <w:rsid w:val="00945CE1"/>
    <w:rsid w:val="00945E06"/>
    <w:rsid w:val="00946A43"/>
    <w:rsid w:val="00946BB9"/>
    <w:rsid w:val="0095044F"/>
    <w:rsid w:val="00950BB0"/>
    <w:rsid w:val="0095146B"/>
    <w:rsid w:val="009519E0"/>
    <w:rsid w:val="00952F11"/>
    <w:rsid w:val="00953AF2"/>
    <w:rsid w:val="00953E2E"/>
    <w:rsid w:val="00955281"/>
    <w:rsid w:val="00955482"/>
    <w:rsid w:val="009557C5"/>
    <w:rsid w:val="00955B99"/>
    <w:rsid w:val="00956014"/>
    <w:rsid w:val="00956F8E"/>
    <w:rsid w:val="009571C1"/>
    <w:rsid w:val="009571F3"/>
    <w:rsid w:val="0096016A"/>
    <w:rsid w:val="00960806"/>
    <w:rsid w:val="00960856"/>
    <w:rsid w:val="00960AE1"/>
    <w:rsid w:val="00960F9F"/>
    <w:rsid w:val="00961562"/>
    <w:rsid w:val="0096185E"/>
    <w:rsid w:val="00961A4D"/>
    <w:rsid w:val="009620EB"/>
    <w:rsid w:val="00962455"/>
    <w:rsid w:val="009626FB"/>
    <w:rsid w:val="00962739"/>
    <w:rsid w:val="00962F27"/>
    <w:rsid w:val="00963400"/>
    <w:rsid w:val="0096412E"/>
    <w:rsid w:val="00964313"/>
    <w:rsid w:val="009650D7"/>
    <w:rsid w:val="00965108"/>
    <w:rsid w:val="00965396"/>
    <w:rsid w:val="009653DB"/>
    <w:rsid w:val="00965841"/>
    <w:rsid w:val="009659F5"/>
    <w:rsid w:val="00965C66"/>
    <w:rsid w:val="00966025"/>
    <w:rsid w:val="00966105"/>
    <w:rsid w:val="009664B4"/>
    <w:rsid w:val="00966D27"/>
    <w:rsid w:val="00967844"/>
    <w:rsid w:val="009679D4"/>
    <w:rsid w:val="00970050"/>
    <w:rsid w:val="009705E4"/>
    <w:rsid w:val="00971E92"/>
    <w:rsid w:val="00971EC2"/>
    <w:rsid w:val="009725F9"/>
    <w:rsid w:val="009727D5"/>
    <w:rsid w:val="00972888"/>
    <w:rsid w:val="00972B2D"/>
    <w:rsid w:val="00972EBE"/>
    <w:rsid w:val="0097317D"/>
    <w:rsid w:val="00973AE1"/>
    <w:rsid w:val="00973B53"/>
    <w:rsid w:val="00974073"/>
    <w:rsid w:val="00974144"/>
    <w:rsid w:val="00974588"/>
    <w:rsid w:val="009747D7"/>
    <w:rsid w:val="00974829"/>
    <w:rsid w:val="00974DEE"/>
    <w:rsid w:val="009751E0"/>
    <w:rsid w:val="009754E7"/>
    <w:rsid w:val="009758A3"/>
    <w:rsid w:val="00975C6F"/>
    <w:rsid w:val="00975CB0"/>
    <w:rsid w:val="00975CC9"/>
    <w:rsid w:val="00975D19"/>
    <w:rsid w:val="00976DC9"/>
    <w:rsid w:val="00977744"/>
    <w:rsid w:val="00977796"/>
    <w:rsid w:val="00980418"/>
    <w:rsid w:val="009804A5"/>
    <w:rsid w:val="00980B4C"/>
    <w:rsid w:val="00980DB8"/>
    <w:rsid w:val="00980ED3"/>
    <w:rsid w:val="0098104A"/>
    <w:rsid w:val="00982EA4"/>
    <w:rsid w:val="00983AA3"/>
    <w:rsid w:val="009852AA"/>
    <w:rsid w:val="009855C1"/>
    <w:rsid w:val="0098589A"/>
    <w:rsid w:val="009865BD"/>
    <w:rsid w:val="00986E80"/>
    <w:rsid w:val="00987191"/>
    <w:rsid w:val="0098722D"/>
    <w:rsid w:val="009908F2"/>
    <w:rsid w:val="009909AE"/>
    <w:rsid w:val="00991070"/>
    <w:rsid w:val="009912D6"/>
    <w:rsid w:val="00991BD4"/>
    <w:rsid w:val="00991E8F"/>
    <w:rsid w:val="00992E0C"/>
    <w:rsid w:val="0099310F"/>
    <w:rsid w:val="0099361A"/>
    <w:rsid w:val="00993770"/>
    <w:rsid w:val="009937ED"/>
    <w:rsid w:val="0099421F"/>
    <w:rsid w:val="0099432E"/>
    <w:rsid w:val="00994B7E"/>
    <w:rsid w:val="00994F7E"/>
    <w:rsid w:val="0099544B"/>
    <w:rsid w:val="00995F0E"/>
    <w:rsid w:val="00996ABA"/>
    <w:rsid w:val="00996B4B"/>
    <w:rsid w:val="00996CAB"/>
    <w:rsid w:val="009971E8"/>
    <w:rsid w:val="00997500"/>
    <w:rsid w:val="009A006F"/>
    <w:rsid w:val="009A0407"/>
    <w:rsid w:val="009A09B6"/>
    <w:rsid w:val="009A0CF7"/>
    <w:rsid w:val="009A116E"/>
    <w:rsid w:val="009A1F47"/>
    <w:rsid w:val="009A2DDD"/>
    <w:rsid w:val="009A30C3"/>
    <w:rsid w:val="009A31AB"/>
    <w:rsid w:val="009A37A9"/>
    <w:rsid w:val="009A3999"/>
    <w:rsid w:val="009A3DB9"/>
    <w:rsid w:val="009A3FB5"/>
    <w:rsid w:val="009A45B7"/>
    <w:rsid w:val="009A4B8C"/>
    <w:rsid w:val="009A4CD3"/>
    <w:rsid w:val="009A5773"/>
    <w:rsid w:val="009A62B7"/>
    <w:rsid w:val="009A63C4"/>
    <w:rsid w:val="009A70C9"/>
    <w:rsid w:val="009A7485"/>
    <w:rsid w:val="009A75D3"/>
    <w:rsid w:val="009A7C4B"/>
    <w:rsid w:val="009B1E9B"/>
    <w:rsid w:val="009B2365"/>
    <w:rsid w:val="009B2FB8"/>
    <w:rsid w:val="009B3CCE"/>
    <w:rsid w:val="009B3F8E"/>
    <w:rsid w:val="009B4C6D"/>
    <w:rsid w:val="009B559D"/>
    <w:rsid w:val="009B5CE5"/>
    <w:rsid w:val="009B614C"/>
    <w:rsid w:val="009B650C"/>
    <w:rsid w:val="009B7560"/>
    <w:rsid w:val="009C00CA"/>
    <w:rsid w:val="009C0846"/>
    <w:rsid w:val="009C0D56"/>
    <w:rsid w:val="009C1DCE"/>
    <w:rsid w:val="009C2057"/>
    <w:rsid w:val="009C3A08"/>
    <w:rsid w:val="009C3BFB"/>
    <w:rsid w:val="009C41E1"/>
    <w:rsid w:val="009C5B99"/>
    <w:rsid w:val="009C7047"/>
    <w:rsid w:val="009D07B1"/>
    <w:rsid w:val="009D0E05"/>
    <w:rsid w:val="009D1A9E"/>
    <w:rsid w:val="009D1BAE"/>
    <w:rsid w:val="009D4217"/>
    <w:rsid w:val="009D4613"/>
    <w:rsid w:val="009D5872"/>
    <w:rsid w:val="009D6F22"/>
    <w:rsid w:val="009D7779"/>
    <w:rsid w:val="009E01D9"/>
    <w:rsid w:val="009E0B10"/>
    <w:rsid w:val="009E2279"/>
    <w:rsid w:val="009E2E19"/>
    <w:rsid w:val="009E3517"/>
    <w:rsid w:val="009E38BE"/>
    <w:rsid w:val="009E3B89"/>
    <w:rsid w:val="009E4989"/>
    <w:rsid w:val="009E4A8C"/>
    <w:rsid w:val="009E5EF7"/>
    <w:rsid w:val="009E62BD"/>
    <w:rsid w:val="009E66DF"/>
    <w:rsid w:val="009E68FA"/>
    <w:rsid w:val="009F036C"/>
    <w:rsid w:val="009F101D"/>
    <w:rsid w:val="009F16F5"/>
    <w:rsid w:val="009F1791"/>
    <w:rsid w:val="009F1D32"/>
    <w:rsid w:val="009F1DFE"/>
    <w:rsid w:val="009F2271"/>
    <w:rsid w:val="009F2329"/>
    <w:rsid w:val="009F25F4"/>
    <w:rsid w:val="009F2DC8"/>
    <w:rsid w:val="009F313B"/>
    <w:rsid w:val="009F332A"/>
    <w:rsid w:val="009F40AA"/>
    <w:rsid w:val="009F4438"/>
    <w:rsid w:val="009F4A2B"/>
    <w:rsid w:val="009F53AA"/>
    <w:rsid w:val="009F5635"/>
    <w:rsid w:val="009F5CF1"/>
    <w:rsid w:val="009F5DDA"/>
    <w:rsid w:val="009F6985"/>
    <w:rsid w:val="009F7125"/>
    <w:rsid w:val="009F71B9"/>
    <w:rsid w:val="009F7718"/>
    <w:rsid w:val="009F7A2F"/>
    <w:rsid w:val="009F7A36"/>
    <w:rsid w:val="009F7AF1"/>
    <w:rsid w:val="009F7CC6"/>
    <w:rsid w:val="009F7DA0"/>
    <w:rsid w:val="00A003E1"/>
    <w:rsid w:val="00A00575"/>
    <w:rsid w:val="00A00D08"/>
    <w:rsid w:val="00A01313"/>
    <w:rsid w:val="00A01F12"/>
    <w:rsid w:val="00A022FD"/>
    <w:rsid w:val="00A02626"/>
    <w:rsid w:val="00A02BCB"/>
    <w:rsid w:val="00A02E82"/>
    <w:rsid w:val="00A03DE6"/>
    <w:rsid w:val="00A03E0A"/>
    <w:rsid w:val="00A047D3"/>
    <w:rsid w:val="00A04C8F"/>
    <w:rsid w:val="00A065DB"/>
    <w:rsid w:val="00A06E9E"/>
    <w:rsid w:val="00A07233"/>
    <w:rsid w:val="00A07B0D"/>
    <w:rsid w:val="00A10F6A"/>
    <w:rsid w:val="00A11465"/>
    <w:rsid w:val="00A117C5"/>
    <w:rsid w:val="00A11FA9"/>
    <w:rsid w:val="00A12169"/>
    <w:rsid w:val="00A12A00"/>
    <w:rsid w:val="00A137D3"/>
    <w:rsid w:val="00A13C50"/>
    <w:rsid w:val="00A144FA"/>
    <w:rsid w:val="00A145EE"/>
    <w:rsid w:val="00A14F6B"/>
    <w:rsid w:val="00A14FDB"/>
    <w:rsid w:val="00A15E3D"/>
    <w:rsid w:val="00A16653"/>
    <w:rsid w:val="00A16AA5"/>
    <w:rsid w:val="00A16E17"/>
    <w:rsid w:val="00A170C2"/>
    <w:rsid w:val="00A1733A"/>
    <w:rsid w:val="00A20407"/>
    <w:rsid w:val="00A21290"/>
    <w:rsid w:val="00A21978"/>
    <w:rsid w:val="00A22DF6"/>
    <w:rsid w:val="00A22E74"/>
    <w:rsid w:val="00A232A9"/>
    <w:rsid w:val="00A23496"/>
    <w:rsid w:val="00A238B9"/>
    <w:rsid w:val="00A23932"/>
    <w:rsid w:val="00A24CD6"/>
    <w:rsid w:val="00A259EB"/>
    <w:rsid w:val="00A25B49"/>
    <w:rsid w:val="00A25D9E"/>
    <w:rsid w:val="00A266FC"/>
    <w:rsid w:val="00A278BC"/>
    <w:rsid w:val="00A27BFF"/>
    <w:rsid w:val="00A30F7D"/>
    <w:rsid w:val="00A31C1F"/>
    <w:rsid w:val="00A32332"/>
    <w:rsid w:val="00A323E1"/>
    <w:rsid w:val="00A325C9"/>
    <w:rsid w:val="00A326AF"/>
    <w:rsid w:val="00A32E06"/>
    <w:rsid w:val="00A32ED9"/>
    <w:rsid w:val="00A333CC"/>
    <w:rsid w:val="00A33A9B"/>
    <w:rsid w:val="00A33B38"/>
    <w:rsid w:val="00A34DD9"/>
    <w:rsid w:val="00A350E8"/>
    <w:rsid w:val="00A35161"/>
    <w:rsid w:val="00A3550C"/>
    <w:rsid w:val="00A35ACD"/>
    <w:rsid w:val="00A36C0E"/>
    <w:rsid w:val="00A37060"/>
    <w:rsid w:val="00A374FC"/>
    <w:rsid w:val="00A37D44"/>
    <w:rsid w:val="00A40E2A"/>
    <w:rsid w:val="00A41010"/>
    <w:rsid w:val="00A41A0E"/>
    <w:rsid w:val="00A41BFC"/>
    <w:rsid w:val="00A42AEE"/>
    <w:rsid w:val="00A42E88"/>
    <w:rsid w:val="00A435BE"/>
    <w:rsid w:val="00A43681"/>
    <w:rsid w:val="00A436D0"/>
    <w:rsid w:val="00A439F3"/>
    <w:rsid w:val="00A44507"/>
    <w:rsid w:val="00A44C43"/>
    <w:rsid w:val="00A44CEC"/>
    <w:rsid w:val="00A451E9"/>
    <w:rsid w:val="00A45F36"/>
    <w:rsid w:val="00A462A4"/>
    <w:rsid w:val="00A465F6"/>
    <w:rsid w:val="00A46C1F"/>
    <w:rsid w:val="00A47111"/>
    <w:rsid w:val="00A475D7"/>
    <w:rsid w:val="00A4772D"/>
    <w:rsid w:val="00A47E73"/>
    <w:rsid w:val="00A50439"/>
    <w:rsid w:val="00A50458"/>
    <w:rsid w:val="00A505C1"/>
    <w:rsid w:val="00A511FC"/>
    <w:rsid w:val="00A512CD"/>
    <w:rsid w:val="00A5177C"/>
    <w:rsid w:val="00A51C0C"/>
    <w:rsid w:val="00A51E47"/>
    <w:rsid w:val="00A523B0"/>
    <w:rsid w:val="00A524E8"/>
    <w:rsid w:val="00A529E9"/>
    <w:rsid w:val="00A53090"/>
    <w:rsid w:val="00A54FA1"/>
    <w:rsid w:val="00A55146"/>
    <w:rsid w:val="00A55520"/>
    <w:rsid w:val="00A56231"/>
    <w:rsid w:val="00A5644D"/>
    <w:rsid w:val="00A56529"/>
    <w:rsid w:val="00A56732"/>
    <w:rsid w:val="00A56D7B"/>
    <w:rsid w:val="00A57A37"/>
    <w:rsid w:val="00A57C34"/>
    <w:rsid w:val="00A60D22"/>
    <w:rsid w:val="00A610A1"/>
    <w:rsid w:val="00A6117C"/>
    <w:rsid w:val="00A61EC1"/>
    <w:rsid w:val="00A620F4"/>
    <w:rsid w:val="00A62A16"/>
    <w:rsid w:val="00A62BFC"/>
    <w:rsid w:val="00A63552"/>
    <w:rsid w:val="00A636E7"/>
    <w:rsid w:val="00A637FA"/>
    <w:rsid w:val="00A64070"/>
    <w:rsid w:val="00A6472B"/>
    <w:rsid w:val="00A64903"/>
    <w:rsid w:val="00A64BEB"/>
    <w:rsid w:val="00A64C9D"/>
    <w:rsid w:val="00A64E11"/>
    <w:rsid w:val="00A65058"/>
    <w:rsid w:val="00A6535A"/>
    <w:rsid w:val="00A654E2"/>
    <w:rsid w:val="00A65BE1"/>
    <w:rsid w:val="00A66117"/>
    <w:rsid w:val="00A665F6"/>
    <w:rsid w:val="00A668E6"/>
    <w:rsid w:val="00A67120"/>
    <w:rsid w:val="00A7055A"/>
    <w:rsid w:val="00A707DD"/>
    <w:rsid w:val="00A7105D"/>
    <w:rsid w:val="00A714B4"/>
    <w:rsid w:val="00A71519"/>
    <w:rsid w:val="00A7243C"/>
    <w:rsid w:val="00A724AD"/>
    <w:rsid w:val="00A725D5"/>
    <w:rsid w:val="00A72E38"/>
    <w:rsid w:val="00A72E51"/>
    <w:rsid w:val="00A72ED3"/>
    <w:rsid w:val="00A73FEF"/>
    <w:rsid w:val="00A74998"/>
    <w:rsid w:val="00A74C1A"/>
    <w:rsid w:val="00A74E08"/>
    <w:rsid w:val="00A769BC"/>
    <w:rsid w:val="00A7741A"/>
    <w:rsid w:val="00A77DA3"/>
    <w:rsid w:val="00A77FB5"/>
    <w:rsid w:val="00A77FC3"/>
    <w:rsid w:val="00A80DFA"/>
    <w:rsid w:val="00A81321"/>
    <w:rsid w:val="00A83325"/>
    <w:rsid w:val="00A834FF"/>
    <w:rsid w:val="00A83E64"/>
    <w:rsid w:val="00A841AD"/>
    <w:rsid w:val="00A84264"/>
    <w:rsid w:val="00A84B15"/>
    <w:rsid w:val="00A84D94"/>
    <w:rsid w:val="00A85108"/>
    <w:rsid w:val="00A854D7"/>
    <w:rsid w:val="00A85973"/>
    <w:rsid w:val="00A85D25"/>
    <w:rsid w:val="00A87850"/>
    <w:rsid w:val="00A90172"/>
    <w:rsid w:val="00A902B0"/>
    <w:rsid w:val="00A906E1"/>
    <w:rsid w:val="00A90E39"/>
    <w:rsid w:val="00A91107"/>
    <w:rsid w:val="00A91DBB"/>
    <w:rsid w:val="00A92327"/>
    <w:rsid w:val="00A923F4"/>
    <w:rsid w:val="00A925BA"/>
    <w:rsid w:val="00A93251"/>
    <w:rsid w:val="00A937ED"/>
    <w:rsid w:val="00A93959"/>
    <w:rsid w:val="00A9464A"/>
    <w:rsid w:val="00A951EB"/>
    <w:rsid w:val="00A953B0"/>
    <w:rsid w:val="00A9616F"/>
    <w:rsid w:val="00A9630C"/>
    <w:rsid w:val="00A96FAB"/>
    <w:rsid w:val="00A971CC"/>
    <w:rsid w:val="00A97BB9"/>
    <w:rsid w:val="00AA0989"/>
    <w:rsid w:val="00AA09BE"/>
    <w:rsid w:val="00AA1586"/>
    <w:rsid w:val="00AA1D00"/>
    <w:rsid w:val="00AA1F0A"/>
    <w:rsid w:val="00AA259A"/>
    <w:rsid w:val="00AA2E03"/>
    <w:rsid w:val="00AA35F9"/>
    <w:rsid w:val="00AA3B62"/>
    <w:rsid w:val="00AA3C22"/>
    <w:rsid w:val="00AA40FE"/>
    <w:rsid w:val="00AA41F7"/>
    <w:rsid w:val="00AA4360"/>
    <w:rsid w:val="00AA5297"/>
    <w:rsid w:val="00AA54D1"/>
    <w:rsid w:val="00AA5BF3"/>
    <w:rsid w:val="00AA6265"/>
    <w:rsid w:val="00AA6A60"/>
    <w:rsid w:val="00AA6B8E"/>
    <w:rsid w:val="00AA6CA8"/>
    <w:rsid w:val="00AA6FCE"/>
    <w:rsid w:val="00AA70B6"/>
    <w:rsid w:val="00AB011F"/>
    <w:rsid w:val="00AB0D59"/>
    <w:rsid w:val="00AB0F3B"/>
    <w:rsid w:val="00AB1127"/>
    <w:rsid w:val="00AB2A19"/>
    <w:rsid w:val="00AB2E33"/>
    <w:rsid w:val="00AB3AAF"/>
    <w:rsid w:val="00AB55A6"/>
    <w:rsid w:val="00AB6298"/>
    <w:rsid w:val="00AB6B46"/>
    <w:rsid w:val="00AB6EF2"/>
    <w:rsid w:val="00AB6F26"/>
    <w:rsid w:val="00AB6F51"/>
    <w:rsid w:val="00AC057A"/>
    <w:rsid w:val="00AC0685"/>
    <w:rsid w:val="00AC1858"/>
    <w:rsid w:val="00AC1898"/>
    <w:rsid w:val="00AC1CA2"/>
    <w:rsid w:val="00AC1DC7"/>
    <w:rsid w:val="00AC2AC6"/>
    <w:rsid w:val="00AC459F"/>
    <w:rsid w:val="00AC47CE"/>
    <w:rsid w:val="00AC48AE"/>
    <w:rsid w:val="00AC54C7"/>
    <w:rsid w:val="00AC5A9F"/>
    <w:rsid w:val="00AC6058"/>
    <w:rsid w:val="00AC773A"/>
    <w:rsid w:val="00AC7AFF"/>
    <w:rsid w:val="00AD080A"/>
    <w:rsid w:val="00AD0E7C"/>
    <w:rsid w:val="00AD1EFB"/>
    <w:rsid w:val="00AD205F"/>
    <w:rsid w:val="00AD215F"/>
    <w:rsid w:val="00AD2267"/>
    <w:rsid w:val="00AD25A9"/>
    <w:rsid w:val="00AD263F"/>
    <w:rsid w:val="00AD2CA2"/>
    <w:rsid w:val="00AD315C"/>
    <w:rsid w:val="00AD3D47"/>
    <w:rsid w:val="00AD4C86"/>
    <w:rsid w:val="00AD59AB"/>
    <w:rsid w:val="00AD5F0E"/>
    <w:rsid w:val="00AD613A"/>
    <w:rsid w:val="00AD66E2"/>
    <w:rsid w:val="00AD6C34"/>
    <w:rsid w:val="00AD7040"/>
    <w:rsid w:val="00AD7334"/>
    <w:rsid w:val="00AE03D8"/>
    <w:rsid w:val="00AE0A43"/>
    <w:rsid w:val="00AE13CC"/>
    <w:rsid w:val="00AE157F"/>
    <w:rsid w:val="00AE178F"/>
    <w:rsid w:val="00AE1AD6"/>
    <w:rsid w:val="00AE27E7"/>
    <w:rsid w:val="00AE27E8"/>
    <w:rsid w:val="00AE28D3"/>
    <w:rsid w:val="00AE2AAF"/>
    <w:rsid w:val="00AE2DF5"/>
    <w:rsid w:val="00AE2E15"/>
    <w:rsid w:val="00AE4D26"/>
    <w:rsid w:val="00AE4E51"/>
    <w:rsid w:val="00AE6A57"/>
    <w:rsid w:val="00AE735C"/>
    <w:rsid w:val="00AE74FA"/>
    <w:rsid w:val="00AF0A24"/>
    <w:rsid w:val="00AF0E27"/>
    <w:rsid w:val="00AF14FC"/>
    <w:rsid w:val="00AF1587"/>
    <w:rsid w:val="00AF19A1"/>
    <w:rsid w:val="00AF1B82"/>
    <w:rsid w:val="00AF2021"/>
    <w:rsid w:val="00AF2220"/>
    <w:rsid w:val="00AF2A51"/>
    <w:rsid w:val="00AF2A6A"/>
    <w:rsid w:val="00AF2BEF"/>
    <w:rsid w:val="00AF2F46"/>
    <w:rsid w:val="00AF30A4"/>
    <w:rsid w:val="00AF31CA"/>
    <w:rsid w:val="00AF3FB6"/>
    <w:rsid w:val="00AF55B0"/>
    <w:rsid w:val="00AF5E00"/>
    <w:rsid w:val="00AF61D9"/>
    <w:rsid w:val="00AF6543"/>
    <w:rsid w:val="00AF7727"/>
    <w:rsid w:val="00B00784"/>
    <w:rsid w:val="00B00A35"/>
    <w:rsid w:val="00B00AFA"/>
    <w:rsid w:val="00B0132E"/>
    <w:rsid w:val="00B0137D"/>
    <w:rsid w:val="00B021F6"/>
    <w:rsid w:val="00B02D7F"/>
    <w:rsid w:val="00B0305A"/>
    <w:rsid w:val="00B03348"/>
    <w:rsid w:val="00B035F7"/>
    <w:rsid w:val="00B04757"/>
    <w:rsid w:val="00B04C52"/>
    <w:rsid w:val="00B05A05"/>
    <w:rsid w:val="00B05AF4"/>
    <w:rsid w:val="00B0794B"/>
    <w:rsid w:val="00B07B21"/>
    <w:rsid w:val="00B07CBB"/>
    <w:rsid w:val="00B103C8"/>
    <w:rsid w:val="00B10C12"/>
    <w:rsid w:val="00B10C5F"/>
    <w:rsid w:val="00B11D82"/>
    <w:rsid w:val="00B11E74"/>
    <w:rsid w:val="00B12117"/>
    <w:rsid w:val="00B12556"/>
    <w:rsid w:val="00B12DFA"/>
    <w:rsid w:val="00B13544"/>
    <w:rsid w:val="00B148E8"/>
    <w:rsid w:val="00B14FC6"/>
    <w:rsid w:val="00B1508D"/>
    <w:rsid w:val="00B15228"/>
    <w:rsid w:val="00B1571F"/>
    <w:rsid w:val="00B15A79"/>
    <w:rsid w:val="00B15B8E"/>
    <w:rsid w:val="00B164B2"/>
    <w:rsid w:val="00B166AB"/>
    <w:rsid w:val="00B16A5C"/>
    <w:rsid w:val="00B16D28"/>
    <w:rsid w:val="00B17524"/>
    <w:rsid w:val="00B17A34"/>
    <w:rsid w:val="00B17F75"/>
    <w:rsid w:val="00B21763"/>
    <w:rsid w:val="00B21879"/>
    <w:rsid w:val="00B22471"/>
    <w:rsid w:val="00B2292C"/>
    <w:rsid w:val="00B22A39"/>
    <w:rsid w:val="00B23E10"/>
    <w:rsid w:val="00B23EB6"/>
    <w:rsid w:val="00B245BA"/>
    <w:rsid w:val="00B2522A"/>
    <w:rsid w:val="00B25371"/>
    <w:rsid w:val="00B27233"/>
    <w:rsid w:val="00B27394"/>
    <w:rsid w:val="00B27B17"/>
    <w:rsid w:val="00B27D63"/>
    <w:rsid w:val="00B300AA"/>
    <w:rsid w:val="00B317EF"/>
    <w:rsid w:val="00B31D7B"/>
    <w:rsid w:val="00B32111"/>
    <w:rsid w:val="00B328D4"/>
    <w:rsid w:val="00B32BA5"/>
    <w:rsid w:val="00B32CE6"/>
    <w:rsid w:val="00B33301"/>
    <w:rsid w:val="00B33A4E"/>
    <w:rsid w:val="00B3412C"/>
    <w:rsid w:val="00B3481A"/>
    <w:rsid w:val="00B34ABB"/>
    <w:rsid w:val="00B359A7"/>
    <w:rsid w:val="00B35AF8"/>
    <w:rsid w:val="00B360D4"/>
    <w:rsid w:val="00B36E5C"/>
    <w:rsid w:val="00B3719C"/>
    <w:rsid w:val="00B40BB1"/>
    <w:rsid w:val="00B41539"/>
    <w:rsid w:val="00B41920"/>
    <w:rsid w:val="00B41AF4"/>
    <w:rsid w:val="00B41B37"/>
    <w:rsid w:val="00B41CC9"/>
    <w:rsid w:val="00B4256C"/>
    <w:rsid w:val="00B426BA"/>
    <w:rsid w:val="00B42A84"/>
    <w:rsid w:val="00B42E40"/>
    <w:rsid w:val="00B42EC7"/>
    <w:rsid w:val="00B43FCF"/>
    <w:rsid w:val="00B440C1"/>
    <w:rsid w:val="00B450AC"/>
    <w:rsid w:val="00B479D6"/>
    <w:rsid w:val="00B5075F"/>
    <w:rsid w:val="00B50C41"/>
    <w:rsid w:val="00B5110E"/>
    <w:rsid w:val="00B514E0"/>
    <w:rsid w:val="00B517D8"/>
    <w:rsid w:val="00B518AE"/>
    <w:rsid w:val="00B51E5E"/>
    <w:rsid w:val="00B521CB"/>
    <w:rsid w:val="00B5282A"/>
    <w:rsid w:val="00B52B58"/>
    <w:rsid w:val="00B5335A"/>
    <w:rsid w:val="00B535B9"/>
    <w:rsid w:val="00B53A95"/>
    <w:rsid w:val="00B5413D"/>
    <w:rsid w:val="00B5432D"/>
    <w:rsid w:val="00B54ABD"/>
    <w:rsid w:val="00B54BFA"/>
    <w:rsid w:val="00B54CF4"/>
    <w:rsid w:val="00B55749"/>
    <w:rsid w:val="00B56DDF"/>
    <w:rsid w:val="00B56EDD"/>
    <w:rsid w:val="00B57E0E"/>
    <w:rsid w:val="00B60117"/>
    <w:rsid w:val="00B60EE5"/>
    <w:rsid w:val="00B60FD4"/>
    <w:rsid w:val="00B61171"/>
    <w:rsid w:val="00B62290"/>
    <w:rsid w:val="00B623CE"/>
    <w:rsid w:val="00B6288F"/>
    <w:rsid w:val="00B63432"/>
    <w:rsid w:val="00B6492D"/>
    <w:rsid w:val="00B64D25"/>
    <w:rsid w:val="00B6575A"/>
    <w:rsid w:val="00B65BE9"/>
    <w:rsid w:val="00B66775"/>
    <w:rsid w:val="00B6683B"/>
    <w:rsid w:val="00B66EAB"/>
    <w:rsid w:val="00B66FC9"/>
    <w:rsid w:val="00B67251"/>
    <w:rsid w:val="00B674B8"/>
    <w:rsid w:val="00B67965"/>
    <w:rsid w:val="00B67FE6"/>
    <w:rsid w:val="00B70229"/>
    <w:rsid w:val="00B7029C"/>
    <w:rsid w:val="00B70716"/>
    <w:rsid w:val="00B71682"/>
    <w:rsid w:val="00B71858"/>
    <w:rsid w:val="00B71BB8"/>
    <w:rsid w:val="00B71BEA"/>
    <w:rsid w:val="00B72000"/>
    <w:rsid w:val="00B72D00"/>
    <w:rsid w:val="00B72EF2"/>
    <w:rsid w:val="00B73153"/>
    <w:rsid w:val="00B731E5"/>
    <w:rsid w:val="00B73862"/>
    <w:rsid w:val="00B74E80"/>
    <w:rsid w:val="00B74FD4"/>
    <w:rsid w:val="00B76AB3"/>
    <w:rsid w:val="00B76EA3"/>
    <w:rsid w:val="00B77043"/>
    <w:rsid w:val="00B772EA"/>
    <w:rsid w:val="00B77772"/>
    <w:rsid w:val="00B80B53"/>
    <w:rsid w:val="00B80FBA"/>
    <w:rsid w:val="00B81565"/>
    <w:rsid w:val="00B81AD2"/>
    <w:rsid w:val="00B81F91"/>
    <w:rsid w:val="00B822A3"/>
    <w:rsid w:val="00B8237D"/>
    <w:rsid w:val="00B8241E"/>
    <w:rsid w:val="00B8319F"/>
    <w:rsid w:val="00B8331A"/>
    <w:rsid w:val="00B833D6"/>
    <w:rsid w:val="00B838E4"/>
    <w:rsid w:val="00B83B3C"/>
    <w:rsid w:val="00B845EA"/>
    <w:rsid w:val="00B8596B"/>
    <w:rsid w:val="00B85A7C"/>
    <w:rsid w:val="00B86194"/>
    <w:rsid w:val="00B861F9"/>
    <w:rsid w:val="00B86C94"/>
    <w:rsid w:val="00B86E06"/>
    <w:rsid w:val="00B875A6"/>
    <w:rsid w:val="00B879F9"/>
    <w:rsid w:val="00B87CB7"/>
    <w:rsid w:val="00B90632"/>
    <w:rsid w:val="00B907A6"/>
    <w:rsid w:val="00B9097D"/>
    <w:rsid w:val="00B90AD0"/>
    <w:rsid w:val="00B90CF2"/>
    <w:rsid w:val="00B90EDB"/>
    <w:rsid w:val="00B912AC"/>
    <w:rsid w:val="00B92042"/>
    <w:rsid w:val="00B92073"/>
    <w:rsid w:val="00B92113"/>
    <w:rsid w:val="00B921C0"/>
    <w:rsid w:val="00B928A9"/>
    <w:rsid w:val="00B9324C"/>
    <w:rsid w:val="00B933C6"/>
    <w:rsid w:val="00B9369B"/>
    <w:rsid w:val="00B9405E"/>
    <w:rsid w:val="00B958B6"/>
    <w:rsid w:val="00B95A71"/>
    <w:rsid w:val="00B95CF8"/>
    <w:rsid w:val="00B95D22"/>
    <w:rsid w:val="00B95F02"/>
    <w:rsid w:val="00B96030"/>
    <w:rsid w:val="00B96446"/>
    <w:rsid w:val="00B966E6"/>
    <w:rsid w:val="00B970E5"/>
    <w:rsid w:val="00B974F6"/>
    <w:rsid w:val="00B9750B"/>
    <w:rsid w:val="00B97EF6"/>
    <w:rsid w:val="00B97F26"/>
    <w:rsid w:val="00B97FE6"/>
    <w:rsid w:val="00BA164E"/>
    <w:rsid w:val="00BA1BF7"/>
    <w:rsid w:val="00BA1DE8"/>
    <w:rsid w:val="00BA2893"/>
    <w:rsid w:val="00BA2AB1"/>
    <w:rsid w:val="00BA2C3D"/>
    <w:rsid w:val="00BA2C8A"/>
    <w:rsid w:val="00BA3785"/>
    <w:rsid w:val="00BA4196"/>
    <w:rsid w:val="00BA444D"/>
    <w:rsid w:val="00BA5E5B"/>
    <w:rsid w:val="00BA658F"/>
    <w:rsid w:val="00BA6A68"/>
    <w:rsid w:val="00BA6B6F"/>
    <w:rsid w:val="00BA6BC4"/>
    <w:rsid w:val="00BA7050"/>
    <w:rsid w:val="00BA73F3"/>
    <w:rsid w:val="00BA7FA4"/>
    <w:rsid w:val="00BB0073"/>
    <w:rsid w:val="00BB034F"/>
    <w:rsid w:val="00BB0E33"/>
    <w:rsid w:val="00BB0EED"/>
    <w:rsid w:val="00BB183E"/>
    <w:rsid w:val="00BB1E91"/>
    <w:rsid w:val="00BB24DF"/>
    <w:rsid w:val="00BB36BD"/>
    <w:rsid w:val="00BB3A30"/>
    <w:rsid w:val="00BB3A63"/>
    <w:rsid w:val="00BB40EA"/>
    <w:rsid w:val="00BB46AD"/>
    <w:rsid w:val="00BB4926"/>
    <w:rsid w:val="00BB5051"/>
    <w:rsid w:val="00BB51DD"/>
    <w:rsid w:val="00BB5C5A"/>
    <w:rsid w:val="00BB5DCE"/>
    <w:rsid w:val="00BB62AD"/>
    <w:rsid w:val="00BC05EF"/>
    <w:rsid w:val="00BC1417"/>
    <w:rsid w:val="00BC14CB"/>
    <w:rsid w:val="00BC18EA"/>
    <w:rsid w:val="00BC1AD8"/>
    <w:rsid w:val="00BC24E3"/>
    <w:rsid w:val="00BC2C6E"/>
    <w:rsid w:val="00BC32FD"/>
    <w:rsid w:val="00BC4249"/>
    <w:rsid w:val="00BC482F"/>
    <w:rsid w:val="00BC5119"/>
    <w:rsid w:val="00BC5A07"/>
    <w:rsid w:val="00BC61C5"/>
    <w:rsid w:val="00BC644A"/>
    <w:rsid w:val="00BC68B7"/>
    <w:rsid w:val="00BC6D2B"/>
    <w:rsid w:val="00BC6D40"/>
    <w:rsid w:val="00BC77E4"/>
    <w:rsid w:val="00BC7AC0"/>
    <w:rsid w:val="00BC7DF7"/>
    <w:rsid w:val="00BD00E6"/>
    <w:rsid w:val="00BD09B7"/>
    <w:rsid w:val="00BD1043"/>
    <w:rsid w:val="00BD17E2"/>
    <w:rsid w:val="00BD1FF7"/>
    <w:rsid w:val="00BD2B10"/>
    <w:rsid w:val="00BD3261"/>
    <w:rsid w:val="00BD3C9B"/>
    <w:rsid w:val="00BD4367"/>
    <w:rsid w:val="00BD4405"/>
    <w:rsid w:val="00BD4D31"/>
    <w:rsid w:val="00BD5520"/>
    <w:rsid w:val="00BD5932"/>
    <w:rsid w:val="00BD593D"/>
    <w:rsid w:val="00BD5BC3"/>
    <w:rsid w:val="00BD5E49"/>
    <w:rsid w:val="00BD6048"/>
    <w:rsid w:val="00BD6C59"/>
    <w:rsid w:val="00BD7388"/>
    <w:rsid w:val="00BD74A4"/>
    <w:rsid w:val="00BD7883"/>
    <w:rsid w:val="00BD7C93"/>
    <w:rsid w:val="00BE122E"/>
    <w:rsid w:val="00BE12FD"/>
    <w:rsid w:val="00BE1686"/>
    <w:rsid w:val="00BE1872"/>
    <w:rsid w:val="00BE1C35"/>
    <w:rsid w:val="00BE217F"/>
    <w:rsid w:val="00BE2B4A"/>
    <w:rsid w:val="00BE2EE8"/>
    <w:rsid w:val="00BE304B"/>
    <w:rsid w:val="00BE3809"/>
    <w:rsid w:val="00BE3FB1"/>
    <w:rsid w:val="00BE3FB4"/>
    <w:rsid w:val="00BE425F"/>
    <w:rsid w:val="00BE445A"/>
    <w:rsid w:val="00BE4A10"/>
    <w:rsid w:val="00BE4A1C"/>
    <w:rsid w:val="00BE52C6"/>
    <w:rsid w:val="00BE544F"/>
    <w:rsid w:val="00BE5A17"/>
    <w:rsid w:val="00BE5BA7"/>
    <w:rsid w:val="00BE64DB"/>
    <w:rsid w:val="00BE654E"/>
    <w:rsid w:val="00BE660C"/>
    <w:rsid w:val="00BE68EC"/>
    <w:rsid w:val="00BE69F0"/>
    <w:rsid w:val="00BE6B42"/>
    <w:rsid w:val="00BE6BF3"/>
    <w:rsid w:val="00BE6C44"/>
    <w:rsid w:val="00BE6D38"/>
    <w:rsid w:val="00BE7009"/>
    <w:rsid w:val="00BE76A2"/>
    <w:rsid w:val="00BE7C1C"/>
    <w:rsid w:val="00BF04F9"/>
    <w:rsid w:val="00BF096C"/>
    <w:rsid w:val="00BF12A7"/>
    <w:rsid w:val="00BF1524"/>
    <w:rsid w:val="00BF1B2E"/>
    <w:rsid w:val="00BF2111"/>
    <w:rsid w:val="00BF314F"/>
    <w:rsid w:val="00BF3192"/>
    <w:rsid w:val="00BF397B"/>
    <w:rsid w:val="00BF3A75"/>
    <w:rsid w:val="00BF4A98"/>
    <w:rsid w:val="00BF4FFA"/>
    <w:rsid w:val="00BF66C3"/>
    <w:rsid w:val="00BF67D9"/>
    <w:rsid w:val="00BF6A6A"/>
    <w:rsid w:val="00BF7269"/>
    <w:rsid w:val="00BF738C"/>
    <w:rsid w:val="00BF797F"/>
    <w:rsid w:val="00BF7D8B"/>
    <w:rsid w:val="00C003FA"/>
    <w:rsid w:val="00C00497"/>
    <w:rsid w:val="00C00F53"/>
    <w:rsid w:val="00C0173F"/>
    <w:rsid w:val="00C0176F"/>
    <w:rsid w:val="00C01937"/>
    <w:rsid w:val="00C01F2F"/>
    <w:rsid w:val="00C027B9"/>
    <w:rsid w:val="00C036DE"/>
    <w:rsid w:val="00C04372"/>
    <w:rsid w:val="00C04D44"/>
    <w:rsid w:val="00C04F70"/>
    <w:rsid w:val="00C052C4"/>
    <w:rsid w:val="00C055F1"/>
    <w:rsid w:val="00C05A1C"/>
    <w:rsid w:val="00C05B12"/>
    <w:rsid w:val="00C05BF1"/>
    <w:rsid w:val="00C05CA0"/>
    <w:rsid w:val="00C060F4"/>
    <w:rsid w:val="00C06936"/>
    <w:rsid w:val="00C06A52"/>
    <w:rsid w:val="00C06CE4"/>
    <w:rsid w:val="00C0722D"/>
    <w:rsid w:val="00C10176"/>
    <w:rsid w:val="00C1085D"/>
    <w:rsid w:val="00C12042"/>
    <w:rsid w:val="00C12095"/>
    <w:rsid w:val="00C12425"/>
    <w:rsid w:val="00C125B6"/>
    <w:rsid w:val="00C12ED8"/>
    <w:rsid w:val="00C132F4"/>
    <w:rsid w:val="00C13384"/>
    <w:rsid w:val="00C13647"/>
    <w:rsid w:val="00C140DA"/>
    <w:rsid w:val="00C14132"/>
    <w:rsid w:val="00C147FA"/>
    <w:rsid w:val="00C14B1A"/>
    <w:rsid w:val="00C15C4F"/>
    <w:rsid w:val="00C165EB"/>
    <w:rsid w:val="00C16E9E"/>
    <w:rsid w:val="00C172EC"/>
    <w:rsid w:val="00C17CC2"/>
    <w:rsid w:val="00C200EC"/>
    <w:rsid w:val="00C20625"/>
    <w:rsid w:val="00C20E54"/>
    <w:rsid w:val="00C2151D"/>
    <w:rsid w:val="00C22D4A"/>
    <w:rsid w:val="00C230E6"/>
    <w:rsid w:val="00C23CA7"/>
    <w:rsid w:val="00C23D7C"/>
    <w:rsid w:val="00C23E39"/>
    <w:rsid w:val="00C24ED7"/>
    <w:rsid w:val="00C25062"/>
    <w:rsid w:val="00C25733"/>
    <w:rsid w:val="00C25D42"/>
    <w:rsid w:val="00C264E4"/>
    <w:rsid w:val="00C26DA2"/>
    <w:rsid w:val="00C27033"/>
    <w:rsid w:val="00C2799F"/>
    <w:rsid w:val="00C27E22"/>
    <w:rsid w:val="00C3169A"/>
    <w:rsid w:val="00C322EB"/>
    <w:rsid w:val="00C32E27"/>
    <w:rsid w:val="00C33262"/>
    <w:rsid w:val="00C3348B"/>
    <w:rsid w:val="00C339A6"/>
    <w:rsid w:val="00C34A57"/>
    <w:rsid w:val="00C34E6D"/>
    <w:rsid w:val="00C3635F"/>
    <w:rsid w:val="00C4028E"/>
    <w:rsid w:val="00C4111F"/>
    <w:rsid w:val="00C418DF"/>
    <w:rsid w:val="00C41991"/>
    <w:rsid w:val="00C41CBA"/>
    <w:rsid w:val="00C426DC"/>
    <w:rsid w:val="00C42B77"/>
    <w:rsid w:val="00C43571"/>
    <w:rsid w:val="00C4373F"/>
    <w:rsid w:val="00C43B10"/>
    <w:rsid w:val="00C44B2B"/>
    <w:rsid w:val="00C455ED"/>
    <w:rsid w:val="00C477BE"/>
    <w:rsid w:val="00C47A7E"/>
    <w:rsid w:val="00C47EBE"/>
    <w:rsid w:val="00C5132E"/>
    <w:rsid w:val="00C51D7D"/>
    <w:rsid w:val="00C51DD6"/>
    <w:rsid w:val="00C5260D"/>
    <w:rsid w:val="00C5367F"/>
    <w:rsid w:val="00C53A71"/>
    <w:rsid w:val="00C53B92"/>
    <w:rsid w:val="00C54549"/>
    <w:rsid w:val="00C54F04"/>
    <w:rsid w:val="00C553CB"/>
    <w:rsid w:val="00C56222"/>
    <w:rsid w:val="00C56244"/>
    <w:rsid w:val="00C569B7"/>
    <w:rsid w:val="00C56E95"/>
    <w:rsid w:val="00C570B3"/>
    <w:rsid w:val="00C57953"/>
    <w:rsid w:val="00C60145"/>
    <w:rsid w:val="00C60FA9"/>
    <w:rsid w:val="00C60FE8"/>
    <w:rsid w:val="00C60FEC"/>
    <w:rsid w:val="00C61490"/>
    <w:rsid w:val="00C61C2B"/>
    <w:rsid w:val="00C621F0"/>
    <w:rsid w:val="00C6247E"/>
    <w:rsid w:val="00C62B00"/>
    <w:rsid w:val="00C63088"/>
    <w:rsid w:val="00C631B8"/>
    <w:rsid w:val="00C63229"/>
    <w:rsid w:val="00C63F06"/>
    <w:rsid w:val="00C63F3D"/>
    <w:rsid w:val="00C64CDD"/>
    <w:rsid w:val="00C64E2B"/>
    <w:rsid w:val="00C65317"/>
    <w:rsid w:val="00C657B5"/>
    <w:rsid w:val="00C65D0A"/>
    <w:rsid w:val="00C660ED"/>
    <w:rsid w:val="00C6660A"/>
    <w:rsid w:val="00C66A30"/>
    <w:rsid w:val="00C66A98"/>
    <w:rsid w:val="00C670BF"/>
    <w:rsid w:val="00C67C38"/>
    <w:rsid w:val="00C70393"/>
    <w:rsid w:val="00C70EED"/>
    <w:rsid w:val="00C71529"/>
    <w:rsid w:val="00C7186B"/>
    <w:rsid w:val="00C724AE"/>
    <w:rsid w:val="00C735E6"/>
    <w:rsid w:val="00C73887"/>
    <w:rsid w:val="00C73942"/>
    <w:rsid w:val="00C73B51"/>
    <w:rsid w:val="00C7420B"/>
    <w:rsid w:val="00C74A33"/>
    <w:rsid w:val="00C74F95"/>
    <w:rsid w:val="00C75017"/>
    <w:rsid w:val="00C756DA"/>
    <w:rsid w:val="00C75CA9"/>
    <w:rsid w:val="00C76077"/>
    <w:rsid w:val="00C769DE"/>
    <w:rsid w:val="00C76B19"/>
    <w:rsid w:val="00C77073"/>
    <w:rsid w:val="00C77995"/>
    <w:rsid w:val="00C77A97"/>
    <w:rsid w:val="00C8041D"/>
    <w:rsid w:val="00C80538"/>
    <w:rsid w:val="00C80A24"/>
    <w:rsid w:val="00C80A7B"/>
    <w:rsid w:val="00C80D8F"/>
    <w:rsid w:val="00C80FA8"/>
    <w:rsid w:val="00C822EB"/>
    <w:rsid w:val="00C829F9"/>
    <w:rsid w:val="00C82D78"/>
    <w:rsid w:val="00C84A83"/>
    <w:rsid w:val="00C84D63"/>
    <w:rsid w:val="00C85B8E"/>
    <w:rsid w:val="00C85F57"/>
    <w:rsid w:val="00C866A1"/>
    <w:rsid w:val="00C866D9"/>
    <w:rsid w:val="00C86F00"/>
    <w:rsid w:val="00C90149"/>
    <w:rsid w:val="00C90180"/>
    <w:rsid w:val="00C906E2"/>
    <w:rsid w:val="00C90A98"/>
    <w:rsid w:val="00C90B7C"/>
    <w:rsid w:val="00C90E54"/>
    <w:rsid w:val="00C91E19"/>
    <w:rsid w:val="00C927DE"/>
    <w:rsid w:val="00C929B9"/>
    <w:rsid w:val="00C935A4"/>
    <w:rsid w:val="00C93D98"/>
    <w:rsid w:val="00C940DC"/>
    <w:rsid w:val="00C945C3"/>
    <w:rsid w:val="00C9499C"/>
    <w:rsid w:val="00C94ADB"/>
    <w:rsid w:val="00C94E8E"/>
    <w:rsid w:val="00C9512A"/>
    <w:rsid w:val="00C95AAA"/>
    <w:rsid w:val="00C95C77"/>
    <w:rsid w:val="00C95F7D"/>
    <w:rsid w:val="00C96750"/>
    <w:rsid w:val="00C967B0"/>
    <w:rsid w:val="00C96E93"/>
    <w:rsid w:val="00C9785E"/>
    <w:rsid w:val="00C97E0D"/>
    <w:rsid w:val="00CA059D"/>
    <w:rsid w:val="00CA063E"/>
    <w:rsid w:val="00CA0A45"/>
    <w:rsid w:val="00CA0DBE"/>
    <w:rsid w:val="00CA13DE"/>
    <w:rsid w:val="00CA2D2B"/>
    <w:rsid w:val="00CA3004"/>
    <w:rsid w:val="00CA3B58"/>
    <w:rsid w:val="00CA3CC2"/>
    <w:rsid w:val="00CA4158"/>
    <w:rsid w:val="00CA4736"/>
    <w:rsid w:val="00CA4AD3"/>
    <w:rsid w:val="00CA4F8E"/>
    <w:rsid w:val="00CA5924"/>
    <w:rsid w:val="00CA5DA7"/>
    <w:rsid w:val="00CA60F5"/>
    <w:rsid w:val="00CA6106"/>
    <w:rsid w:val="00CA61E0"/>
    <w:rsid w:val="00CA6454"/>
    <w:rsid w:val="00CA6647"/>
    <w:rsid w:val="00CA6971"/>
    <w:rsid w:val="00CA6FB1"/>
    <w:rsid w:val="00CA7156"/>
    <w:rsid w:val="00CA732B"/>
    <w:rsid w:val="00CA7590"/>
    <w:rsid w:val="00CB025C"/>
    <w:rsid w:val="00CB03F5"/>
    <w:rsid w:val="00CB0E0B"/>
    <w:rsid w:val="00CB163F"/>
    <w:rsid w:val="00CB1ECC"/>
    <w:rsid w:val="00CB2075"/>
    <w:rsid w:val="00CB27E1"/>
    <w:rsid w:val="00CB299A"/>
    <w:rsid w:val="00CB310C"/>
    <w:rsid w:val="00CB3204"/>
    <w:rsid w:val="00CB566A"/>
    <w:rsid w:val="00CB6A4F"/>
    <w:rsid w:val="00CB6A85"/>
    <w:rsid w:val="00CB7128"/>
    <w:rsid w:val="00CC0882"/>
    <w:rsid w:val="00CC0AD3"/>
    <w:rsid w:val="00CC0CE8"/>
    <w:rsid w:val="00CC35F7"/>
    <w:rsid w:val="00CC3EE5"/>
    <w:rsid w:val="00CC50FA"/>
    <w:rsid w:val="00CC51D0"/>
    <w:rsid w:val="00CC710E"/>
    <w:rsid w:val="00CC7E87"/>
    <w:rsid w:val="00CD11BF"/>
    <w:rsid w:val="00CD1B4D"/>
    <w:rsid w:val="00CD2619"/>
    <w:rsid w:val="00CD2F70"/>
    <w:rsid w:val="00CD3855"/>
    <w:rsid w:val="00CD3BDC"/>
    <w:rsid w:val="00CD3FF3"/>
    <w:rsid w:val="00CD40F9"/>
    <w:rsid w:val="00CD455B"/>
    <w:rsid w:val="00CD5116"/>
    <w:rsid w:val="00CD51CF"/>
    <w:rsid w:val="00CD594A"/>
    <w:rsid w:val="00CD6680"/>
    <w:rsid w:val="00CD78BF"/>
    <w:rsid w:val="00CD7C72"/>
    <w:rsid w:val="00CE0C0D"/>
    <w:rsid w:val="00CE14A0"/>
    <w:rsid w:val="00CE1938"/>
    <w:rsid w:val="00CE289A"/>
    <w:rsid w:val="00CE2A03"/>
    <w:rsid w:val="00CE3C6F"/>
    <w:rsid w:val="00CE3DF1"/>
    <w:rsid w:val="00CE3E0F"/>
    <w:rsid w:val="00CE3EC8"/>
    <w:rsid w:val="00CE446B"/>
    <w:rsid w:val="00CE4E14"/>
    <w:rsid w:val="00CE4F20"/>
    <w:rsid w:val="00CE5744"/>
    <w:rsid w:val="00CE5C3E"/>
    <w:rsid w:val="00CE60CC"/>
    <w:rsid w:val="00CE6252"/>
    <w:rsid w:val="00CE67CA"/>
    <w:rsid w:val="00CE6827"/>
    <w:rsid w:val="00CE68A7"/>
    <w:rsid w:val="00CE69CA"/>
    <w:rsid w:val="00CE6D29"/>
    <w:rsid w:val="00CF0312"/>
    <w:rsid w:val="00CF0563"/>
    <w:rsid w:val="00CF0B77"/>
    <w:rsid w:val="00CF0BDD"/>
    <w:rsid w:val="00CF1264"/>
    <w:rsid w:val="00CF12DA"/>
    <w:rsid w:val="00CF1849"/>
    <w:rsid w:val="00CF2631"/>
    <w:rsid w:val="00CF28C2"/>
    <w:rsid w:val="00CF2ABE"/>
    <w:rsid w:val="00CF3C11"/>
    <w:rsid w:val="00CF3C95"/>
    <w:rsid w:val="00CF4909"/>
    <w:rsid w:val="00CF4C3B"/>
    <w:rsid w:val="00CF4EA6"/>
    <w:rsid w:val="00CF55BF"/>
    <w:rsid w:val="00CF586E"/>
    <w:rsid w:val="00CF590B"/>
    <w:rsid w:val="00CF65F1"/>
    <w:rsid w:val="00CF6DC1"/>
    <w:rsid w:val="00CF7A21"/>
    <w:rsid w:val="00CF7CD9"/>
    <w:rsid w:val="00CF7ECC"/>
    <w:rsid w:val="00D00886"/>
    <w:rsid w:val="00D0145B"/>
    <w:rsid w:val="00D01627"/>
    <w:rsid w:val="00D016C6"/>
    <w:rsid w:val="00D017AD"/>
    <w:rsid w:val="00D02DD0"/>
    <w:rsid w:val="00D031C9"/>
    <w:rsid w:val="00D04096"/>
    <w:rsid w:val="00D0411B"/>
    <w:rsid w:val="00D041BF"/>
    <w:rsid w:val="00D05ABD"/>
    <w:rsid w:val="00D071F4"/>
    <w:rsid w:val="00D07851"/>
    <w:rsid w:val="00D07AC1"/>
    <w:rsid w:val="00D109E1"/>
    <w:rsid w:val="00D10F2A"/>
    <w:rsid w:val="00D11177"/>
    <w:rsid w:val="00D11378"/>
    <w:rsid w:val="00D11571"/>
    <w:rsid w:val="00D116B0"/>
    <w:rsid w:val="00D11942"/>
    <w:rsid w:val="00D12D95"/>
    <w:rsid w:val="00D13486"/>
    <w:rsid w:val="00D13A6B"/>
    <w:rsid w:val="00D144E5"/>
    <w:rsid w:val="00D145D8"/>
    <w:rsid w:val="00D14A7D"/>
    <w:rsid w:val="00D14B5E"/>
    <w:rsid w:val="00D15A37"/>
    <w:rsid w:val="00D16A70"/>
    <w:rsid w:val="00D16C82"/>
    <w:rsid w:val="00D16C95"/>
    <w:rsid w:val="00D16E91"/>
    <w:rsid w:val="00D17444"/>
    <w:rsid w:val="00D17D53"/>
    <w:rsid w:val="00D2046E"/>
    <w:rsid w:val="00D217EE"/>
    <w:rsid w:val="00D22F2C"/>
    <w:rsid w:val="00D23C40"/>
    <w:rsid w:val="00D24262"/>
    <w:rsid w:val="00D24293"/>
    <w:rsid w:val="00D24BDC"/>
    <w:rsid w:val="00D24F07"/>
    <w:rsid w:val="00D25044"/>
    <w:rsid w:val="00D2595B"/>
    <w:rsid w:val="00D26170"/>
    <w:rsid w:val="00D2657C"/>
    <w:rsid w:val="00D26622"/>
    <w:rsid w:val="00D26C5A"/>
    <w:rsid w:val="00D270A9"/>
    <w:rsid w:val="00D277EE"/>
    <w:rsid w:val="00D27C94"/>
    <w:rsid w:val="00D27CF2"/>
    <w:rsid w:val="00D30319"/>
    <w:rsid w:val="00D30979"/>
    <w:rsid w:val="00D309D8"/>
    <w:rsid w:val="00D327FD"/>
    <w:rsid w:val="00D338E0"/>
    <w:rsid w:val="00D3405A"/>
    <w:rsid w:val="00D34BF8"/>
    <w:rsid w:val="00D356C8"/>
    <w:rsid w:val="00D359B3"/>
    <w:rsid w:val="00D35B54"/>
    <w:rsid w:val="00D36F45"/>
    <w:rsid w:val="00D36FBD"/>
    <w:rsid w:val="00D37352"/>
    <w:rsid w:val="00D37477"/>
    <w:rsid w:val="00D375F4"/>
    <w:rsid w:val="00D37C7A"/>
    <w:rsid w:val="00D4045D"/>
    <w:rsid w:val="00D40DB6"/>
    <w:rsid w:val="00D41023"/>
    <w:rsid w:val="00D41080"/>
    <w:rsid w:val="00D416E2"/>
    <w:rsid w:val="00D431AF"/>
    <w:rsid w:val="00D4374E"/>
    <w:rsid w:val="00D43E55"/>
    <w:rsid w:val="00D44147"/>
    <w:rsid w:val="00D441FF"/>
    <w:rsid w:val="00D4458B"/>
    <w:rsid w:val="00D44A26"/>
    <w:rsid w:val="00D44B5F"/>
    <w:rsid w:val="00D44BB9"/>
    <w:rsid w:val="00D44C86"/>
    <w:rsid w:val="00D459A4"/>
    <w:rsid w:val="00D46458"/>
    <w:rsid w:val="00D46915"/>
    <w:rsid w:val="00D46B7B"/>
    <w:rsid w:val="00D4704C"/>
    <w:rsid w:val="00D472F9"/>
    <w:rsid w:val="00D47329"/>
    <w:rsid w:val="00D475DE"/>
    <w:rsid w:val="00D4788D"/>
    <w:rsid w:val="00D478E0"/>
    <w:rsid w:val="00D47E72"/>
    <w:rsid w:val="00D502AD"/>
    <w:rsid w:val="00D505AB"/>
    <w:rsid w:val="00D50CC7"/>
    <w:rsid w:val="00D50E63"/>
    <w:rsid w:val="00D516B8"/>
    <w:rsid w:val="00D51CA3"/>
    <w:rsid w:val="00D52046"/>
    <w:rsid w:val="00D522A9"/>
    <w:rsid w:val="00D52543"/>
    <w:rsid w:val="00D52CFD"/>
    <w:rsid w:val="00D53905"/>
    <w:rsid w:val="00D544BD"/>
    <w:rsid w:val="00D549C2"/>
    <w:rsid w:val="00D54A4D"/>
    <w:rsid w:val="00D55081"/>
    <w:rsid w:val="00D554A1"/>
    <w:rsid w:val="00D55DAB"/>
    <w:rsid w:val="00D55F21"/>
    <w:rsid w:val="00D563AA"/>
    <w:rsid w:val="00D570B8"/>
    <w:rsid w:val="00D5716E"/>
    <w:rsid w:val="00D57195"/>
    <w:rsid w:val="00D57D07"/>
    <w:rsid w:val="00D6040D"/>
    <w:rsid w:val="00D60DC7"/>
    <w:rsid w:val="00D60E16"/>
    <w:rsid w:val="00D61233"/>
    <w:rsid w:val="00D617D1"/>
    <w:rsid w:val="00D62A82"/>
    <w:rsid w:val="00D6315C"/>
    <w:rsid w:val="00D6362D"/>
    <w:rsid w:val="00D639D2"/>
    <w:rsid w:val="00D63A88"/>
    <w:rsid w:val="00D63B20"/>
    <w:rsid w:val="00D63CBE"/>
    <w:rsid w:val="00D63CF8"/>
    <w:rsid w:val="00D64212"/>
    <w:rsid w:val="00D6429C"/>
    <w:rsid w:val="00D6477D"/>
    <w:rsid w:val="00D658E5"/>
    <w:rsid w:val="00D65AEE"/>
    <w:rsid w:val="00D6650A"/>
    <w:rsid w:val="00D67008"/>
    <w:rsid w:val="00D67BE5"/>
    <w:rsid w:val="00D70129"/>
    <w:rsid w:val="00D70135"/>
    <w:rsid w:val="00D707D1"/>
    <w:rsid w:val="00D71A90"/>
    <w:rsid w:val="00D72D10"/>
    <w:rsid w:val="00D73BD5"/>
    <w:rsid w:val="00D73BE6"/>
    <w:rsid w:val="00D73C7C"/>
    <w:rsid w:val="00D746A8"/>
    <w:rsid w:val="00D74DDD"/>
    <w:rsid w:val="00D756BD"/>
    <w:rsid w:val="00D763E5"/>
    <w:rsid w:val="00D767B5"/>
    <w:rsid w:val="00D76D9A"/>
    <w:rsid w:val="00D77367"/>
    <w:rsid w:val="00D801CB"/>
    <w:rsid w:val="00D809A2"/>
    <w:rsid w:val="00D81CBF"/>
    <w:rsid w:val="00D8219A"/>
    <w:rsid w:val="00D837B3"/>
    <w:rsid w:val="00D85479"/>
    <w:rsid w:val="00D8567E"/>
    <w:rsid w:val="00D85761"/>
    <w:rsid w:val="00D85AD2"/>
    <w:rsid w:val="00D85DB9"/>
    <w:rsid w:val="00D85F40"/>
    <w:rsid w:val="00D85FD0"/>
    <w:rsid w:val="00D86762"/>
    <w:rsid w:val="00D867E9"/>
    <w:rsid w:val="00D87ACB"/>
    <w:rsid w:val="00D87EF3"/>
    <w:rsid w:val="00D9040A"/>
    <w:rsid w:val="00D90A25"/>
    <w:rsid w:val="00D91044"/>
    <w:rsid w:val="00D911D0"/>
    <w:rsid w:val="00D91B67"/>
    <w:rsid w:val="00D91D05"/>
    <w:rsid w:val="00D93BD4"/>
    <w:rsid w:val="00D93ED6"/>
    <w:rsid w:val="00D94572"/>
    <w:rsid w:val="00D94DD4"/>
    <w:rsid w:val="00D95463"/>
    <w:rsid w:val="00D95798"/>
    <w:rsid w:val="00D9638C"/>
    <w:rsid w:val="00D96BE4"/>
    <w:rsid w:val="00D96F90"/>
    <w:rsid w:val="00D97097"/>
    <w:rsid w:val="00D9760F"/>
    <w:rsid w:val="00D97815"/>
    <w:rsid w:val="00D97ECE"/>
    <w:rsid w:val="00DA1257"/>
    <w:rsid w:val="00DA1719"/>
    <w:rsid w:val="00DA2EF1"/>
    <w:rsid w:val="00DA32C6"/>
    <w:rsid w:val="00DA33E6"/>
    <w:rsid w:val="00DA3ACF"/>
    <w:rsid w:val="00DA3FB8"/>
    <w:rsid w:val="00DA50EE"/>
    <w:rsid w:val="00DA5A63"/>
    <w:rsid w:val="00DA5BE2"/>
    <w:rsid w:val="00DA5C5B"/>
    <w:rsid w:val="00DA5F0E"/>
    <w:rsid w:val="00DA605A"/>
    <w:rsid w:val="00DA639E"/>
    <w:rsid w:val="00DA6D28"/>
    <w:rsid w:val="00DA71F3"/>
    <w:rsid w:val="00DA757A"/>
    <w:rsid w:val="00DA7A0A"/>
    <w:rsid w:val="00DA7ABA"/>
    <w:rsid w:val="00DA7DEC"/>
    <w:rsid w:val="00DA7EAF"/>
    <w:rsid w:val="00DB013A"/>
    <w:rsid w:val="00DB057E"/>
    <w:rsid w:val="00DB0F43"/>
    <w:rsid w:val="00DB139A"/>
    <w:rsid w:val="00DB140A"/>
    <w:rsid w:val="00DB1493"/>
    <w:rsid w:val="00DB15C5"/>
    <w:rsid w:val="00DB1BF3"/>
    <w:rsid w:val="00DB27F3"/>
    <w:rsid w:val="00DB2D52"/>
    <w:rsid w:val="00DB2ED3"/>
    <w:rsid w:val="00DB3BF7"/>
    <w:rsid w:val="00DB3D4B"/>
    <w:rsid w:val="00DB5157"/>
    <w:rsid w:val="00DB5875"/>
    <w:rsid w:val="00DB5BF8"/>
    <w:rsid w:val="00DB62A1"/>
    <w:rsid w:val="00DB65B1"/>
    <w:rsid w:val="00DB6810"/>
    <w:rsid w:val="00DB7460"/>
    <w:rsid w:val="00DC0316"/>
    <w:rsid w:val="00DC0975"/>
    <w:rsid w:val="00DC0FCA"/>
    <w:rsid w:val="00DC2C6C"/>
    <w:rsid w:val="00DC2DAB"/>
    <w:rsid w:val="00DC4755"/>
    <w:rsid w:val="00DC4B03"/>
    <w:rsid w:val="00DC5229"/>
    <w:rsid w:val="00DC5D30"/>
    <w:rsid w:val="00DC6795"/>
    <w:rsid w:val="00DC67D6"/>
    <w:rsid w:val="00DC704B"/>
    <w:rsid w:val="00DC705A"/>
    <w:rsid w:val="00DC708E"/>
    <w:rsid w:val="00DC72FD"/>
    <w:rsid w:val="00DD0012"/>
    <w:rsid w:val="00DD0EB7"/>
    <w:rsid w:val="00DD0F8A"/>
    <w:rsid w:val="00DD2749"/>
    <w:rsid w:val="00DD2E6F"/>
    <w:rsid w:val="00DD2EBF"/>
    <w:rsid w:val="00DD351A"/>
    <w:rsid w:val="00DD3C43"/>
    <w:rsid w:val="00DD3D42"/>
    <w:rsid w:val="00DD3DAB"/>
    <w:rsid w:val="00DD42DD"/>
    <w:rsid w:val="00DD4B9E"/>
    <w:rsid w:val="00DD543F"/>
    <w:rsid w:val="00DD5B81"/>
    <w:rsid w:val="00DD5F2F"/>
    <w:rsid w:val="00DE002C"/>
    <w:rsid w:val="00DE028F"/>
    <w:rsid w:val="00DE041D"/>
    <w:rsid w:val="00DE069D"/>
    <w:rsid w:val="00DE0A14"/>
    <w:rsid w:val="00DE0C4B"/>
    <w:rsid w:val="00DE0E81"/>
    <w:rsid w:val="00DE16E1"/>
    <w:rsid w:val="00DE2718"/>
    <w:rsid w:val="00DE28AE"/>
    <w:rsid w:val="00DE28B3"/>
    <w:rsid w:val="00DE32C0"/>
    <w:rsid w:val="00DE3758"/>
    <w:rsid w:val="00DE4121"/>
    <w:rsid w:val="00DE513A"/>
    <w:rsid w:val="00DE5C50"/>
    <w:rsid w:val="00DE5D0C"/>
    <w:rsid w:val="00DE60F6"/>
    <w:rsid w:val="00DE613E"/>
    <w:rsid w:val="00DE6318"/>
    <w:rsid w:val="00DE6C3C"/>
    <w:rsid w:val="00DF083B"/>
    <w:rsid w:val="00DF0C33"/>
    <w:rsid w:val="00DF0DD2"/>
    <w:rsid w:val="00DF1946"/>
    <w:rsid w:val="00DF31DC"/>
    <w:rsid w:val="00DF36F2"/>
    <w:rsid w:val="00DF3EF0"/>
    <w:rsid w:val="00DF3FBC"/>
    <w:rsid w:val="00DF576E"/>
    <w:rsid w:val="00DF5DC8"/>
    <w:rsid w:val="00DF61D4"/>
    <w:rsid w:val="00DF68B5"/>
    <w:rsid w:val="00DF6EA3"/>
    <w:rsid w:val="00DF7587"/>
    <w:rsid w:val="00DF75A6"/>
    <w:rsid w:val="00DF7808"/>
    <w:rsid w:val="00DF78EF"/>
    <w:rsid w:val="00DF7C11"/>
    <w:rsid w:val="00DF7CF3"/>
    <w:rsid w:val="00E001AE"/>
    <w:rsid w:val="00E001C9"/>
    <w:rsid w:val="00E00EE9"/>
    <w:rsid w:val="00E0112B"/>
    <w:rsid w:val="00E01C88"/>
    <w:rsid w:val="00E022AC"/>
    <w:rsid w:val="00E0251E"/>
    <w:rsid w:val="00E02748"/>
    <w:rsid w:val="00E0282B"/>
    <w:rsid w:val="00E028FF"/>
    <w:rsid w:val="00E02CF8"/>
    <w:rsid w:val="00E02E0F"/>
    <w:rsid w:val="00E02F1B"/>
    <w:rsid w:val="00E02F4B"/>
    <w:rsid w:val="00E03AD4"/>
    <w:rsid w:val="00E0455E"/>
    <w:rsid w:val="00E04D99"/>
    <w:rsid w:val="00E0546A"/>
    <w:rsid w:val="00E058EE"/>
    <w:rsid w:val="00E05A80"/>
    <w:rsid w:val="00E06147"/>
    <w:rsid w:val="00E0692D"/>
    <w:rsid w:val="00E0741F"/>
    <w:rsid w:val="00E07466"/>
    <w:rsid w:val="00E076BF"/>
    <w:rsid w:val="00E076EB"/>
    <w:rsid w:val="00E0782D"/>
    <w:rsid w:val="00E07992"/>
    <w:rsid w:val="00E07A80"/>
    <w:rsid w:val="00E10F3F"/>
    <w:rsid w:val="00E10F41"/>
    <w:rsid w:val="00E11A46"/>
    <w:rsid w:val="00E1297E"/>
    <w:rsid w:val="00E131D2"/>
    <w:rsid w:val="00E1320F"/>
    <w:rsid w:val="00E13ADA"/>
    <w:rsid w:val="00E13E9A"/>
    <w:rsid w:val="00E1481C"/>
    <w:rsid w:val="00E164E8"/>
    <w:rsid w:val="00E17452"/>
    <w:rsid w:val="00E17808"/>
    <w:rsid w:val="00E17BAD"/>
    <w:rsid w:val="00E2007E"/>
    <w:rsid w:val="00E207F0"/>
    <w:rsid w:val="00E20885"/>
    <w:rsid w:val="00E208EF"/>
    <w:rsid w:val="00E20B0E"/>
    <w:rsid w:val="00E21CED"/>
    <w:rsid w:val="00E22418"/>
    <w:rsid w:val="00E238B7"/>
    <w:rsid w:val="00E23E9F"/>
    <w:rsid w:val="00E240AB"/>
    <w:rsid w:val="00E24A54"/>
    <w:rsid w:val="00E25557"/>
    <w:rsid w:val="00E26184"/>
    <w:rsid w:val="00E264A7"/>
    <w:rsid w:val="00E26635"/>
    <w:rsid w:val="00E267CD"/>
    <w:rsid w:val="00E26BDB"/>
    <w:rsid w:val="00E26F55"/>
    <w:rsid w:val="00E2721F"/>
    <w:rsid w:val="00E274BE"/>
    <w:rsid w:val="00E27F27"/>
    <w:rsid w:val="00E3070B"/>
    <w:rsid w:val="00E30771"/>
    <w:rsid w:val="00E30C5C"/>
    <w:rsid w:val="00E310B7"/>
    <w:rsid w:val="00E31FBD"/>
    <w:rsid w:val="00E3248B"/>
    <w:rsid w:val="00E330D7"/>
    <w:rsid w:val="00E3322F"/>
    <w:rsid w:val="00E33D60"/>
    <w:rsid w:val="00E33F05"/>
    <w:rsid w:val="00E34329"/>
    <w:rsid w:val="00E35555"/>
    <w:rsid w:val="00E364F7"/>
    <w:rsid w:val="00E3689A"/>
    <w:rsid w:val="00E36915"/>
    <w:rsid w:val="00E36C3C"/>
    <w:rsid w:val="00E36EBE"/>
    <w:rsid w:val="00E37263"/>
    <w:rsid w:val="00E37391"/>
    <w:rsid w:val="00E40353"/>
    <w:rsid w:val="00E403A8"/>
    <w:rsid w:val="00E40581"/>
    <w:rsid w:val="00E40677"/>
    <w:rsid w:val="00E411A3"/>
    <w:rsid w:val="00E41AB0"/>
    <w:rsid w:val="00E42044"/>
    <w:rsid w:val="00E42F7A"/>
    <w:rsid w:val="00E4304F"/>
    <w:rsid w:val="00E43292"/>
    <w:rsid w:val="00E43729"/>
    <w:rsid w:val="00E43908"/>
    <w:rsid w:val="00E44249"/>
    <w:rsid w:val="00E44D40"/>
    <w:rsid w:val="00E44E07"/>
    <w:rsid w:val="00E451EF"/>
    <w:rsid w:val="00E457C7"/>
    <w:rsid w:val="00E458AC"/>
    <w:rsid w:val="00E45E95"/>
    <w:rsid w:val="00E464D5"/>
    <w:rsid w:val="00E46846"/>
    <w:rsid w:val="00E4690C"/>
    <w:rsid w:val="00E46ED2"/>
    <w:rsid w:val="00E47B99"/>
    <w:rsid w:val="00E47C04"/>
    <w:rsid w:val="00E47CC4"/>
    <w:rsid w:val="00E5003C"/>
    <w:rsid w:val="00E5056E"/>
    <w:rsid w:val="00E51175"/>
    <w:rsid w:val="00E51464"/>
    <w:rsid w:val="00E5152A"/>
    <w:rsid w:val="00E516DD"/>
    <w:rsid w:val="00E51D6A"/>
    <w:rsid w:val="00E51E41"/>
    <w:rsid w:val="00E52151"/>
    <w:rsid w:val="00E525BD"/>
    <w:rsid w:val="00E53381"/>
    <w:rsid w:val="00E5415A"/>
    <w:rsid w:val="00E55EE4"/>
    <w:rsid w:val="00E56B0D"/>
    <w:rsid w:val="00E56D61"/>
    <w:rsid w:val="00E57251"/>
    <w:rsid w:val="00E57B02"/>
    <w:rsid w:val="00E60569"/>
    <w:rsid w:val="00E60732"/>
    <w:rsid w:val="00E60F54"/>
    <w:rsid w:val="00E60FD6"/>
    <w:rsid w:val="00E61AAD"/>
    <w:rsid w:val="00E61BB3"/>
    <w:rsid w:val="00E6208E"/>
    <w:rsid w:val="00E6298A"/>
    <w:rsid w:val="00E63A9E"/>
    <w:rsid w:val="00E63C5A"/>
    <w:rsid w:val="00E6417E"/>
    <w:rsid w:val="00E646B5"/>
    <w:rsid w:val="00E6509B"/>
    <w:rsid w:val="00E65DBE"/>
    <w:rsid w:val="00E66645"/>
    <w:rsid w:val="00E6689C"/>
    <w:rsid w:val="00E669F8"/>
    <w:rsid w:val="00E66D30"/>
    <w:rsid w:val="00E67110"/>
    <w:rsid w:val="00E67789"/>
    <w:rsid w:val="00E67A6B"/>
    <w:rsid w:val="00E67A76"/>
    <w:rsid w:val="00E7079E"/>
    <w:rsid w:val="00E7117F"/>
    <w:rsid w:val="00E724EE"/>
    <w:rsid w:val="00E72BB2"/>
    <w:rsid w:val="00E7314D"/>
    <w:rsid w:val="00E7365C"/>
    <w:rsid w:val="00E7389C"/>
    <w:rsid w:val="00E74686"/>
    <w:rsid w:val="00E74B90"/>
    <w:rsid w:val="00E7698D"/>
    <w:rsid w:val="00E76AD3"/>
    <w:rsid w:val="00E76E38"/>
    <w:rsid w:val="00E77637"/>
    <w:rsid w:val="00E816C9"/>
    <w:rsid w:val="00E81AA4"/>
    <w:rsid w:val="00E81D00"/>
    <w:rsid w:val="00E81F21"/>
    <w:rsid w:val="00E826BD"/>
    <w:rsid w:val="00E8288A"/>
    <w:rsid w:val="00E82F2C"/>
    <w:rsid w:val="00E831DB"/>
    <w:rsid w:val="00E836D0"/>
    <w:rsid w:val="00E84212"/>
    <w:rsid w:val="00E8495C"/>
    <w:rsid w:val="00E84B6D"/>
    <w:rsid w:val="00E85410"/>
    <w:rsid w:val="00E85814"/>
    <w:rsid w:val="00E85B22"/>
    <w:rsid w:val="00E8702E"/>
    <w:rsid w:val="00E87A66"/>
    <w:rsid w:val="00E9015F"/>
    <w:rsid w:val="00E90719"/>
    <w:rsid w:val="00E918A8"/>
    <w:rsid w:val="00E920F5"/>
    <w:rsid w:val="00E92B57"/>
    <w:rsid w:val="00E92CE4"/>
    <w:rsid w:val="00E934AA"/>
    <w:rsid w:val="00E93538"/>
    <w:rsid w:val="00E9380C"/>
    <w:rsid w:val="00E93ACC"/>
    <w:rsid w:val="00E93C1A"/>
    <w:rsid w:val="00E93EE4"/>
    <w:rsid w:val="00E9562F"/>
    <w:rsid w:val="00E956D5"/>
    <w:rsid w:val="00E957D4"/>
    <w:rsid w:val="00E95D07"/>
    <w:rsid w:val="00E9604B"/>
    <w:rsid w:val="00E9636B"/>
    <w:rsid w:val="00E96D57"/>
    <w:rsid w:val="00E9788D"/>
    <w:rsid w:val="00E97CA2"/>
    <w:rsid w:val="00EA057A"/>
    <w:rsid w:val="00EA0EA2"/>
    <w:rsid w:val="00EA132D"/>
    <w:rsid w:val="00EA1409"/>
    <w:rsid w:val="00EA1432"/>
    <w:rsid w:val="00EA1523"/>
    <w:rsid w:val="00EA1BAF"/>
    <w:rsid w:val="00EA1DB9"/>
    <w:rsid w:val="00EA22D5"/>
    <w:rsid w:val="00EA413E"/>
    <w:rsid w:val="00EA51F7"/>
    <w:rsid w:val="00EA5231"/>
    <w:rsid w:val="00EA545B"/>
    <w:rsid w:val="00EA5A48"/>
    <w:rsid w:val="00EA5DEA"/>
    <w:rsid w:val="00EA641C"/>
    <w:rsid w:val="00EA6FF1"/>
    <w:rsid w:val="00EA7243"/>
    <w:rsid w:val="00EA7E20"/>
    <w:rsid w:val="00EB0BB1"/>
    <w:rsid w:val="00EB12BE"/>
    <w:rsid w:val="00EB1B48"/>
    <w:rsid w:val="00EB1CCC"/>
    <w:rsid w:val="00EB21EB"/>
    <w:rsid w:val="00EB2459"/>
    <w:rsid w:val="00EB298F"/>
    <w:rsid w:val="00EB2A73"/>
    <w:rsid w:val="00EB39AD"/>
    <w:rsid w:val="00EB4695"/>
    <w:rsid w:val="00EB52CC"/>
    <w:rsid w:val="00EB5FA7"/>
    <w:rsid w:val="00EB60A0"/>
    <w:rsid w:val="00EB7163"/>
    <w:rsid w:val="00EB74F3"/>
    <w:rsid w:val="00EB7AA7"/>
    <w:rsid w:val="00EB7CA2"/>
    <w:rsid w:val="00EB7E54"/>
    <w:rsid w:val="00EC07A8"/>
    <w:rsid w:val="00EC0EEB"/>
    <w:rsid w:val="00EC1323"/>
    <w:rsid w:val="00EC163C"/>
    <w:rsid w:val="00EC22D3"/>
    <w:rsid w:val="00EC2AFB"/>
    <w:rsid w:val="00EC33F5"/>
    <w:rsid w:val="00EC3BD8"/>
    <w:rsid w:val="00EC3CE2"/>
    <w:rsid w:val="00EC4367"/>
    <w:rsid w:val="00EC4435"/>
    <w:rsid w:val="00EC4A72"/>
    <w:rsid w:val="00EC6B6D"/>
    <w:rsid w:val="00EC6FC2"/>
    <w:rsid w:val="00EC7F7F"/>
    <w:rsid w:val="00ED01F7"/>
    <w:rsid w:val="00ED1739"/>
    <w:rsid w:val="00ED2BF7"/>
    <w:rsid w:val="00ED2D7E"/>
    <w:rsid w:val="00ED3409"/>
    <w:rsid w:val="00ED347F"/>
    <w:rsid w:val="00ED3D30"/>
    <w:rsid w:val="00ED3F26"/>
    <w:rsid w:val="00ED42FC"/>
    <w:rsid w:val="00ED466C"/>
    <w:rsid w:val="00ED4C31"/>
    <w:rsid w:val="00ED4D81"/>
    <w:rsid w:val="00ED6E57"/>
    <w:rsid w:val="00ED71F0"/>
    <w:rsid w:val="00EE000C"/>
    <w:rsid w:val="00EE006E"/>
    <w:rsid w:val="00EE0756"/>
    <w:rsid w:val="00EE0D4B"/>
    <w:rsid w:val="00EE0DD2"/>
    <w:rsid w:val="00EE22CC"/>
    <w:rsid w:val="00EE242D"/>
    <w:rsid w:val="00EE29F8"/>
    <w:rsid w:val="00EE2EFC"/>
    <w:rsid w:val="00EE356C"/>
    <w:rsid w:val="00EE3E67"/>
    <w:rsid w:val="00EE4896"/>
    <w:rsid w:val="00EE4981"/>
    <w:rsid w:val="00EE49F8"/>
    <w:rsid w:val="00EE4EC7"/>
    <w:rsid w:val="00EE4FBC"/>
    <w:rsid w:val="00EE5168"/>
    <w:rsid w:val="00EE55DE"/>
    <w:rsid w:val="00EE5777"/>
    <w:rsid w:val="00EE61F7"/>
    <w:rsid w:val="00EE6C8F"/>
    <w:rsid w:val="00EE6E93"/>
    <w:rsid w:val="00EE778E"/>
    <w:rsid w:val="00EE78BC"/>
    <w:rsid w:val="00EE7F95"/>
    <w:rsid w:val="00EF0019"/>
    <w:rsid w:val="00EF043F"/>
    <w:rsid w:val="00EF079C"/>
    <w:rsid w:val="00EF25A7"/>
    <w:rsid w:val="00EF342D"/>
    <w:rsid w:val="00EF3D5A"/>
    <w:rsid w:val="00EF3E01"/>
    <w:rsid w:val="00EF3F24"/>
    <w:rsid w:val="00EF4309"/>
    <w:rsid w:val="00EF4B48"/>
    <w:rsid w:val="00EF4C2E"/>
    <w:rsid w:val="00EF567E"/>
    <w:rsid w:val="00EF5A85"/>
    <w:rsid w:val="00EF65E6"/>
    <w:rsid w:val="00EF667D"/>
    <w:rsid w:val="00EF68DA"/>
    <w:rsid w:val="00EF6AD3"/>
    <w:rsid w:val="00EF750D"/>
    <w:rsid w:val="00F01634"/>
    <w:rsid w:val="00F01B5F"/>
    <w:rsid w:val="00F01C40"/>
    <w:rsid w:val="00F020D9"/>
    <w:rsid w:val="00F0233E"/>
    <w:rsid w:val="00F0256D"/>
    <w:rsid w:val="00F03EB4"/>
    <w:rsid w:val="00F03F0D"/>
    <w:rsid w:val="00F04220"/>
    <w:rsid w:val="00F04351"/>
    <w:rsid w:val="00F04C95"/>
    <w:rsid w:val="00F05BCB"/>
    <w:rsid w:val="00F06949"/>
    <w:rsid w:val="00F07D55"/>
    <w:rsid w:val="00F07F7E"/>
    <w:rsid w:val="00F10B50"/>
    <w:rsid w:val="00F111D1"/>
    <w:rsid w:val="00F11A8A"/>
    <w:rsid w:val="00F13DE7"/>
    <w:rsid w:val="00F1521F"/>
    <w:rsid w:val="00F15E23"/>
    <w:rsid w:val="00F1614A"/>
    <w:rsid w:val="00F16415"/>
    <w:rsid w:val="00F16E7A"/>
    <w:rsid w:val="00F174D9"/>
    <w:rsid w:val="00F177F4"/>
    <w:rsid w:val="00F17892"/>
    <w:rsid w:val="00F20E70"/>
    <w:rsid w:val="00F210C7"/>
    <w:rsid w:val="00F215A5"/>
    <w:rsid w:val="00F21B4C"/>
    <w:rsid w:val="00F21D86"/>
    <w:rsid w:val="00F222AA"/>
    <w:rsid w:val="00F227B4"/>
    <w:rsid w:val="00F24822"/>
    <w:rsid w:val="00F25389"/>
    <w:rsid w:val="00F25812"/>
    <w:rsid w:val="00F25AA7"/>
    <w:rsid w:val="00F25C02"/>
    <w:rsid w:val="00F2602A"/>
    <w:rsid w:val="00F26DA6"/>
    <w:rsid w:val="00F27232"/>
    <w:rsid w:val="00F27683"/>
    <w:rsid w:val="00F300CB"/>
    <w:rsid w:val="00F30C3B"/>
    <w:rsid w:val="00F3167E"/>
    <w:rsid w:val="00F31CCF"/>
    <w:rsid w:val="00F32B7D"/>
    <w:rsid w:val="00F32CF2"/>
    <w:rsid w:val="00F33E9F"/>
    <w:rsid w:val="00F34926"/>
    <w:rsid w:val="00F34EEF"/>
    <w:rsid w:val="00F368D9"/>
    <w:rsid w:val="00F3699C"/>
    <w:rsid w:val="00F37AA5"/>
    <w:rsid w:val="00F40055"/>
    <w:rsid w:val="00F40E75"/>
    <w:rsid w:val="00F41769"/>
    <w:rsid w:val="00F436EC"/>
    <w:rsid w:val="00F43D85"/>
    <w:rsid w:val="00F43DFC"/>
    <w:rsid w:val="00F4409F"/>
    <w:rsid w:val="00F44535"/>
    <w:rsid w:val="00F450B5"/>
    <w:rsid w:val="00F4568F"/>
    <w:rsid w:val="00F4634A"/>
    <w:rsid w:val="00F46A03"/>
    <w:rsid w:val="00F46A5F"/>
    <w:rsid w:val="00F46B9B"/>
    <w:rsid w:val="00F46EF0"/>
    <w:rsid w:val="00F4737A"/>
    <w:rsid w:val="00F4742C"/>
    <w:rsid w:val="00F474EA"/>
    <w:rsid w:val="00F477AA"/>
    <w:rsid w:val="00F47C4E"/>
    <w:rsid w:val="00F50460"/>
    <w:rsid w:val="00F504BC"/>
    <w:rsid w:val="00F511D9"/>
    <w:rsid w:val="00F5137E"/>
    <w:rsid w:val="00F5154F"/>
    <w:rsid w:val="00F529A7"/>
    <w:rsid w:val="00F52A25"/>
    <w:rsid w:val="00F52EA3"/>
    <w:rsid w:val="00F53EF0"/>
    <w:rsid w:val="00F54C94"/>
    <w:rsid w:val="00F54C9F"/>
    <w:rsid w:val="00F55074"/>
    <w:rsid w:val="00F55A8A"/>
    <w:rsid w:val="00F56067"/>
    <w:rsid w:val="00F5672B"/>
    <w:rsid w:val="00F5673A"/>
    <w:rsid w:val="00F570E4"/>
    <w:rsid w:val="00F57E4E"/>
    <w:rsid w:val="00F60424"/>
    <w:rsid w:val="00F620C7"/>
    <w:rsid w:val="00F62496"/>
    <w:rsid w:val="00F62612"/>
    <w:rsid w:val="00F62C29"/>
    <w:rsid w:val="00F6369C"/>
    <w:rsid w:val="00F63BB2"/>
    <w:rsid w:val="00F64A7A"/>
    <w:rsid w:val="00F64AD0"/>
    <w:rsid w:val="00F6507D"/>
    <w:rsid w:val="00F652A1"/>
    <w:rsid w:val="00F653F4"/>
    <w:rsid w:val="00F65A13"/>
    <w:rsid w:val="00F66554"/>
    <w:rsid w:val="00F66FE8"/>
    <w:rsid w:val="00F67186"/>
    <w:rsid w:val="00F675E7"/>
    <w:rsid w:val="00F67D55"/>
    <w:rsid w:val="00F7005B"/>
    <w:rsid w:val="00F70632"/>
    <w:rsid w:val="00F708AD"/>
    <w:rsid w:val="00F70B09"/>
    <w:rsid w:val="00F70BBA"/>
    <w:rsid w:val="00F72403"/>
    <w:rsid w:val="00F72848"/>
    <w:rsid w:val="00F732ED"/>
    <w:rsid w:val="00F7338B"/>
    <w:rsid w:val="00F733F8"/>
    <w:rsid w:val="00F73FA8"/>
    <w:rsid w:val="00F755FF"/>
    <w:rsid w:val="00F75647"/>
    <w:rsid w:val="00F75937"/>
    <w:rsid w:val="00F75FE2"/>
    <w:rsid w:val="00F760BB"/>
    <w:rsid w:val="00F778AE"/>
    <w:rsid w:val="00F802DE"/>
    <w:rsid w:val="00F806CC"/>
    <w:rsid w:val="00F81447"/>
    <w:rsid w:val="00F81A99"/>
    <w:rsid w:val="00F8260E"/>
    <w:rsid w:val="00F82643"/>
    <w:rsid w:val="00F82676"/>
    <w:rsid w:val="00F828F9"/>
    <w:rsid w:val="00F8296E"/>
    <w:rsid w:val="00F84100"/>
    <w:rsid w:val="00F84AE5"/>
    <w:rsid w:val="00F84BF2"/>
    <w:rsid w:val="00F8537E"/>
    <w:rsid w:val="00F85617"/>
    <w:rsid w:val="00F85830"/>
    <w:rsid w:val="00F85B9C"/>
    <w:rsid w:val="00F85E3C"/>
    <w:rsid w:val="00F8617C"/>
    <w:rsid w:val="00F86692"/>
    <w:rsid w:val="00F86FA1"/>
    <w:rsid w:val="00F86FA4"/>
    <w:rsid w:val="00F87317"/>
    <w:rsid w:val="00F874C9"/>
    <w:rsid w:val="00F8772B"/>
    <w:rsid w:val="00F87CAC"/>
    <w:rsid w:val="00F91336"/>
    <w:rsid w:val="00F91AFF"/>
    <w:rsid w:val="00F92419"/>
    <w:rsid w:val="00F924A7"/>
    <w:rsid w:val="00F926BE"/>
    <w:rsid w:val="00F93738"/>
    <w:rsid w:val="00F93AA5"/>
    <w:rsid w:val="00F93C9A"/>
    <w:rsid w:val="00F93CBB"/>
    <w:rsid w:val="00F94140"/>
    <w:rsid w:val="00F942D8"/>
    <w:rsid w:val="00F94A41"/>
    <w:rsid w:val="00F95147"/>
    <w:rsid w:val="00F95A34"/>
    <w:rsid w:val="00F96040"/>
    <w:rsid w:val="00F960AB"/>
    <w:rsid w:val="00F961E5"/>
    <w:rsid w:val="00F962CC"/>
    <w:rsid w:val="00F96525"/>
    <w:rsid w:val="00F9655A"/>
    <w:rsid w:val="00F965E9"/>
    <w:rsid w:val="00F9695A"/>
    <w:rsid w:val="00FA0206"/>
    <w:rsid w:val="00FA0551"/>
    <w:rsid w:val="00FA0635"/>
    <w:rsid w:val="00FA0756"/>
    <w:rsid w:val="00FA0897"/>
    <w:rsid w:val="00FA0EC0"/>
    <w:rsid w:val="00FA0F32"/>
    <w:rsid w:val="00FA15C5"/>
    <w:rsid w:val="00FA1B29"/>
    <w:rsid w:val="00FA1ED6"/>
    <w:rsid w:val="00FA2593"/>
    <w:rsid w:val="00FA26BB"/>
    <w:rsid w:val="00FA298E"/>
    <w:rsid w:val="00FA29D5"/>
    <w:rsid w:val="00FA2FB6"/>
    <w:rsid w:val="00FA41B1"/>
    <w:rsid w:val="00FA4832"/>
    <w:rsid w:val="00FA48BC"/>
    <w:rsid w:val="00FA49B3"/>
    <w:rsid w:val="00FA5B67"/>
    <w:rsid w:val="00FB0435"/>
    <w:rsid w:val="00FB09AD"/>
    <w:rsid w:val="00FB1119"/>
    <w:rsid w:val="00FB13CF"/>
    <w:rsid w:val="00FB1949"/>
    <w:rsid w:val="00FB1954"/>
    <w:rsid w:val="00FB1B64"/>
    <w:rsid w:val="00FB1F31"/>
    <w:rsid w:val="00FB1FE5"/>
    <w:rsid w:val="00FB2CE6"/>
    <w:rsid w:val="00FB3AE0"/>
    <w:rsid w:val="00FB3C2C"/>
    <w:rsid w:val="00FB414C"/>
    <w:rsid w:val="00FB4A69"/>
    <w:rsid w:val="00FB4BBB"/>
    <w:rsid w:val="00FB5F81"/>
    <w:rsid w:val="00FB60BD"/>
    <w:rsid w:val="00FB64F7"/>
    <w:rsid w:val="00FB6714"/>
    <w:rsid w:val="00FB68DD"/>
    <w:rsid w:val="00FB7840"/>
    <w:rsid w:val="00FC0A41"/>
    <w:rsid w:val="00FC0DAB"/>
    <w:rsid w:val="00FC1230"/>
    <w:rsid w:val="00FC132A"/>
    <w:rsid w:val="00FC137C"/>
    <w:rsid w:val="00FC1726"/>
    <w:rsid w:val="00FC1BF1"/>
    <w:rsid w:val="00FC24DE"/>
    <w:rsid w:val="00FC2992"/>
    <w:rsid w:val="00FC2BBB"/>
    <w:rsid w:val="00FC31EC"/>
    <w:rsid w:val="00FC32AF"/>
    <w:rsid w:val="00FC3E55"/>
    <w:rsid w:val="00FC41EE"/>
    <w:rsid w:val="00FC4960"/>
    <w:rsid w:val="00FC4997"/>
    <w:rsid w:val="00FC4AF5"/>
    <w:rsid w:val="00FC4C65"/>
    <w:rsid w:val="00FC5BC6"/>
    <w:rsid w:val="00FC5BEA"/>
    <w:rsid w:val="00FC5E52"/>
    <w:rsid w:val="00FC5EA2"/>
    <w:rsid w:val="00FC6712"/>
    <w:rsid w:val="00FC7D15"/>
    <w:rsid w:val="00FD0484"/>
    <w:rsid w:val="00FD1534"/>
    <w:rsid w:val="00FD16DE"/>
    <w:rsid w:val="00FD1E69"/>
    <w:rsid w:val="00FD25DE"/>
    <w:rsid w:val="00FD2B12"/>
    <w:rsid w:val="00FD32EE"/>
    <w:rsid w:val="00FD37B2"/>
    <w:rsid w:val="00FD38AD"/>
    <w:rsid w:val="00FD43A2"/>
    <w:rsid w:val="00FD4591"/>
    <w:rsid w:val="00FD4C34"/>
    <w:rsid w:val="00FD4DC8"/>
    <w:rsid w:val="00FD5035"/>
    <w:rsid w:val="00FD58F9"/>
    <w:rsid w:val="00FD6787"/>
    <w:rsid w:val="00FD7396"/>
    <w:rsid w:val="00FD7FEE"/>
    <w:rsid w:val="00FE01E5"/>
    <w:rsid w:val="00FE0884"/>
    <w:rsid w:val="00FE0CD4"/>
    <w:rsid w:val="00FE0E5A"/>
    <w:rsid w:val="00FE1BA2"/>
    <w:rsid w:val="00FE1DDA"/>
    <w:rsid w:val="00FE22A0"/>
    <w:rsid w:val="00FE282E"/>
    <w:rsid w:val="00FE3096"/>
    <w:rsid w:val="00FE31AF"/>
    <w:rsid w:val="00FE3851"/>
    <w:rsid w:val="00FE3B1E"/>
    <w:rsid w:val="00FE3CDA"/>
    <w:rsid w:val="00FE4D1C"/>
    <w:rsid w:val="00FE4F92"/>
    <w:rsid w:val="00FE51C4"/>
    <w:rsid w:val="00FE52E0"/>
    <w:rsid w:val="00FE551D"/>
    <w:rsid w:val="00FE56AF"/>
    <w:rsid w:val="00FE5A82"/>
    <w:rsid w:val="00FE5E3A"/>
    <w:rsid w:val="00FE5F8C"/>
    <w:rsid w:val="00FE6193"/>
    <w:rsid w:val="00FE74B3"/>
    <w:rsid w:val="00FF029C"/>
    <w:rsid w:val="00FF0767"/>
    <w:rsid w:val="00FF14A6"/>
    <w:rsid w:val="00FF182C"/>
    <w:rsid w:val="00FF1C04"/>
    <w:rsid w:val="00FF1EA2"/>
    <w:rsid w:val="00FF21F4"/>
    <w:rsid w:val="00FF28FB"/>
    <w:rsid w:val="00FF2AB1"/>
    <w:rsid w:val="00FF2B2C"/>
    <w:rsid w:val="00FF2E63"/>
    <w:rsid w:val="00FF3A35"/>
    <w:rsid w:val="00FF3E6C"/>
    <w:rsid w:val="00FF4C08"/>
    <w:rsid w:val="00FF50FB"/>
    <w:rsid w:val="00FF59EB"/>
    <w:rsid w:val="00FF5AB2"/>
    <w:rsid w:val="00FF6124"/>
    <w:rsid w:val="00FF6661"/>
    <w:rsid w:val="00FF6EA1"/>
    <w:rsid w:val="00FF7846"/>
    <w:rsid w:val="075869C4"/>
    <w:rsid w:val="0F46B247"/>
    <w:rsid w:val="10B20EDD"/>
    <w:rsid w:val="11330822"/>
    <w:rsid w:val="12B73925"/>
    <w:rsid w:val="1388B840"/>
    <w:rsid w:val="13D698D4"/>
    <w:rsid w:val="15ED4650"/>
    <w:rsid w:val="177B0269"/>
    <w:rsid w:val="1B00C0CC"/>
    <w:rsid w:val="1C50DC04"/>
    <w:rsid w:val="22C27B68"/>
    <w:rsid w:val="32E9BD63"/>
    <w:rsid w:val="34CCD79F"/>
    <w:rsid w:val="34D9BC58"/>
    <w:rsid w:val="49EDE6AB"/>
    <w:rsid w:val="526B2A0E"/>
    <w:rsid w:val="532AF380"/>
    <w:rsid w:val="54E31E04"/>
    <w:rsid w:val="558EBA01"/>
    <w:rsid w:val="56C7AEEE"/>
    <w:rsid w:val="6AEEDFBF"/>
    <w:rsid w:val="79EE2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466D8B5"/>
  <w15:docId w15:val="{A70A1127-8C6F-43CF-A82F-C7E5AD02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32AF"/>
    <w:pPr>
      <w:tabs>
        <w:tab w:val="left" w:pos="720"/>
      </w:tabs>
    </w:pPr>
    <w:rPr>
      <w:sz w:val="24"/>
    </w:rPr>
  </w:style>
  <w:style w:type="paragraph" w:styleId="Heading1">
    <w:name w:val="heading 1"/>
    <w:basedOn w:val="Normal"/>
    <w:next w:val="Normal"/>
    <w:link w:val="Heading1Char"/>
    <w:qFormat/>
    <w:rsid w:val="000B4A85"/>
    <w:pPr>
      <w:keepNext/>
      <w:numPr>
        <w:numId w:val="4"/>
      </w:numPr>
      <w:tabs>
        <w:tab w:val="clear" w:pos="720"/>
      </w:tabs>
      <w:spacing w:after="240"/>
      <w:outlineLvl w:val="0"/>
    </w:pPr>
    <w:rPr>
      <w:b/>
      <w:smallCaps/>
      <w:kern w:val="28"/>
    </w:rPr>
  </w:style>
  <w:style w:type="paragraph" w:styleId="Heading2">
    <w:name w:val="heading 2"/>
    <w:link w:val="Heading2Char"/>
    <w:qFormat/>
    <w:rsid w:val="003C5EF0"/>
    <w:pPr>
      <w:keepNext/>
      <w:numPr>
        <w:ilvl w:val="1"/>
        <w:numId w:val="4"/>
      </w:numPr>
      <w:spacing w:before="240" w:after="240"/>
      <w:outlineLvl w:val="1"/>
    </w:pPr>
    <w:rPr>
      <w:b/>
      <w:sz w:val="24"/>
      <w:szCs w:val="24"/>
      <w:u w:val="single"/>
    </w:rPr>
  </w:style>
  <w:style w:type="paragraph" w:styleId="Heading3">
    <w:name w:val="heading 3"/>
    <w:basedOn w:val="Normal"/>
    <w:next w:val="Normal"/>
    <w:link w:val="Heading3Char"/>
    <w:qFormat/>
    <w:rsid w:val="00D6315C"/>
    <w:pPr>
      <w:keepNext/>
      <w:numPr>
        <w:ilvl w:val="2"/>
        <w:numId w:val="4"/>
      </w:numPr>
      <w:tabs>
        <w:tab w:val="clear" w:pos="720"/>
      </w:tabs>
      <w:spacing w:before="240" w:after="240"/>
      <w:outlineLvl w:val="2"/>
    </w:pPr>
    <w:rPr>
      <w:b/>
      <w:i/>
      <w:szCs w:val="24"/>
    </w:rPr>
  </w:style>
  <w:style w:type="paragraph" w:styleId="Heading4">
    <w:name w:val="heading 4"/>
    <w:basedOn w:val="Normal"/>
    <w:next w:val="Normal"/>
    <w:link w:val="Heading4Char"/>
    <w:qFormat/>
    <w:rsid w:val="000B4A85"/>
    <w:pPr>
      <w:keepNext/>
      <w:numPr>
        <w:ilvl w:val="3"/>
        <w:numId w:val="4"/>
      </w:numPr>
      <w:tabs>
        <w:tab w:val="clear" w:pos="720"/>
        <w:tab w:val="left" w:pos="1800"/>
      </w:tabs>
      <w:spacing w:after="240"/>
      <w:outlineLvl w:val="3"/>
    </w:pPr>
    <w:rPr>
      <w:b/>
    </w:rPr>
  </w:style>
  <w:style w:type="paragraph" w:styleId="Heading5">
    <w:name w:val="heading 5"/>
    <w:basedOn w:val="Normal"/>
    <w:next w:val="Normal"/>
    <w:link w:val="Heading5Char"/>
    <w:qFormat/>
    <w:rsid w:val="000B4A85"/>
    <w:pPr>
      <w:keepNext/>
      <w:numPr>
        <w:ilvl w:val="4"/>
        <w:numId w:val="4"/>
      </w:numPr>
      <w:spacing w:after="240"/>
      <w:outlineLvl w:val="4"/>
    </w:pPr>
    <w:rPr>
      <w:i/>
    </w:rPr>
  </w:style>
  <w:style w:type="paragraph" w:styleId="Heading6">
    <w:name w:val="heading 6"/>
    <w:basedOn w:val="Normal"/>
    <w:next w:val="Normal"/>
    <w:link w:val="Heading6Char"/>
    <w:unhideWhenUsed/>
    <w:qFormat/>
    <w:rsid w:val="000B4A85"/>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link w:val="Heading7Char"/>
    <w:uiPriority w:val="9"/>
    <w:qFormat/>
    <w:rsid w:val="00784518"/>
    <w:pPr>
      <w:keepLines/>
      <w:numPr>
        <w:ilvl w:val="6"/>
        <w:numId w:val="4"/>
      </w:numPr>
      <w:spacing w:before="120" w:after="240"/>
      <w:outlineLvl w:val="6"/>
    </w:pPr>
    <w:rPr>
      <w:rFonts w:eastAsiaTheme="majorEastAsia" w:cstheme="majorBidi"/>
      <w:b/>
      <w:bCs/>
      <w:iCs/>
      <w:sz w:val="28"/>
      <w:szCs w:val="28"/>
    </w:rPr>
  </w:style>
  <w:style w:type="paragraph" w:styleId="Heading8">
    <w:name w:val="heading 8"/>
    <w:aliases w:val="Heading 8_APPENDIX HEADING 2"/>
    <w:link w:val="Heading8Char"/>
    <w:unhideWhenUsed/>
    <w:qFormat/>
    <w:rsid w:val="00E26635"/>
    <w:pPr>
      <w:keepNext/>
      <w:keepLines/>
      <w:numPr>
        <w:ilvl w:val="7"/>
        <w:numId w:val="4"/>
      </w:numPr>
      <w:spacing w:before="120" w:after="120"/>
      <w:outlineLvl w:val="7"/>
    </w:pPr>
    <w:rPr>
      <w:rFonts w:eastAsiaTheme="majorEastAsia" w:cstheme="majorBidi"/>
      <w:b/>
      <w:color w:val="404040" w:themeColor="text1" w:themeTint="BF"/>
      <w:sz w:val="24"/>
      <w:u w:val="single"/>
    </w:rPr>
  </w:style>
  <w:style w:type="paragraph" w:styleId="Heading9">
    <w:name w:val="heading 9"/>
    <w:aliases w:val="APPENDIX HEADING 3"/>
    <w:link w:val="Heading9Char"/>
    <w:unhideWhenUsed/>
    <w:qFormat/>
    <w:rsid w:val="001872AE"/>
    <w:pPr>
      <w:keepNext/>
      <w:keepLines/>
      <w:numPr>
        <w:ilvl w:val="8"/>
        <w:numId w:val="4"/>
      </w:numPr>
      <w:spacing w:before="200" w:after="120"/>
      <w:outlineLvl w:val="8"/>
    </w:pPr>
    <w:rPr>
      <w:rFonts w:eastAsiaTheme="majorEastAsia"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 Heading"/>
    <w:basedOn w:val="Normal"/>
    <w:next w:val="Normal"/>
    <w:link w:val="TableHeadingChar1"/>
    <w:qFormat/>
    <w:rsid w:val="000B4A85"/>
    <w:pPr>
      <w:keepNext/>
      <w:spacing w:after="240"/>
      <w:jc w:val="center"/>
    </w:pPr>
    <w:rPr>
      <w:b/>
    </w:rPr>
  </w:style>
  <w:style w:type="paragraph" w:styleId="BalloonText">
    <w:name w:val="Balloon Text"/>
    <w:basedOn w:val="Normal"/>
    <w:link w:val="BalloonTextChar"/>
    <w:semiHidden/>
    <w:unhideWhenUsed/>
    <w:rsid w:val="001739C3"/>
    <w:rPr>
      <w:rFonts w:ascii="Segoe UI" w:hAnsi="Segoe UI" w:cs="Segoe UI"/>
      <w:sz w:val="18"/>
      <w:szCs w:val="18"/>
    </w:rPr>
  </w:style>
  <w:style w:type="character" w:customStyle="1" w:styleId="BalloonTextChar">
    <w:name w:val="Balloon Text Char"/>
    <w:basedOn w:val="DefaultParagraphFont"/>
    <w:link w:val="BalloonText"/>
    <w:semiHidden/>
    <w:rsid w:val="001739C3"/>
    <w:rPr>
      <w:rFonts w:ascii="Segoe UI" w:hAnsi="Segoe UI" w:cs="Segoe UI"/>
      <w:sz w:val="18"/>
      <w:szCs w:val="18"/>
    </w:rPr>
  </w:style>
  <w:style w:type="paragraph" w:customStyle="1" w:styleId="Legal8">
    <w:name w:val="Legal 8"/>
    <w:rsid w:val="00E41AB0"/>
    <w:pPr>
      <w:autoSpaceDE w:val="0"/>
      <w:autoSpaceDN w:val="0"/>
      <w:adjustRightInd w:val="0"/>
      <w:ind w:left="-1440"/>
    </w:pPr>
    <w:rPr>
      <w:sz w:val="24"/>
      <w:szCs w:val="24"/>
    </w:rPr>
  </w:style>
  <w:style w:type="paragraph" w:customStyle="1" w:styleId="Heading1nonumber">
    <w:name w:val="Heading 1_no number"/>
    <w:qFormat/>
    <w:rsid w:val="001C3F6D"/>
    <w:pPr>
      <w:spacing w:after="240"/>
    </w:pPr>
    <w:rPr>
      <w:rFonts w:ascii="Times New Roman Bold" w:hAnsi="Times New Roman Bold"/>
      <w:b/>
      <w:smallCaps/>
      <w:kern w:val="28"/>
      <w:sz w:val="24"/>
    </w:rPr>
  </w:style>
  <w:style w:type="table" w:styleId="TableGrid">
    <w:name w:val="Table Grid"/>
    <w:basedOn w:val="TableNormal"/>
    <w:uiPriority w:val="59"/>
    <w:rsid w:val="000B4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uiPriority w:val="99"/>
    <w:unhideWhenUsed/>
    <w:qFormat/>
    <w:rsid w:val="00C73887"/>
    <w:pPr>
      <w:numPr>
        <w:numId w:val="36"/>
      </w:numPr>
      <w:spacing w:after="120"/>
      <w:ind w:left="1080"/>
    </w:pPr>
    <w:rPr>
      <w:sz w:val="24"/>
    </w:rPr>
  </w:style>
  <w:style w:type="paragraph" w:styleId="ListBullet2">
    <w:name w:val="List Bullet 2"/>
    <w:qFormat/>
    <w:rsid w:val="00CF55BF"/>
    <w:pPr>
      <w:numPr>
        <w:numId w:val="6"/>
      </w:numPr>
      <w:spacing w:after="80"/>
      <w:ind w:left="1800"/>
    </w:pPr>
    <w:rPr>
      <w:sz w:val="24"/>
    </w:rPr>
  </w:style>
  <w:style w:type="paragraph" w:customStyle="1" w:styleId="FigureTitle">
    <w:name w:val="Figure Title"/>
    <w:link w:val="FigureTitleChar"/>
    <w:qFormat/>
    <w:rsid w:val="00C73887"/>
    <w:pPr>
      <w:spacing w:before="240" w:after="240"/>
    </w:pPr>
    <w:rPr>
      <w:b/>
      <w:noProof/>
      <w:sz w:val="24"/>
    </w:rPr>
  </w:style>
  <w:style w:type="paragraph" w:styleId="Header">
    <w:name w:val="header"/>
    <w:basedOn w:val="Normal"/>
    <w:link w:val="HeaderChar"/>
    <w:rsid w:val="000B4A85"/>
    <w:pPr>
      <w:pBdr>
        <w:bottom w:val="single" w:sz="4" w:space="1" w:color="auto"/>
      </w:pBdr>
      <w:tabs>
        <w:tab w:val="center" w:pos="4680"/>
        <w:tab w:val="right" w:pos="9360"/>
      </w:tabs>
      <w:jc w:val="right"/>
    </w:pPr>
    <w:rPr>
      <w:i/>
      <w:sz w:val="20"/>
    </w:rPr>
  </w:style>
  <w:style w:type="paragraph" w:styleId="Footer">
    <w:name w:val="footer"/>
    <w:basedOn w:val="Normal"/>
    <w:link w:val="FooterChar"/>
    <w:uiPriority w:val="99"/>
    <w:unhideWhenUsed/>
    <w:rsid w:val="000B4A85"/>
    <w:pPr>
      <w:pBdr>
        <w:top w:val="single" w:sz="4" w:space="1" w:color="auto"/>
      </w:pBdr>
      <w:tabs>
        <w:tab w:val="clear" w:pos="720"/>
        <w:tab w:val="center" w:pos="4680"/>
        <w:tab w:val="right" w:pos="9360"/>
      </w:tabs>
    </w:pPr>
  </w:style>
  <w:style w:type="paragraph" w:styleId="TOC1">
    <w:name w:val="toc 1"/>
    <w:basedOn w:val="Normal"/>
    <w:next w:val="Normal"/>
    <w:autoRedefine/>
    <w:uiPriority w:val="39"/>
    <w:qFormat/>
    <w:rsid w:val="00893683"/>
    <w:pPr>
      <w:tabs>
        <w:tab w:val="clear" w:pos="720"/>
        <w:tab w:val="right" w:leader="dot" w:pos="9346"/>
      </w:tabs>
      <w:spacing w:before="80"/>
      <w:ind w:left="720" w:right="720" w:hanging="720"/>
      <w:jc w:val="center"/>
    </w:pPr>
    <w:rPr>
      <w:b/>
      <w:smallCaps/>
      <w:noProof/>
      <w:szCs w:val="24"/>
    </w:rPr>
  </w:style>
  <w:style w:type="paragraph" w:styleId="TOC2">
    <w:name w:val="toc 2"/>
    <w:basedOn w:val="Normal"/>
    <w:next w:val="Normal"/>
    <w:autoRedefine/>
    <w:uiPriority w:val="39"/>
    <w:qFormat/>
    <w:rsid w:val="00A42E88"/>
    <w:pPr>
      <w:tabs>
        <w:tab w:val="left" w:pos="1320"/>
        <w:tab w:val="right" w:leader="dot" w:pos="9346"/>
      </w:tabs>
      <w:spacing w:before="60"/>
      <w:ind w:left="1440" w:right="720" w:hanging="720"/>
    </w:pPr>
  </w:style>
  <w:style w:type="character" w:styleId="Hyperlink">
    <w:name w:val="Hyperlink"/>
    <w:basedOn w:val="DefaultParagraphFont"/>
    <w:uiPriority w:val="99"/>
    <w:unhideWhenUsed/>
    <w:rsid w:val="000B4A85"/>
    <w:rPr>
      <w:color w:val="0000FF" w:themeColor="hyperlink"/>
      <w:u w:val="single"/>
    </w:rPr>
  </w:style>
  <w:style w:type="character" w:styleId="PageNumber">
    <w:name w:val="page number"/>
    <w:basedOn w:val="DefaultParagraphFont"/>
    <w:rsid w:val="007A4B2C"/>
  </w:style>
  <w:style w:type="paragraph" w:styleId="TOC3">
    <w:name w:val="toc 3"/>
    <w:basedOn w:val="Normal"/>
    <w:next w:val="Normal"/>
    <w:autoRedefine/>
    <w:uiPriority w:val="39"/>
    <w:qFormat/>
    <w:rsid w:val="000B4A85"/>
    <w:pPr>
      <w:tabs>
        <w:tab w:val="clear" w:pos="720"/>
        <w:tab w:val="left" w:pos="1440"/>
        <w:tab w:val="left" w:pos="2340"/>
        <w:tab w:val="right" w:leader="dot" w:pos="9346"/>
      </w:tabs>
      <w:ind w:left="2347" w:right="720" w:hanging="907"/>
    </w:pPr>
    <w:rPr>
      <w:noProof/>
    </w:rPr>
  </w:style>
  <w:style w:type="paragraph" w:styleId="TableofFigures">
    <w:name w:val="table of figures"/>
    <w:uiPriority w:val="99"/>
    <w:rsid w:val="000B4A85"/>
    <w:pPr>
      <w:tabs>
        <w:tab w:val="right" w:leader="dot" w:pos="9360"/>
      </w:tabs>
      <w:spacing w:after="120"/>
      <w:ind w:left="1080" w:right="720" w:hanging="1080"/>
    </w:pPr>
    <w:rPr>
      <w:sz w:val="24"/>
    </w:rPr>
  </w:style>
  <w:style w:type="character" w:styleId="CommentReference">
    <w:name w:val="annotation reference"/>
    <w:basedOn w:val="DefaultParagraphFont"/>
    <w:unhideWhenUsed/>
    <w:rsid w:val="000B4A85"/>
    <w:rPr>
      <w:sz w:val="16"/>
      <w:szCs w:val="16"/>
    </w:rPr>
  </w:style>
  <w:style w:type="paragraph" w:styleId="CommentText">
    <w:name w:val="annotation text"/>
    <w:basedOn w:val="Normal"/>
    <w:link w:val="CommentTextChar"/>
    <w:unhideWhenUsed/>
    <w:rsid w:val="000B4A85"/>
    <w:rPr>
      <w:sz w:val="20"/>
    </w:rPr>
  </w:style>
  <w:style w:type="paragraph" w:styleId="CommentSubject">
    <w:name w:val="annotation subject"/>
    <w:basedOn w:val="CommentText"/>
    <w:next w:val="CommentText"/>
    <w:link w:val="CommentSubjectChar"/>
    <w:semiHidden/>
    <w:unhideWhenUsed/>
    <w:rsid w:val="000B4A85"/>
    <w:rPr>
      <w:b/>
      <w:bCs/>
    </w:rPr>
  </w:style>
  <w:style w:type="paragraph" w:styleId="FootnoteText">
    <w:name w:val="footnote text"/>
    <w:link w:val="FootnoteTextChar"/>
    <w:uiPriority w:val="99"/>
    <w:rsid w:val="000B4A85"/>
    <w:pPr>
      <w:tabs>
        <w:tab w:val="left" w:pos="360"/>
      </w:tabs>
      <w:spacing w:after="80"/>
    </w:pPr>
  </w:style>
  <w:style w:type="character" w:styleId="FootnoteReference">
    <w:name w:val="footnote reference"/>
    <w:basedOn w:val="DefaultParagraphFont"/>
    <w:uiPriority w:val="99"/>
    <w:rsid w:val="000B4A85"/>
    <w:rPr>
      <w:vertAlign w:val="superscript"/>
    </w:rPr>
  </w:style>
  <w:style w:type="paragraph" w:styleId="BodyText">
    <w:name w:val="Body Text"/>
    <w:link w:val="BodyTextChar"/>
    <w:qFormat/>
    <w:rsid w:val="00C73887"/>
    <w:pPr>
      <w:spacing w:after="240"/>
      <w:ind w:firstLine="720"/>
    </w:pPr>
    <w:rPr>
      <w:sz w:val="24"/>
    </w:rPr>
  </w:style>
  <w:style w:type="character" w:customStyle="1" w:styleId="BodyTextChar">
    <w:name w:val="Body Text Char"/>
    <w:basedOn w:val="DefaultParagraphFont"/>
    <w:link w:val="BodyText"/>
    <w:rsid w:val="00C73887"/>
    <w:rPr>
      <w:sz w:val="24"/>
    </w:rPr>
  </w:style>
  <w:style w:type="paragraph" w:styleId="DocumentMap">
    <w:name w:val="Document Map"/>
    <w:basedOn w:val="Normal"/>
    <w:link w:val="DocumentMapChar"/>
    <w:rsid w:val="006D6980"/>
    <w:rPr>
      <w:rFonts w:ascii="Tahoma" w:hAnsi="Tahoma" w:cs="Tahoma"/>
      <w:sz w:val="16"/>
      <w:szCs w:val="16"/>
    </w:rPr>
  </w:style>
  <w:style w:type="character" w:customStyle="1" w:styleId="DocumentMapChar">
    <w:name w:val="Document Map Char"/>
    <w:basedOn w:val="DefaultParagraphFont"/>
    <w:link w:val="DocumentMap"/>
    <w:rsid w:val="006D6980"/>
    <w:rPr>
      <w:rFonts w:ascii="Tahoma" w:hAnsi="Tahoma" w:cs="Tahoma"/>
      <w:sz w:val="16"/>
      <w:szCs w:val="16"/>
    </w:rPr>
  </w:style>
  <w:style w:type="paragraph" w:styleId="BodyTextIndent">
    <w:name w:val="Body Text Indent"/>
    <w:basedOn w:val="Normal"/>
    <w:link w:val="BodyTextIndentChar"/>
    <w:uiPriority w:val="99"/>
    <w:unhideWhenUsed/>
    <w:rsid w:val="000B4A85"/>
    <w:pPr>
      <w:spacing w:after="120"/>
      <w:ind w:left="360"/>
    </w:pPr>
  </w:style>
  <w:style w:type="character" w:customStyle="1" w:styleId="BodyTextIndentChar">
    <w:name w:val="Body Text Indent Char"/>
    <w:basedOn w:val="DefaultParagraphFont"/>
    <w:link w:val="BodyTextIndent"/>
    <w:uiPriority w:val="99"/>
    <w:rsid w:val="000B4A85"/>
    <w:rPr>
      <w:sz w:val="24"/>
    </w:rPr>
  </w:style>
  <w:style w:type="paragraph" w:styleId="Caption">
    <w:name w:val="caption"/>
    <w:basedOn w:val="Normal"/>
    <w:next w:val="Normal"/>
    <w:link w:val="CaptionChar"/>
    <w:uiPriority w:val="35"/>
    <w:unhideWhenUsed/>
    <w:qFormat/>
    <w:rsid w:val="00784518"/>
    <w:pPr>
      <w:spacing w:after="200"/>
      <w:jc w:val="center"/>
    </w:pPr>
    <w:rPr>
      <w:b/>
      <w:bCs/>
      <w:szCs w:val="18"/>
    </w:rPr>
  </w:style>
  <w:style w:type="paragraph" w:customStyle="1" w:styleId="Tabletext">
    <w:name w:val="Table text"/>
    <w:qFormat/>
    <w:rsid w:val="009F7125"/>
    <w:pPr>
      <w:spacing w:before="40" w:after="80"/>
    </w:pPr>
    <w:rPr>
      <w:rFonts w:eastAsia="Calibri"/>
    </w:rPr>
  </w:style>
  <w:style w:type="character" w:customStyle="1" w:styleId="FooterChar">
    <w:name w:val="Footer Char"/>
    <w:basedOn w:val="DefaultParagraphFont"/>
    <w:link w:val="Footer"/>
    <w:uiPriority w:val="99"/>
    <w:rsid w:val="000B4A85"/>
    <w:rPr>
      <w:sz w:val="24"/>
    </w:rPr>
  </w:style>
  <w:style w:type="paragraph" w:styleId="ListNumber">
    <w:name w:val="List Number"/>
    <w:link w:val="ListNumberChar"/>
    <w:qFormat/>
    <w:rsid w:val="00C73887"/>
    <w:pPr>
      <w:numPr>
        <w:numId w:val="11"/>
      </w:numPr>
      <w:spacing w:after="60"/>
      <w:ind w:left="1080" w:hanging="360"/>
    </w:pPr>
    <w:rPr>
      <w:sz w:val="24"/>
      <w:szCs w:val="24"/>
    </w:rPr>
  </w:style>
  <w:style w:type="character" w:customStyle="1" w:styleId="CommentTextChar">
    <w:name w:val="Comment Text Char"/>
    <w:basedOn w:val="DefaultParagraphFont"/>
    <w:link w:val="CommentText"/>
    <w:rsid w:val="000B4A85"/>
  </w:style>
  <w:style w:type="paragraph" w:customStyle="1" w:styleId="FigureTitleAppendix">
    <w:name w:val="Figure Title_Appendix"/>
    <w:qFormat/>
    <w:rsid w:val="00B6492D"/>
    <w:pPr>
      <w:spacing w:before="120" w:after="240"/>
      <w:jc w:val="center"/>
    </w:pPr>
    <w:rPr>
      <w:b/>
      <w:noProof/>
      <w:sz w:val="24"/>
    </w:rPr>
  </w:style>
  <w:style w:type="character" w:customStyle="1" w:styleId="FootnoteTextChar">
    <w:name w:val="Footnote Text Char"/>
    <w:basedOn w:val="DefaultParagraphFont"/>
    <w:link w:val="FootnoteText"/>
    <w:uiPriority w:val="99"/>
    <w:rsid w:val="000B4A85"/>
  </w:style>
  <w:style w:type="paragraph" w:styleId="Revision">
    <w:name w:val="Revision"/>
    <w:hidden/>
    <w:uiPriority w:val="99"/>
    <w:rsid w:val="00217386"/>
    <w:rPr>
      <w:sz w:val="24"/>
    </w:rPr>
  </w:style>
  <w:style w:type="paragraph" w:styleId="ListParagraph">
    <w:name w:val="List Paragraph"/>
    <w:basedOn w:val="Normal"/>
    <w:link w:val="ListParagraphChar"/>
    <w:uiPriority w:val="34"/>
    <w:qFormat/>
    <w:rsid w:val="000B4A85"/>
    <w:pPr>
      <w:ind w:left="720"/>
      <w:contextualSpacing/>
    </w:pPr>
  </w:style>
  <w:style w:type="character" w:customStyle="1" w:styleId="HeaderChar">
    <w:name w:val="Header Char"/>
    <w:basedOn w:val="DefaultParagraphFont"/>
    <w:link w:val="Header"/>
    <w:rsid w:val="000B4A85"/>
    <w:rPr>
      <w:i/>
    </w:rPr>
  </w:style>
  <w:style w:type="character" w:customStyle="1" w:styleId="html-italic">
    <w:name w:val="html-italic"/>
    <w:basedOn w:val="DefaultParagraphFont"/>
    <w:rsid w:val="007E6F2C"/>
  </w:style>
  <w:style w:type="paragraph" w:styleId="NoSpacing">
    <w:name w:val="No Spacing"/>
    <w:link w:val="NoSpacingChar"/>
    <w:uiPriority w:val="1"/>
    <w:qFormat/>
    <w:rsid w:val="000B4A85"/>
    <w:rPr>
      <w:sz w:val="24"/>
    </w:rPr>
  </w:style>
  <w:style w:type="paragraph" w:customStyle="1" w:styleId="TableText0">
    <w:name w:val="Table Text"/>
    <w:basedOn w:val="Normal"/>
    <w:next w:val="Normal"/>
    <w:link w:val="TableTextChar"/>
    <w:qFormat/>
    <w:rsid w:val="00D85761"/>
    <w:pPr>
      <w:ind w:left="86" w:hanging="86"/>
    </w:pPr>
    <w:rPr>
      <w:szCs w:val="24"/>
    </w:rPr>
  </w:style>
  <w:style w:type="character" w:customStyle="1" w:styleId="TableTextChar">
    <w:name w:val="Table Text Char"/>
    <w:link w:val="TableText0"/>
    <w:locked/>
    <w:rsid w:val="00D85761"/>
    <w:rPr>
      <w:sz w:val="24"/>
      <w:szCs w:val="24"/>
    </w:rPr>
  </w:style>
  <w:style w:type="character" w:customStyle="1" w:styleId="Heading1Char">
    <w:name w:val="Heading 1 Char"/>
    <w:basedOn w:val="DefaultParagraphFont"/>
    <w:link w:val="Heading1"/>
    <w:rsid w:val="000B4A85"/>
    <w:rPr>
      <w:b/>
      <w:smallCaps/>
      <w:kern w:val="28"/>
      <w:sz w:val="24"/>
    </w:rPr>
  </w:style>
  <w:style w:type="character" w:customStyle="1" w:styleId="Heading2Char">
    <w:name w:val="Heading 2 Char"/>
    <w:basedOn w:val="DefaultParagraphFont"/>
    <w:link w:val="Heading2"/>
    <w:rsid w:val="003C5EF0"/>
    <w:rPr>
      <w:b/>
      <w:sz w:val="24"/>
      <w:szCs w:val="24"/>
      <w:u w:val="single"/>
    </w:rPr>
  </w:style>
  <w:style w:type="character" w:styleId="Strong">
    <w:name w:val="Strong"/>
    <w:basedOn w:val="DefaultParagraphFont"/>
    <w:uiPriority w:val="22"/>
    <w:qFormat/>
    <w:rsid w:val="000B4A85"/>
    <w:rPr>
      <w:b/>
      <w:bCs/>
    </w:rPr>
  </w:style>
  <w:style w:type="character" w:styleId="FollowedHyperlink">
    <w:name w:val="FollowedHyperlink"/>
    <w:basedOn w:val="DefaultParagraphFont"/>
    <w:rsid w:val="000B4A85"/>
    <w:rPr>
      <w:color w:val="800080"/>
      <w:u w:val="single"/>
    </w:rPr>
  </w:style>
  <w:style w:type="paragraph" w:customStyle="1" w:styleId="Default">
    <w:name w:val="Default"/>
    <w:rsid w:val="000B4A85"/>
    <w:pPr>
      <w:autoSpaceDE w:val="0"/>
      <w:autoSpaceDN w:val="0"/>
      <w:adjustRightInd w:val="0"/>
    </w:pPr>
    <w:rPr>
      <w:rFonts w:eastAsiaTheme="minorHAnsi"/>
      <w:color w:val="000000"/>
      <w:sz w:val="24"/>
      <w:szCs w:val="24"/>
    </w:rPr>
  </w:style>
  <w:style w:type="character" w:styleId="EndnoteReference">
    <w:name w:val="endnote reference"/>
    <w:basedOn w:val="DefaultParagraphFont"/>
    <w:rsid w:val="000B4A85"/>
    <w:rPr>
      <w:rFonts w:cs="Times New Roman"/>
      <w:vertAlign w:val="superscript"/>
    </w:rPr>
  </w:style>
  <w:style w:type="character" w:customStyle="1" w:styleId="Heading6Char">
    <w:name w:val="Heading 6 Char"/>
    <w:basedOn w:val="DefaultParagraphFont"/>
    <w:link w:val="Heading6"/>
    <w:rsid w:val="000B4A8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784518"/>
    <w:rPr>
      <w:rFonts w:eastAsiaTheme="majorEastAsia" w:cstheme="majorBidi"/>
      <w:b/>
      <w:bCs/>
      <w:iCs/>
      <w:sz w:val="28"/>
      <w:szCs w:val="28"/>
    </w:rPr>
  </w:style>
  <w:style w:type="character" w:customStyle="1" w:styleId="Heading8Char">
    <w:name w:val="Heading 8 Char"/>
    <w:aliases w:val="Heading 8_APPENDIX HEADING 2 Char"/>
    <w:basedOn w:val="DefaultParagraphFont"/>
    <w:link w:val="Heading8"/>
    <w:rsid w:val="00E26635"/>
    <w:rPr>
      <w:rFonts w:eastAsiaTheme="majorEastAsia" w:cstheme="majorBidi"/>
      <w:b/>
      <w:color w:val="404040" w:themeColor="text1" w:themeTint="BF"/>
      <w:sz w:val="24"/>
      <w:u w:val="single"/>
    </w:rPr>
  </w:style>
  <w:style w:type="character" w:customStyle="1" w:styleId="Heading9Char">
    <w:name w:val="Heading 9 Char"/>
    <w:aliases w:val="APPENDIX HEADING 3 Char"/>
    <w:basedOn w:val="DefaultParagraphFont"/>
    <w:link w:val="Heading9"/>
    <w:rsid w:val="001872AE"/>
    <w:rPr>
      <w:rFonts w:eastAsiaTheme="majorEastAsia" w:cstheme="majorBidi"/>
      <w:b/>
      <w:i/>
      <w:iCs/>
      <w:sz w:val="24"/>
    </w:rPr>
  </w:style>
  <w:style w:type="paragraph" w:styleId="TOC4">
    <w:name w:val="toc 4"/>
    <w:autoRedefine/>
    <w:uiPriority w:val="39"/>
    <w:rsid w:val="000B4A85"/>
    <w:pPr>
      <w:tabs>
        <w:tab w:val="left" w:pos="2160"/>
        <w:tab w:val="left" w:pos="3227"/>
        <w:tab w:val="right" w:leader="dot" w:pos="9360"/>
      </w:tabs>
      <w:spacing w:after="40"/>
      <w:ind w:left="3240" w:right="720" w:hanging="893"/>
    </w:pPr>
    <w:rPr>
      <w:i/>
      <w:sz w:val="24"/>
    </w:rPr>
  </w:style>
  <w:style w:type="paragraph" w:styleId="TOC5">
    <w:name w:val="toc 5"/>
    <w:basedOn w:val="Normal"/>
    <w:next w:val="Normal"/>
    <w:autoRedefine/>
    <w:uiPriority w:val="39"/>
    <w:rsid w:val="000B4A85"/>
    <w:pPr>
      <w:tabs>
        <w:tab w:val="left" w:pos="2448"/>
        <w:tab w:val="left" w:pos="3120"/>
        <w:tab w:val="right" w:leader="dot" w:pos="9360"/>
      </w:tabs>
      <w:ind w:left="3120" w:right="360" w:hanging="960"/>
    </w:pPr>
  </w:style>
  <w:style w:type="paragraph" w:customStyle="1" w:styleId="Equation">
    <w:name w:val="Equation"/>
    <w:basedOn w:val="Normal"/>
    <w:rsid w:val="00DA5A63"/>
    <w:pPr>
      <w:tabs>
        <w:tab w:val="clear" w:pos="720"/>
        <w:tab w:val="center" w:pos="4320"/>
        <w:tab w:val="right" w:pos="9360"/>
      </w:tabs>
    </w:pPr>
  </w:style>
  <w:style w:type="paragraph" w:customStyle="1" w:styleId="Heading4--NoNumbers">
    <w:name w:val="Heading 4--No Numbers"/>
    <w:basedOn w:val="Normal"/>
    <w:next w:val="Normal"/>
    <w:link w:val="Heading4--NoNumbersChar"/>
    <w:qFormat/>
    <w:rsid w:val="000B4A85"/>
    <w:pPr>
      <w:keepNext/>
      <w:spacing w:after="240"/>
      <w:ind w:left="720"/>
    </w:pPr>
    <w:rPr>
      <w:b/>
    </w:rPr>
  </w:style>
  <w:style w:type="paragraph" w:customStyle="1" w:styleId="EquationList">
    <w:name w:val="Equation List"/>
    <w:rsid w:val="009C0846"/>
    <w:pPr>
      <w:tabs>
        <w:tab w:val="left" w:pos="2606"/>
        <w:tab w:val="left" w:pos="3067"/>
      </w:tabs>
      <w:spacing w:after="80"/>
      <w:ind w:left="360"/>
    </w:pPr>
    <w:rPr>
      <w:sz w:val="24"/>
    </w:rPr>
  </w:style>
  <w:style w:type="paragraph" w:styleId="List">
    <w:name w:val="List"/>
    <w:basedOn w:val="Normal"/>
    <w:semiHidden/>
    <w:rsid w:val="00253A5D"/>
    <w:pPr>
      <w:keepNext/>
      <w:spacing w:after="120"/>
      <w:ind w:left="360" w:hanging="360"/>
      <w:jc w:val="center"/>
    </w:pPr>
    <w:rPr>
      <w:bCs/>
    </w:rPr>
  </w:style>
  <w:style w:type="paragraph" w:styleId="List2">
    <w:name w:val="List 2"/>
    <w:basedOn w:val="Normal"/>
    <w:semiHidden/>
    <w:rsid w:val="00253A5D"/>
    <w:pPr>
      <w:keepNext/>
      <w:spacing w:after="120"/>
      <w:ind w:left="720" w:hanging="360"/>
      <w:jc w:val="center"/>
    </w:pPr>
    <w:rPr>
      <w:bCs/>
    </w:rPr>
  </w:style>
  <w:style w:type="paragraph" w:styleId="List3">
    <w:name w:val="List 3"/>
    <w:basedOn w:val="Normal"/>
    <w:semiHidden/>
    <w:rsid w:val="00253A5D"/>
    <w:pPr>
      <w:keepNext/>
      <w:spacing w:after="120"/>
      <w:ind w:left="1080" w:hanging="360"/>
      <w:jc w:val="center"/>
    </w:pPr>
    <w:rPr>
      <w:bCs/>
    </w:rPr>
  </w:style>
  <w:style w:type="paragraph" w:styleId="List4">
    <w:name w:val="List 4"/>
    <w:basedOn w:val="Normal"/>
    <w:rsid w:val="00253A5D"/>
    <w:pPr>
      <w:keepNext/>
      <w:spacing w:after="120"/>
      <w:ind w:left="1440" w:hanging="360"/>
      <w:jc w:val="center"/>
    </w:pPr>
    <w:rPr>
      <w:bCs/>
    </w:rPr>
  </w:style>
  <w:style w:type="paragraph" w:styleId="List5">
    <w:name w:val="List 5"/>
    <w:basedOn w:val="Normal"/>
    <w:rsid w:val="00253A5D"/>
    <w:pPr>
      <w:keepNext/>
      <w:spacing w:after="120"/>
      <w:ind w:left="1800" w:hanging="360"/>
      <w:jc w:val="center"/>
    </w:pPr>
    <w:rPr>
      <w:bCs/>
    </w:rPr>
  </w:style>
  <w:style w:type="paragraph" w:styleId="ListBullet3">
    <w:name w:val="List Bullet 3"/>
    <w:basedOn w:val="Normal"/>
    <w:rsid w:val="000B4A85"/>
    <w:pPr>
      <w:numPr>
        <w:numId w:val="7"/>
      </w:numPr>
      <w:tabs>
        <w:tab w:val="clear" w:pos="1080"/>
      </w:tabs>
    </w:pPr>
  </w:style>
  <w:style w:type="paragraph" w:styleId="ListBullet4">
    <w:name w:val="List Bullet 4"/>
    <w:basedOn w:val="Normal"/>
    <w:semiHidden/>
    <w:rsid w:val="000B4A85"/>
    <w:pPr>
      <w:numPr>
        <w:numId w:val="8"/>
      </w:numPr>
      <w:tabs>
        <w:tab w:val="clear" w:pos="1440"/>
        <w:tab w:val="num" w:pos="360"/>
      </w:tabs>
    </w:pPr>
  </w:style>
  <w:style w:type="paragraph" w:styleId="ListBullet5">
    <w:name w:val="List Bullet 5"/>
    <w:basedOn w:val="Normal"/>
    <w:semiHidden/>
    <w:rsid w:val="000B4A85"/>
    <w:pPr>
      <w:numPr>
        <w:numId w:val="9"/>
      </w:numPr>
      <w:tabs>
        <w:tab w:val="clear" w:pos="1800"/>
        <w:tab w:val="num" w:pos="360"/>
      </w:tabs>
    </w:pPr>
  </w:style>
  <w:style w:type="paragraph" w:customStyle="1" w:styleId="ListIndent">
    <w:name w:val="List Indent"/>
    <w:basedOn w:val="Normal"/>
    <w:next w:val="Normal"/>
    <w:qFormat/>
    <w:rsid w:val="000B4A85"/>
    <w:pPr>
      <w:ind w:left="1440"/>
    </w:pPr>
  </w:style>
  <w:style w:type="paragraph" w:styleId="NormalIndent">
    <w:name w:val="Normal Indent"/>
    <w:basedOn w:val="Normal"/>
    <w:next w:val="Normal"/>
    <w:rsid w:val="000B4A85"/>
    <w:pPr>
      <w:ind w:left="720"/>
    </w:pPr>
  </w:style>
  <w:style w:type="paragraph" w:styleId="TOC6">
    <w:name w:val="toc 6"/>
    <w:basedOn w:val="Normal"/>
    <w:next w:val="Normal"/>
    <w:autoRedefine/>
    <w:uiPriority w:val="39"/>
    <w:rsid w:val="000B4A85"/>
    <w:pPr>
      <w:ind w:left="1200"/>
    </w:pPr>
  </w:style>
  <w:style w:type="paragraph" w:styleId="TOC7">
    <w:name w:val="toc 7"/>
    <w:basedOn w:val="Normal"/>
    <w:next w:val="Normal"/>
    <w:autoRedefine/>
    <w:uiPriority w:val="39"/>
    <w:rsid w:val="000B4A85"/>
    <w:pPr>
      <w:ind w:left="1440"/>
    </w:pPr>
  </w:style>
  <w:style w:type="paragraph" w:styleId="TOC8">
    <w:name w:val="toc 8"/>
    <w:basedOn w:val="Normal"/>
    <w:next w:val="Normal"/>
    <w:autoRedefine/>
    <w:uiPriority w:val="39"/>
    <w:rsid w:val="000B4A85"/>
    <w:pPr>
      <w:ind w:left="1680"/>
    </w:pPr>
  </w:style>
  <w:style w:type="paragraph" w:styleId="TOC9">
    <w:name w:val="toc 9"/>
    <w:basedOn w:val="Normal"/>
    <w:next w:val="Normal"/>
    <w:autoRedefine/>
    <w:uiPriority w:val="39"/>
    <w:rsid w:val="000B4A85"/>
    <w:pPr>
      <w:ind w:left="1920"/>
    </w:pPr>
  </w:style>
  <w:style w:type="paragraph" w:customStyle="1" w:styleId="BodyTextNormal">
    <w:name w:val="Body Text Normal"/>
    <w:basedOn w:val="BodyTextIndent"/>
    <w:rsid w:val="00253A5D"/>
    <w:pPr>
      <w:spacing w:before="60" w:after="60"/>
      <w:ind w:left="0"/>
    </w:pPr>
    <w:rPr>
      <w:sz w:val="20"/>
    </w:rPr>
  </w:style>
  <w:style w:type="character" w:customStyle="1" w:styleId="Heading3Char">
    <w:name w:val="Heading 3 Char"/>
    <w:basedOn w:val="DefaultParagraphFont"/>
    <w:link w:val="Heading3"/>
    <w:rsid w:val="00D6315C"/>
    <w:rPr>
      <w:b/>
      <w:i/>
      <w:sz w:val="24"/>
      <w:szCs w:val="24"/>
    </w:rPr>
  </w:style>
  <w:style w:type="character" w:customStyle="1" w:styleId="Heading4Char">
    <w:name w:val="Heading 4 Char"/>
    <w:basedOn w:val="DefaultParagraphFont"/>
    <w:link w:val="Heading4"/>
    <w:rsid w:val="000B4A85"/>
    <w:rPr>
      <w:b/>
      <w:sz w:val="24"/>
    </w:rPr>
  </w:style>
  <w:style w:type="paragraph" w:customStyle="1" w:styleId="TableTitle">
    <w:name w:val="Table Title"/>
    <w:link w:val="TableTitleChar"/>
    <w:qFormat/>
    <w:rsid w:val="00C73887"/>
    <w:pPr>
      <w:keepNext/>
      <w:spacing w:before="240" w:after="80"/>
      <w:jc w:val="center"/>
    </w:pPr>
    <w:rPr>
      <w:b/>
      <w:sz w:val="24"/>
    </w:rPr>
  </w:style>
  <w:style w:type="paragraph" w:styleId="BodyText2">
    <w:name w:val="Body Text 2"/>
    <w:basedOn w:val="BodyText"/>
    <w:link w:val="BodyText2Char"/>
    <w:uiPriority w:val="99"/>
    <w:unhideWhenUsed/>
    <w:rsid w:val="00B17F75"/>
    <w:pPr>
      <w:spacing w:after="120"/>
    </w:pPr>
  </w:style>
  <w:style w:type="character" w:customStyle="1" w:styleId="BodyText2Char">
    <w:name w:val="Body Text 2 Char"/>
    <w:basedOn w:val="DefaultParagraphFont"/>
    <w:link w:val="BodyText2"/>
    <w:uiPriority w:val="99"/>
    <w:rsid w:val="00B17F75"/>
    <w:rPr>
      <w:sz w:val="24"/>
      <w:shd w:val="clear" w:color="auto" w:fill="DBE5F1" w:themeFill="accent1" w:themeFillTint="33"/>
    </w:rPr>
  </w:style>
  <w:style w:type="paragraph" w:styleId="BodyText3">
    <w:name w:val="Body Text 3"/>
    <w:basedOn w:val="Normal"/>
    <w:link w:val="BodyText3Char"/>
    <w:uiPriority w:val="99"/>
    <w:semiHidden/>
    <w:unhideWhenUsed/>
    <w:rsid w:val="000B4A85"/>
    <w:pPr>
      <w:spacing w:after="120"/>
    </w:pPr>
    <w:rPr>
      <w:sz w:val="16"/>
      <w:szCs w:val="16"/>
    </w:rPr>
  </w:style>
  <w:style w:type="character" w:customStyle="1" w:styleId="BodyText3Char">
    <w:name w:val="Body Text 3 Char"/>
    <w:basedOn w:val="DefaultParagraphFont"/>
    <w:link w:val="BodyText3"/>
    <w:uiPriority w:val="99"/>
    <w:semiHidden/>
    <w:rsid w:val="000B4A85"/>
    <w:rPr>
      <w:sz w:val="16"/>
      <w:szCs w:val="16"/>
    </w:rPr>
  </w:style>
  <w:style w:type="paragraph" w:styleId="BodyTextFirstIndent">
    <w:name w:val="Body Text First Indent"/>
    <w:basedOn w:val="BodyText"/>
    <w:link w:val="BodyTextFirstIndentChar"/>
    <w:uiPriority w:val="99"/>
    <w:unhideWhenUsed/>
    <w:rsid w:val="000B4A85"/>
    <w:pPr>
      <w:spacing w:after="0"/>
      <w:ind w:firstLine="360"/>
    </w:pPr>
  </w:style>
  <w:style w:type="character" w:customStyle="1" w:styleId="BodyTextFirstIndentChar">
    <w:name w:val="Body Text First Indent Char"/>
    <w:basedOn w:val="BodyTextChar"/>
    <w:link w:val="BodyTextFirstIndent"/>
    <w:uiPriority w:val="99"/>
    <w:rsid w:val="000B4A85"/>
    <w:rPr>
      <w:sz w:val="24"/>
      <w:shd w:val="clear" w:color="auto" w:fill="DBE5F1" w:themeFill="accent1" w:themeFillTint="33"/>
    </w:rPr>
  </w:style>
  <w:style w:type="paragraph" w:styleId="BodyTextFirstIndent2">
    <w:name w:val="Body Text First Indent 2"/>
    <w:basedOn w:val="BodyTextIndent"/>
    <w:link w:val="BodyTextFirstIndent2Char"/>
    <w:uiPriority w:val="99"/>
    <w:semiHidden/>
    <w:unhideWhenUsed/>
    <w:rsid w:val="000B4A85"/>
    <w:pPr>
      <w:spacing w:after="0"/>
      <w:ind w:firstLine="360"/>
    </w:pPr>
  </w:style>
  <w:style w:type="character" w:customStyle="1" w:styleId="BodyTextFirstIndent2Char">
    <w:name w:val="Body Text First Indent 2 Char"/>
    <w:basedOn w:val="BodyTextIndentChar"/>
    <w:link w:val="BodyTextFirstIndent2"/>
    <w:uiPriority w:val="99"/>
    <w:semiHidden/>
    <w:rsid w:val="000B4A85"/>
    <w:rPr>
      <w:sz w:val="24"/>
    </w:rPr>
  </w:style>
  <w:style w:type="paragraph" w:styleId="BodyTextIndent2">
    <w:name w:val="Body Text Indent 2"/>
    <w:basedOn w:val="Normal"/>
    <w:link w:val="BodyTextIndent2Char"/>
    <w:uiPriority w:val="99"/>
    <w:semiHidden/>
    <w:unhideWhenUsed/>
    <w:rsid w:val="000B4A85"/>
    <w:pPr>
      <w:spacing w:after="120" w:line="480" w:lineRule="auto"/>
      <w:ind w:left="360"/>
    </w:pPr>
  </w:style>
  <w:style w:type="character" w:customStyle="1" w:styleId="BodyTextIndent2Char">
    <w:name w:val="Body Text Indent 2 Char"/>
    <w:basedOn w:val="DefaultParagraphFont"/>
    <w:link w:val="BodyTextIndent2"/>
    <w:uiPriority w:val="99"/>
    <w:semiHidden/>
    <w:rsid w:val="000B4A85"/>
    <w:rPr>
      <w:sz w:val="24"/>
    </w:rPr>
  </w:style>
  <w:style w:type="paragraph" w:styleId="BodyTextIndent3">
    <w:name w:val="Body Text Indent 3"/>
    <w:basedOn w:val="Normal"/>
    <w:link w:val="BodyTextIndent3Char"/>
    <w:uiPriority w:val="99"/>
    <w:semiHidden/>
    <w:unhideWhenUsed/>
    <w:rsid w:val="000B4A8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B4A85"/>
    <w:rPr>
      <w:sz w:val="16"/>
      <w:szCs w:val="16"/>
    </w:rPr>
  </w:style>
  <w:style w:type="paragraph" w:customStyle="1" w:styleId="BodyTextindent0">
    <w:name w:val="Body Text_indent"/>
    <w:qFormat/>
    <w:rsid w:val="004C0CAA"/>
    <w:pPr>
      <w:spacing w:after="240"/>
      <w:ind w:left="720"/>
    </w:pPr>
    <w:rPr>
      <w:sz w:val="24"/>
    </w:rPr>
  </w:style>
  <w:style w:type="character" w:customStyle="1" w:styleId="CaptionChar">
    <w:name w:val="Caption Char"/>
    <w:basedOn w:val="DefaultParagraphFont"/>
    <w:link w:val="Caption"/>
    <w:rsid w:val="00784518"/>
    <w:rPr>
      <w:b/>
      <w:bCs/>
      <w:sz w:val="24"/>
      <w:szCs w:val="18"/>
    </w:rPr>
  </w:style>
  <w:style w:type="paragraph" w:styleId="Closing">
    <w:name w:val="Closing"/>
    <w:basedOn w:val="Normal"/>
    <w:link w:val="ClosingChar"/>
    <w:uiPriority w:val="99"/>
    <w:unhideWhenUsed/>
    <w:rsid w:val="000B4A85"/>
  </w:style>
  <w:style w:type="character" w:customStyle="1" w:styleId="ClosingChar">
    <w:name w:val="Closing Char"/>
    <w:basedOn w:val="DefaultParagraphFont"/>
    <w:link w:val="Closing"/>
    <w:uiPriority w:val="99"/>
    <w:rsid w:val="000B4A85"/>
    <w:rPr>
      <w:sz w:val="24"/>
    </w:rPr>
  </w:style>
  <w:style w:type="character" w:customStyle="1" w:styleId="CommentSubjectChar">
    <w:name w:val="Comment Subject Char"/>
    <w:basedOn w:val="CommentTextChar"/>
    <w:link w:val="CommentSubject"/>
    <w:semiHidden/>
    <w:rsid w:val="000B4A85"/>
    <w:rPr>
      <w:b/>
      <w:bCs/>
    </w:rPr>
  </w:style>
  <w:style w:type="paragraph" w:customStyle="1" w:styleId="coverpage">
    <w:name w:val="cover page"/>
    <w:qFormat/>
    <w:rsid w:val="000B4A85"/>
    <w:rPr>
      <w:rFonts w:ascii="Arial" w:hAnsi="Arial" w:cs="Arial"/>
      <w:sz w:val="48"/>
      <w:szCs w:val="48"/>
    </w:rPr>
  </w:style>
  <w:style w:type="paragraph" w:customStyle="1" w:styleId="coverpage2">
    <w:name w:val="cover page 2"/>
    <w:basedOn w:val="Normal"/>
    <w:qFormat/>
    <w:rsid w:val="000B4A85"/>
    <w:pPr>
      <w:jc w:val="right"/>
    </w:pPr>
    <w:rPr>
      <w:rFonts w:ascii="Arial" w:hAnsi="Arial" w:cs="Arial"/>
      <w:sz w:val="32"/>
      <w:szCs w:val="32"/>
    </w:rPr>
  </w:style>
  <w:style w:type="character" w:styleId="Emphasis">
    <w:name w:val="Emphasis"/>
    <w:basedOn w:val="DefaultParagraphFont"/>
    <w:qFormat/>
    <w:rsid w:val="000B4A85"/>
    <w:rPr>
      <w:i/>
      <w:iCs/>
    </w:rPr>
  </w:style>
  <w:style w:type="character" w:customStyle="1" w:styleId="FigureTitleChar">
    <w:name w:val="Figure Title Char"/>
    <w:basedOn w:val="DefaultParagraphFont"/>
    <w:link w:val="FigureTitle"/>
    <w:rsid w:val="00C73887"/>
    <w:rPr>
      <w:b/>
      <w:noProof/>
      <w:sz w:val="24"/>
    </w:rPr>
  </w:style>
  <w:style w:type="paragraph" w:customStyle="1" w:styleId="footnotesreport">
    <w:name w:val="footnotes_report"/>
    <w:basedOn w:val="FootnoteText"/>
    <w:qFormat/>
    <w:rsid w:val="000B4A85"/>
    <w:pPr>
      <w:spacing w:after="40"/>
    </w:pPr>
  </w:style>
  <w:style w:type="paragraph" w:customStyle="1" w:styleId="References">
    <w:name w:val="References"/>
    <w:uiPriority w:val="99"/>
    <w:qFormat/>
    <w:rsid w:val="00C73887"/>
    <w:pPr>
      <w:spacing w:after="160"/>
    </w:pPr>
    <w:rPr>
      <w:sz w:val="24"/>
      <w:szCs w:val="24"/>
    </w:rPr>
  </w:style>
  <w:style w:type="paragraph" w:customStyle="1" w:styleId="Heading2Italic">
    <w:name w:val="Heading 2 + Italic"/>
    <w:basedOn w:val="Heading2"/>
    <w:rsid w:val="000B4A85"/>
    <w:pPr>
      <w:numPr>
        <w:ilvl w:val="0"/>
        <w:numId w:val="0"/>
      </w:numPr>
      <w:tabs>
        <w:tab w:val="num" w:pos="0"/>
      </w:tabs>
      <w:spacing w:after="220"/>
      <w:ind w:hanging="360"/>
    </w:pPr>
    <w:rPr>
      <w:i/>
      <w:iCs/>
    </w:rPr>
  </w:style>
  <w:style w:type="paragraph" w:customStyle="1" w:styleId="Heading4NoNumbers">
    <w:name w:val="Heading 4 No Numbers"/>
    <w:rsid w:val="000B4A85"/>
    <w:pPr>
      <w:tabs>
        <w:tab w:val="left" w:pos="720"/>
      </w:tabs>
      <w:spacing w:after="160"/>
      <w:ind w:left="1800" w:hanging="1080"/>
    </w:pPr>
    <w:rPr>
      <w:b/>
      <w:i/>
      <w:sz w:val="24"/>
    </w:rPr>
  </w:style>
  <w:style w:type="character" w:customStyle="1" w:styleId="Heading4--NoNumbersChar">
    <w:name w:val="Heading 4--No Numbers Char"/>
    <w:basedOn w:val="DefaultParagraphFont"/>
    <w:link w:val="Heading4--NoNumbers"/>
    <w:locked/>
    <w:rsid w:val="000B4A85"/>
    <w:rPr>
      <w:b/>
      <w:sz w:val="24"/>
    </w:rPr>
  </w:style>
  <w:style w:type="character" w:customStyle="1" w:styleId="Heading5Char">
    <w:name w:val="Heading 5 Char"/>
    <w:basedOn w:val="DefaultParagraphFont"/>
    <w:link w:val="Heading5"/>
    <w:rsid w:val="000B4A85"/>
    <w:rPr>
      <w:i/>
      <w:sz w:val="24"/>
    </w:rPr>
  </w:style>
  <w:style w:type="paragraph" w:customStyle="1" w:styleId="Heading5-NoNumbers">
    <w:name w:val="Heading 5-No Numbers"/>
    <w:qFormat/>
    <w:rsid w:val="00DA5A63"/>
    <w:pPr>
      <w:spacing w:after="120"/>
      <w:ind w:left="720"/>
    </w:pPr>
    <w:rPr>
      <w:b/>
      <w:i/>
      <w:sz w:val="24"/>
    </w:rPr>
  </w:style>
  <w:style w:type="paragraph" w:styleId="HTMLAddress">
    <w:name w:val="HTML Address"/>
    <w:basedOn w:val="Normal"/>
    <w:link w:val="HTMLAddressChar"/>
    <w:uiPriority w:val="99"/>
    <w:semiHidden/>
    <w:unhideWhenUsed/>
    <w:rsid w:val="000B4A85"/>
    <w:rPr>
      <w:i/>
      <w:iCs/>
    </w:rPr>
  </w:style>
  <w:style w:type="character" w:customStyle="1" w:styleId="HTMLAddressChar">
    <w:name w:val="HTML Address Char"/>
    <w:basedOn w:val="DefaultParagraphFont"/>
    <w:link w:val="HTMLAddress"/>
    <w:uiPriority w:val="99"/>
    <w:semiHidden/>
    <w:rsid w:val="000B4A85"/>
    <w:rPr>
      <w:i/>
      <w:iCs/>
      <w:sz w:val="24"/>
    </w:rPr>
  </w:style>
  <w:style w:type="character" w:customStyle="1" w:styleId="HTMLAddressChar1">
    <w:name w:val="HTML Address Char1"/>
    <w:basedOn w:val="DefaultParagraphFont"/>
    <w:semiHidden/>
    <w:rsid w:val="000B4A85"/>
    <w:rPr>
      <w:i/>
      <w:iCs/>
      <w:sz w:val="24"/>
    </w:rPr>
  </w:style>
  <w:style w:type="paragraph" w:styleId="HTMLPreformatted">
    <w:name w:val="HTML Preformatted"/>
    <w:basedOn w:val="Normal"/>
    <w:link w:val="HTMLPreformattedChar"/>
    <w:uiPriority w:val="99"/>
    <w:unhideWhenUsed/>
    <w:rsid w:val="000B4A85"/>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B4A85"/>
    <w:rPr>
      <w:rFonts w:ascii="Courier New" w:hAnsi="Courier New" w:cs="Courier New"/>
    </w:rPr>
  </w:style>
  <w:style w:type="paragraph" w:styleId="IntenseQuote">
    <w:name w:val="Intense Quote"/>
    <w:basedOn w:val="Normal"/>
    <w:next w:val="Normal"/>
    <w:link w:val="IntenseQuoteChar"/>
    <w:uiPriority w:val="30"/>
    <w:qFormat/>
    <w:rsid w:val="000B4A8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B4A85"/>
    <w:rPr>
      <w:b/>
      <w:bCs/>
      <w:i/>
      <w:iCs/>
      <w:color w:val="4F81BD" w:themeColor="accent1"/>
      <w:sz w:val="24"/>
    </w:rPr>
  </w:style>
  <w:style w:type="paragraph" w:customStyle="1" w:styleId="ListBulletLast">
    <w:name w:val="List Bullet_Last"/>
    <w:basedOn w:val="Normal"/>
    <w:qFormat/>
    <w:rsid w:val="00C73887"/>
    <w:pPr>
      <w:numPr>
        <w:numId w:val="10"/>
      </w:numPr>
      <w:tabs>
        <w:tab w:val="clear" w:pos="720"/>
      </w:tabs>
      <w:spacing w:after="240"/>
      <w:ind w:left="1080"/>
    </w:pPr>
    <w:rPr>
      <w:szCs w:val="24"/>
    </w:rPr>
  </w:style>
  <w:style w:type="paragraph" w:customStyle="1" w:styleId="ListBulletSingle">
    <w:name w:val="List Bullet_Single"/>
    <w:basedOn w:val="ListBullet"/>
    <w:qFormat/>
    <w:rsid w:val="00C73887"/>
    <w:pPr>
      <w:numPr>
        <w:numId w:val="17"/>
      </w:numPr>
      <w:spacing w:after="40"/>
      <w:ind w:left="1080"/>
    </w:pPr>
    <w:rPr>
      <w:szCs w:val="24"/>
    </w:rPr>
  </w:style>
  <w:style w:type="character" w:customStyle="1" w:styleId="ListNumberChar">
    <w:name w:val="List Number Char"/>
    <w:basedOn w:val="DefaultParagraphFont"/>
    <w:link w:val="ListNumber"/>
    <w:locked/>
    <w:rsid w:val="00C73887"/>
    <w:rPr>
      <w:sz w:val="24"/>
      <w:szCs w:val="24"/>
    </w:rPr>
  </w:style>
  <w:style w:type="paragraph" w:styleId="ListNumber2">
    <w:name w:val="List Number 2"/>
    <w:basedOn w:val="Normal"/>
    <w:uiPriority w:val="99"/>
    <w:unhideWhenUsed/>
    <w:rsid w:val="000B4A85"/>
    <w:pPr>
      <w:numPr>
        <w:numId w:val="12"/>
      </w:numPr>
      <w:spacing w:after="40"/>
    </w:pPr>
    <w:rPr>
      <w:sz w:val="20"/>
    </w:rPr>
  </w:style>
  <w:style w:type="paragraph" w:styleId="ListNumber3">
    <w:name w:val="List Number 3"/>
    <w:basedOn w:val="Normal"/>
    <w:uiPriority w:val="99"/>
    <w:semiHidden/>
    <w:unhideWhenUsed/>
    <w:rsid w:val="000B4A85"/>
    <w:pPr>
      <w:numPr>
        <w:numId w:val="13"/>
      </w:numPr>
      <w:contextualSpacing/>
    </w:pPr>
  </w:style>
  <w:style w:type="paragraph" w:styleId="ListNumber4">
    <w:name w:val="List Number 4"/>
    <w:basedOn w:val="Normal"/>
    <w:uiPriority w:val="99"/>
    <w:semiHidden/>
    <w:unhideWhenUsed/>
    <w:rsid w:val="000B4A85"/>
    <w:pPr>
      <w:numPr>
        <w:numId w:val="14"/>
      </w:numPr>
      <w:contextualSpacing/>
    </w:pPr>
  </w:style>
  <w:style w:type="paragraph" w:styleId="ListNumber5">
    <w:name w:val="List Number 5"/>
    <w:basedOn w:val="Normal"/>
    <w:uiPriority w:val="99"/>
    <w:semiHidden/>
    <w:unhideWhenUsed/>
    <w:rsid w:val="000B4A85"/>
    <w:pPr>
      <w:numPr>
        <w:numId w:val="15"/>
      </w:numPr>
      <w:contextualSpacing/>
    </w:pPr>
  </w:style>
  <w:style w:type="character" w:customStyle="1" w:styleId="ListParagraphChar">
    <w:name w:val="List Paragraph Char"/>
    <w:basedOn w:val="DefaultParagraphFont"/>
    <w:link w:val="ListParagraph"/>
    <w:uiPriority w:val="34"/>
    <w:rsid w:val="000B4A85"/>
    <w:rPr>
      <w:sz w:val="24"/>
    </w:rPr>
  </w:style>
  <w:style w:type="paragraph" w:styleId="MacroText">
    <w:name w:val="macro"/>
    <w:link w:val="MacroTextChar"/>
    <w:uiPriority w:val="99"/>
    <w:semiHidden/>
    <w:unhideWhenUsed/>
    <w:rsid w:val="000B4A8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0B4A85"/>
    <w:rPr>
      <w:rFonts w:ascii="Consolas" w:hAnsi="Consolas" w:cs="Consolas"/>
    </w:rPr>
  </w:style>
  <w:style w:type="paragraph" w:styleId="MessageHeader">
    <w:name w:val="Message Header"/>
    <w:basedOn w:val="Normal"/>
    <w:link w:val="MessageHeaderChar"/>
    <w:uiPriority w:val="99"/>
    <w:semiHidden/>
    <w:unhideWhenUsed/>
    <w:rsid w:val="000B4A8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B4A85"/>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DefaultParagraphFont"/>
    <w:semiHidden/>
    <w:rsid w:val="000B4A85"/>
    <w:rPr>
      <w:rFonts w:asciiTheme="majorHAnsi" w:eastAsiaTheme="majorEastAsia" w:hAnsiTheme="majorHAnsi" w:cstheme="majorBidi"/>
      <w:sz w:val="24"/>
      <w:szCs w:val="24"/>
      <w:shd w:val="pct20" w:color="auto" w:fill="auto"/>
    </w:rPr>
  </w:style>
  <w:style w:type="numbering" w:customStyle="1" w:styleId="NoList1">
    <w:name w:val="No List1"/>
    <w:next w:val="NoList"/>
    <w:uiPriority w:val="99"/>
    <w:semiHidden/>
    <w:unhideWhenUsed/>
    <w:rsid w:val="000B4A85"/>
  </w:style>
  <w:style w:type="character" w:customStyle="1" w:styleId="NoSpacingChar">
    <w:name w:val="No Spacing Char"/>
    <w:basedOn w:val="DefaultParagraphFont"/>
    <w:link w:val="NoSpacing"/>
    <w:uiPriority w:val="1"/>
    <w:rsid w:val="000B4A85"/>
    <w:rPr>
      <w:sz w:val="24"/>
    </w:rPr>
  </w:style>
  <w:style w:type="paragraph" w:styleId="NormalWeb">
    <w:name w:val="Normal (Web)"/>
    <w:basedOn w:val="Normal"/>
    <w:uiPriority w:val="99"/>
    <w:unhideWhenUsed/>
    <w:rsid w:val="000B4A85"/>
    <w:pPr>
      <w:tabs>
        <w:tab w:val="clear" w:pos="720"/>
      </w:tabs>
      <w:spacing w:before="100" w:beforeAutospacing="1" w:after="100" w:afterAutospacing="1"/>
    </w:pPr>
    <w:rPr>
      <w:rFonts w:eastAsiaTheme="minorEastAsia"/>
      <w:szCs w:val="24"/>
    </w:rPr>
  </w:style>
  <w:style w:type="paragraph" w:styleId="NoteHeading">
    <w:name w:val="Note Heading"/>
    <w:basedOn w:val="Normal"/>
    <w:next w:val="Normal"/>
    <w:link w:val="NoteHeadingChar"/>
    <w:uiPriority w:val="99"/>
    <w:semiHidden/>
    <w:unhideWhenUsed/>
    <w:rsid w:val="000B4A85"/>
  </w:style>
  <w:style w:type="character" w:customStyle="1" w:styleId="NoteHeadingChar">
    <w:name w:val="Note Heading Char"/>
    <w:basedOn w:val="DefaultParagraphFont"/>
    <w:link w:val="NoteHeading"/>
    <w:uiPriority w:val="99"/>
    <w:semiHidden/>
    <w:rsid w:val="000B4A85"/>
    <w:rPr>
      <w:sz w:val="24"/>
    </w:rPr>
  </w:style>
  <w:style w:type="paragraph" w:customStyle="1" w:styleId="PartName">
    <w:name w:val="Part Name"/>
    <w:basedOn w:val="Normal"/>
    <w:semiHidden/>
    <w:rsid w:val="000B4A85"/>
    <w:pPr>
      <w:tabs>
        <w:tab w:val="clear" w:pos="720"/>
        <w:tab w:val="left" w:pos="1440"/>
      </w:tabs>
      <w:jc w:val="center"/>
    </w:pPr>
    <w:rPr>
      <w:b/>
      <w:sz w:val="36"/>
      <w:szCs w:val="36"/>
    </w:rPr>
  </w:style>
  <w:style w:type="character" w:styleId="PlaceholderText">
    <w:name w:val="Placeholder Text"/>
    <w:basedOn w:val="DefaultParagraphFont"/>
    <w:uiPriority w:val="99"/>
    <w:rsid w:val="000B4A85"/>
    <w:rPr>
      <w:color w:val="808080"/>
    </w:rPr>
  </w:style>
  <w:style w:type="paragraph" w:styleId="PlainText">
    <w:name w:val="Plain Text"/>
    <w:basedOn w:val="Normal"/>
    <w:link w:val="PlainTextChar"/>
    <w:uiPriority w:val="99"/>
    <w:semiHidden/>
    <w:unhideWhenUsed/>
    <w:rsid w:val="000B4A85"/>
    <w:rPr>
      <w:rFonts w:ascii="Consolas" w:hAnsi="Consolas" w:cs="Consolas"/>
      <w:sz w:val="21"/>
      <w:szCs w:val="21"/>
    </w:rPr>
  </w:style>
  <w:style w:type="character" w:customStyle="1" w:styleId="PlainTextChar">
    <w:name w:val="Plain Text Char"/>
    <w:basedOn w:val="DefaultParagraphFont"/>
    <w:link w:val="PlainText"/>
    <w:uiPriority w:val="99"/>
    <w:semiHidden/>
    <w:rsid w:val="000B4A85"/>
    <w:rPr>
      <w:rFonts w:ascii="Consolas" w:hAnsi="Consolas" w:cs="Consolas"/>
      <w:sz w:val="21"/>
      <w:szCs w:val="21"/>
    </w:rPr>
  </w:style>
  <w:style w:type="character" w:customStyle="1" w:styleId="PlainTextChar1">
    <w:name w:val="Plain Text Char1"/>
    <w:basedOn w:val="DefaultParagraphFont"/>
    <w:semiHidden/>
    <w:rsid w:val="000B4A85"/>
    <w:rPr>
      <w:rFonts w:ascii="Consolas" w:hAnsi="Consolas" w:cs="Consolas"/>
      <w:sz w:val="21"/>
      <w:szCs w:val="21"/>
    </w:rPr>
  </w:style>
  <w:style w:type="paragraph" w:styleId="Quote">
    <w:name w:val="Quote"/>
    <w:basedOn w:val="Normal"/>
    <w:next w:val="Normal"/>
    <w:link w:val="QuoteChar"/>
    <w:uiPriority w:val="29"/>
    <w:qFormat/>
    <w:rsid w:val="000B4A85"/>
    <w:rPr>
      <w:i/>
      <w:iCs/>
      <w:color w:val="000000" w:themeColor="text1"/>
    </w:rPr>
  </w:style>
  <w:style w:type="character" w:customStyle="1" w:styleId="QuoteChar">
    <w:name w:val="Quote Char"/>
    <w:basedOn w:val="DefaultParagraphFont"/>
    <w:link w:val="Quote"/>
    <w:uiPriority w:val="29"/>
    <w:rsid w:val="000B4A85"/>
    <w:rPr>
      <w:i/>
      <w:iCs/>
      <w:color w:val="000000" w:themeColor="text1"/>
      <w:sz w:val="24"/>
    </w:rPr>
  </w:style>
  <w:style w:type="paragraph" w:styleId="Subtitle">
    <w:name w:val="Subtitle"/>
    <w:basedOn w:val="Normal"/>
    <w:next w:val="Normal"/>
    <w:link w:val="SubtitleChar"/>
    <w:qFormat/>
    <w:rsid w:val="000B4A8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B4A85"/>
    <w:rPr>
      <w:rFonts w:asciiTheme="majorHAnsi" w:eastAsiaTheme="majorEastAsia" w:hAnsiTheme="majorHAnsi" w:cstheme="majorBidi"/>
      <w:i/>
      <w:iCs/>
      <w:color w:val="4F81BD" w:themeColor="accent1"/>
      <w:spacing w:val="15"/>
      <w:sz w:val="24"/>
      <w:szCs w:val="24"/>
    </w:rPr>
  </w:style>
  <w:style w:type="character" w:customStyle="1" w:styleId="TableHeadingChar1">
    <w:name w:val="Table Heading Char1"/>
    <w:basedOn w:val="DefaultParagraphFont"/>
    <w:link w:val="TableHeading"/>
    <w:rsid w:val="000B4A85"/>
    <w:rPr>
      <w:b/>
      <w:sz w:val="24"/>
    </w:rPr>
  </w:style>
  <w:style w:type="paragraph" w:customStyle="1" w:styleId="TableParagraph">
    <w:name w:val="Table Paragraph"/>
    <w:basedOn w:val="Normal"/>
    <w:uiPriority w:val="1"/>
    <w:qFormat/>
    <w:rsid w:val="000B4A85"/>
    <w:pPr>
      <w:tabs>
        <w:tab w:val="clear" w:pos="720"/>
      </w:tabs>
      <w:autoSpaceDE w:val="0"/>
      <w:autoSpaceDN w:val="0"/>
      <w:adjustRightInd w:val="0"/>
    </w:pPr>
    <w:rPr>
      <w:rFonts w:eastAsiaTheme="minorHAnsi"/>
      <w:sz w:val="20"/>
      <w:szCs w:val="24"/>
    </w:rPr>
  </w:style>
  <w:style w:type="character" w:customStyle="1" w:styleId="TableTitleChar">
    <w:name w:val="Table Title Char"/>
    <w:basedOn w:val="DefaultParagraphFont"/>
    <w:link w:val="TableTitle"/>
    <w:rsid w:val="00C73887"/>
    <w:rPr>
      <w:b/>
      <w:sz w:val="24"/>
    </w:rPr>
  </w:style>
  <w:style w:type="paragraph" w:customStyle="1" w:styleId="Tablefootnotes">
    <w:name w:val="Table_footnotes"/>
    <w:uiPriority w:val="99"/>
    <w:rsid w:val="00C73887"/>
    <w:pPr>
      <w:tabs>
        <w:tab w:val="left" w:pos="360"/>
      </w:tabs>
      <w:autoSpaceDE w:val="0"/>
      <w:autoSpaceDN w:val="0"/>
      <w:adjustRightInd w:val="0"/>
      <w:spacing w:before="60"/>
      <w:ind w:left="360" w:hanging="360"/>
    </w:pPr>
    <w:rPr>
      <w:rFonts w:asciiTheme="majorHAnsi" w:hAnsiTheme="majorHAnsi"/>
      <w:color w:val="000000"/>
      <w:sz w:val="18"/>
      <w:szCs w:val="24"/>
    </w:rPr>
  </w:style>
  <w:style w:type="paragraph" w:styleId="Title">
    <w:name w:val="Title"/>
    <w:basedOn w:val="Normal"/>
    <w:link w:val="TitleChar"/>
    <w:qFormat/>
    <w:rsid w:val="000B4A85"/>
    <w:pPr>
      <w:jc w:val="center"/>
      <w:outlineLvl w:val="0"/>
    </w:pPr>
    <w:rPr>
      <w:rFonts w:ascii="Times New Roman Bold" w:hAnsi="Times New Roman Bold" w:cs="Arial"/>
      <w:b/>
      <w:bCs/>
      <w:caps/>
      <w:kern w:val="28"/>
      <w:sz w:val="36"/>
      <w:szCs w:val="32"/>
    </w:rPr>
  </w:style>
  <w:style w:type="character" w:customStyle="1" w:styleId="TitleChar">
    <w:name w:val="Title Char"/>
    <w:basedOn w:val="DefaultParagraphFont"/>
    <w:link w:val="Title"/>
    <w:rsid w:val="000B4A85"/>
    <w:rPr>
      <w:rFonts w:ascii="Times New Roman Bold" w:hAnsi="Times New Roman Bold" w:cs="Arial"/>
      <w:b/>
      <w:bCs/>
      <w:caps/>
      <w:kern w:val="28"/>
      <w:sz w:val="36"/>
      <w:szCs w:val="32"/>
    </w:rPr>
  </w:style>
  <w:style w:type="paragraph" w:styleId="TOCHeading">
    <w:name w:val="TOC Heading"/>
    <w:basedOn w:val="Heading1"/>
    <w:next w:val="Normal"/>
    <w:uiPriority w:val="39"/>
    <w:unhideWhenUsed/>
    <w:qFormat/>
    <w:rsid w:val="000B4A85"/>
    <w:pPr>
      <w:keepLines/>
      <w:numPr>
        <w:numId w:val="0"/>
      </w:numPr>
      <w:spacing w:before="480" w:after="0" w:line="276" w:lineRule="auto"/>
      <w:outlineLvl w:val="9"/>
    </w:pPr>
    <w:rPr>
      <w:rFonts w:asciiTheme="majorHAnsi" w:eastAsiaTheme="majorEastAsia" w:hAnsiTheme="majorHAnsi" w:cstheme="majorBidi"/>
      <w:bCs/>
      <w:smallCaps w:val="0"/>
      <w:color w:val="365F91" w:themeColor="accent1" w:themeShade="BF"/>
      <w:kern w:val="0"/>
      <w:sz w:val="28"/>
      <w:szCs w:val="28"/>
    </w:rPr>
  </w:style>
  <w:style w:type="paragraph" w:customStyle="1" w:styleId="TOCtitles">
    <w:name w:val="TOC_titles"/>
    <w:qFormat/>
    <w:rsid w:val="000B4A85"/>
    <w:pPr>
      <w:jc w:val="center"/>
    </w:pPr>
    <w:rPr>
      <w:b/>
      <w:sz w:val="24"/>
    </w:rPr>
  </w:style>
  <w:style w:type="paragraph" w:customStyle="1" w:styleId="AppendixHead">
    <w:name w:val="Appendix_Head"/>
    <w:qFormat/>
    <w:rsid w:val="00A33A9B"/>
    <w:pPr>
      <w:jc w:val="center"/>
    </w:pPr>
    <w:rPr>
      <w:rFonts w:ascii="Times New Roman Bold" w:hAnsi="Times New Roman Bold"/>
      <w:b/>
      <w:caps/>
      <w:sz w:val="28"/>
    </w:rPr>
  </w:style>
  <w:style w:type="paragraph" w:customStyle="1" w:styleId="TableTitlesAppendix">
    <w:name w:val="Table Titles_Appendix"/>
    <w:qFormat/>
    <w:rsid w:val="00572575"/>
    <w:pPr>
      <w:keepNext/>
      <w:spacing w:before="40" w:after="80"/>
      <w:jc w:val="center"/>
    </w:pPr>
    <w:rPr>
      <w:b/>
      <w:bCs/>
      <w:sz w:val="24"/>
      <w:szCs w:val="18"/>
    </w:rPr>
  </w:style>
  <w:style w:type="paragraph" w:customStyle="1" w:styleId="Where">
    <w:name w:val="Where"/>
    <w:qFormat/>
    <w:rsid w:val="0053360A"/>
    <w:pPr>
      <w:spacing w:after="120"/>
    </w:pPr>
    <w:rPr>
      <w:sz w:val="24"/>
    </w:rPr>
  </w:style>
  <w:style w:type="paragraph" w:styleId="z-TopofForm">
    <w:name w:val="HTML Top of Form"/>
    <w:basedOn w:val="Normal"/>
    <w:next w:val="Normal"/>
    <w:link w:val="z-TopofFormChar"/>
    <w:hidden/>
    <w:uiPriority w:val="99"/>
    <w:semiHidden/>
    <w:unhideWhenUsed/>
    <w:rsid w:val="00663C8F"/>
    <w:pPr>
      <w:pBdr>
        <w:bottom w:val="single" w:sz="6" w:space="1" w:color="auto"/>
      </w:pBdr>
      <w:tabs>
        <w:tab w:val="clear" w:pos="720"/>
      </w:tabs>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63C8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63C8F"/>
    <w:pPr>
      <w:pBdr>
        <w:top w:val="single" w:sz="6" w:space="1" w:color="auto"/>
      </w:pBdr>
      <w:tabs>
        <w:tab w:val="clear" w:pos="720"/>
      </w:tabs>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63C8F"/>
    <w:rPr>
      <w:rFonts w:ascii="Arial" w:hAnsi="Arial" w:cs="Arial"/>
      <w:vanish/>
      <w:sz w:val="16"/>
      <w:szCs w:val="16"/>
    </w:rPr>
  </w:style>
  <w:style w:type="paragraph" w:styleId="Bibliography">
    <w:name w:val="Bibliography"/>
    <w:basedOn w:val="Normal"/>
    <w:next w:val="Normal"/>
    <w:uiPriority w:val="37"/>
    <w:unhideWhenUsed/>
    <w:rsid w:val="00563078"/>
    <w:pPr>
      <w:tabs>
        <w:tab w:val="clear" w:pos="720"/>
      </w:tabs>
      <w:spacing w:after="200" w:line="276" w:lineRule="auto"/>
    </w:pPr>
    <w:rPr>
      <w:szCs w:val="22"/>
    </w:rPr>
  </w:style>
  <w:style w:type="character" w:styleId="Mention">
    <w:name w:val="Mention"/>
    <w:basedOn w:val="DefaultParagraphFont"/>
    <w:uiPriority w:val="99"/>
    <w:semiHidden/>
    <w:unhideWhenUsed/>
    <w:rsid w:val="0065303F"/>
    <w:rPr>
      <w:color w:val="2B579A"/>
      <w:shd w:val="clear" w:color="auto" w:fill="E6E6E6"/>
    </w:rPr>
  </w:style>
  <w:style w:type="paragraph" w:customStyle="1" w:styleId="Subtitle2">
    <w:name w:val="Subtitle2"/>
    <w:qFormat/>
    <w:rsid w:val="00D016C6"/>
    <w:pPr>
      <w:spacing w:after="240"/>
      <w:jc w:val="center"/>
    </w:pPr>
    <w:rPr>
      <w:rFonts w:ascii="Times New Roman Bold" w:hAnsi="Times New Roman Bold"/>
      <w:b/>
      <w:caps/>
      <w:sz w:val="24"/>
    </w:rPr>
  </w:style>
  <w:style w:type="table" w:styleId="GridTable4-Accent1">
    <w:name w:val="Grid Table 4 Accent 1"/>
    <w:basedOn w:val="TableNormal"/>
    <w:uiPriority w:val="49"/>
    <w:rsid w:val="009C00CA"/>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5F5D75"/>
    <w:rPr>
      <w:color w:val="605E5C"/>
      <w:shd w:val="clear" w:color="auto" w:fill="E1DFDD"/>
    </w:rPr>
  </w:style>
  <w:style w:type="paragraph" w:customStyle="1" w:styleId="ListBulletlast0">
    <w:name w:val="List Bullet_last"/>
    <w:basedOn w:val="Normal"/>
    <w:qFormat/>
    <w:rsid w:val="00854D34"/>
    <w:pPr>
      <w:numPr>
        <w:numId w:val="5"/>
      </w:numPr>
      <w:tabs>
        <w:tab w:val="clear" w:pos="720"/>
      </w:tabs>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62279">
      <w:bodyDiv w:val="1"/>
      <w:marLeft w:val="0"/>
      <w:marRight w:val="0"/>
      <w:marTop w:val="0"/>
      <w:marBottom w:val="0"/>
      <w:divBdr>
        <w:top w:val="none" w:sz="0" w:space="0" w:color="auto"/>
        <w:left w:val="none" w:sz="0" w:space="0" w:color="auto"/>
        <w:bottom w:val="none" w:sz="0" w:space="0" w:color="auto"/>
        <w:right w:val="none" w:sz="0" w:space="0" w:color="auto"/>
      </w:divBdr>
    </w:div>
    <w:div w:id="63727242">
      <w:bodyDiv w:val="1"/>
      <w:marLeft w:val="0"/>
      <w:marRight w:val="0"/>
      <w:marTop w:val="0"/>
      <w:marBottom w:val="0"/>
      <w:divBdr>
        <w:top w:val="none" w:sz="0" w:space="0" w:color="auto"/>
        <w:left w:val="none" w:sz="0" w:space="0" w:color="auto"/>
        <w:bottom w:val="none" w:sz="0" w:space="0" w:color="auto"/>
        <w:right w:val="none" w:sz="0" w:space="0" w:color="auto"/>
      </w:divBdr>
    </w:div>
    <w:div w:id="73480705">
      <w:bodyDiv w:val="1"/>
      <w:marLeft w:val="0"/>
      <w:marRight w:val="0"/>
      <w:marTop w:val="0"/>
      <w:marBottom w:val="0"/>
      <w:divBdr>
        <w:top w:val="none" w:sz="0" w:space="0" w:color="auto"/>
        <w:left w:val="none" w:sz="0" w:space="0" w:color="auto"/>
        <w:bottom w:val="none" w:sz="0" w:space="0" w:color="auto"/>
        <w:right w:val="none" w:sz="0" w:space="0" w:color="auto"/>
      </w:divBdr>
    </w:div>
    <w:div w:id="75440187">
      <w:bodyDiv w:val="1"/>
      <w:marLeft w:val="0"/>
      <w:marRight w:val="0"/>
      <w:marTop w:val="0"/>
      <w:marBottom w:val="0"/>
      <w:divBdr>
        <w:top w:val="none" w:sz="0" w:space="0" w:color="auto"/>
        <w:left w:val="none" w:sz="0" w:space="0" w:color="auto"/>
        <w:bottom w:val="none" w:sz="0" w:space="0" w:color="auto"/>
        <w:right w:val="none" w:sz="0" w:space="0" w:color="auto"/>
      </w:divBdr>
    </w:div>
    <w:div w:id="79714452">
      <w:bodyDiv w:val="1"/>
      <w:marLeft w:val="0"/>
      <w:marRight w:val="0"/>
      <w:marTop w:val="0"/>
      <w:marBottom w:val="0"/>
      <w:divBdr>
        <w:top w:val="none" w:sz="0" w:space="0" w:color="auto"/>
        <w:left w:val="none" w:sz="0" w:space="0" w:color="auto"/>
        <w:bottom w:val="none" w:sz="0" w:space="0" w:color="auto"/>
        <w:right w:val="none" w:sz="0" w:space="0" w:color="auto"/>
      </w:divBdr>
    </w:div>
    <w:div w:id="87242594">
      <w:bodyDiv w:val="1"/>
      <w:marLeft w:val="0"/>
      <w:marRight w:val="0"/>
      <w:marTop w:val="0"/>
      <w:marBottom w:val="0"/>
      <w:divBdr>
        <w:top w:val="none" w:sz="0" w:space="0" w:color="auto"/>
        <w:left w:val="none" w:sz="0" w:space="0" w:color="auto"/>
        <w:bottom w:val="none" w:sz="0" w:space="0" w:color="auto"/>
        <w:right w:val="none" w:sz="0" w:space="0" w:color="auto"/>
      </w:divBdr>
    </w:div>
    <w:div w:id="92479225">
      <w:bodyDiv w:val="1"/>
      <w:marLeft w:val="0"/>
      <w:marRight w:val="0"/>
      <w:marTop w:val="0"/>
      <w:marBottom w:val="0"/>
      <w:divBdr>
        <w:top w:val="none" w:sz="0" w:space="0" w:color="auto"/>
        <w:left w:val="none" w:sz="0" w:space="0" w:color="auto"/>
        <w:bottom w:val="none" w:sz="0" w:space="0" w:color="auto"/>
        <w:right w:val="none" w:sz="0" w:space="0" w:color="auto"/>
      </w:divBdr>
    </w:div>
    <w:div w:id="110823151">
      <w:bodyDiv w:val="1"/>
      <w:marLeft w:val="0"/>
      <w:marRight w:val="0"/>
      <w:marTop w:val="0"/>
      <w:marBottom w:val="0"/>
      <w:divBdr>
        <w:top w:val="none" w:sz="0" w:space="0" w:color="auto"/>
        <w:left w:val="none" w:sz="0" w:space="0" w:color="auto"/>
        <w:bottom w:val="none" w:sz="0" w:space="0" w:color="auto"/>
        <w:right w:val="none" w:sz="0" w:space="0" w:color="auto"/>
      </w:divBdr>
    </w:div>
    <w:div w:id="113212972">
      <w:bodyDiv w:val="1"/>
      <w:marLeft w:val="0"/>
      <w:marRight w:val="0"/>
      <w:marTop w:val="0"/>
      <w:marBottom w:val="0"/>
      <w:divBdr>
        <w:top w:val="none" w:sz="0" w:space="0" w:color="auto"/>
        <w:left w:val="none" w:sz="0" w:space="0" w:color="auto"/>
        <w:bottom w:val="none" w:sz="0" w:space="0" w:color="auto"/>
        <w:right w:val="none" w:sz="0" w:space="0" w:color="auto"/>
      </w:divBdr>
    </w:div>
    <w:div w:id="126052240">
      <w:bodyDiv w:val="1"/>
      <w:marLeft w:val="0"/>
      <w:marRight w:val="0"/>
      <w:marTop w:val="0"/>
      <w:marBottom w:val="0"/>
      <w:divBdr>
        <w:top w:val="none" w:sz="0" w:space="0" w:color="auto"/>
        <w:left w:val="none" w:sz="0" w:space="0" w:color="auto"/>
        <w:bottom w:val="none" w:sz="0" w:space="0" w:color="auto"/>
        <w:right w:val="none" w:sz="0" w:space="0" w:color="auto"/>
      </w:divBdr>
      <w:divsChild>
        <w:div w:id="1232347031">
          <w:marLeft w:val="1166"/>
          <w:marRight w:val="0"/>
          <w:marTop w:val="67"/>
          <w:marBottom w:val="0"/>
          <w:divBdr>
            <w:top w:val="none" w:sz="0" w:space="0" w:color="auto"/>
            <w:left w:val="none" w:sz="0" w:space="0" w:color="auto"/>
            <w:bottom w:val="none" w:sz="0" w:space="0" w:color="auto"/>
            <w:right w:val="none" w:sz="0" w:space="0" w:color="auto"/>
          </w:divBdr>
        </w:div>
        <w:div w:id="549266557">
          <w:marLeft w:val="1166"/>
          <w:marRight w:val="0"/>
          <w:marTop w:val="67"/>
          <w:marBottom w:val="0"/>
          <w:divBdr>
            <w:top w:val="none" w:sz="0" w:space="0" w:color="auto"/>
            <w:left w:val="none" w:sz="0" w:space="0" w:color="auto"/>
            <w:bottom w:val="none" w:sz="0" w:space="0" w:color="auto"/>
            <w:right w:val="none" w:sz="0" w:space="0" w:color="auto"/>
          </w:divBdr>
        </w:div>
        <w:div w:id="342902263">
          <w:marLeft w:val="1166"/>
          <w:marRight w:val="0"/>
          <w:marTop w:val="67"/>
          <w:marBottom w:val="0"/>
          <w:divBdr>
            <w:top w:val="none" w:sz="0" w:space="0" w:color="auto"/>
            <w:left w:val="none" w:sz="0" w:space="0" w:color="auto"/>
            <w:bottom w:val="none" w:sz="0" w:space="0" w:color="auto"/>
            <w:right w:val="none" w:sz="0" w:space="0" w:color="auto"/>
          </w:divBdr>
        </w:div>
        <w:div w:id="2130539495">
          <w:marLeft w:val="1166"/>
          <w:marRight w:val="0"/>
          <w:marTop w:val="67"/>
          <w:marBottom w:val="0"/>
          <w:divBdr>
            <w:top w:val="none" w:sz="0" w:space="0" w:color="auto"/>
            <w:left w:val="none" w:sz="0" w:space="0" w:color="auto"/>
            <w:bottom w:val="none" w:sz="0" w:space="0" w:color="auto"/>
            <w:right w:val="none" w:sz="0" w:space="0" w:color="auto"/>
          </w:divBdr>
        </w:div>
        <w:div w:id="320278886">
          <w:marLeft w:val="1166"/>
          <w:marRight w:val="0"/>
          <w:marTop w:val="67"/>
          <w:marBottom w:val="0"/>
          <w:divBdr>
            <w:top w:val="none" w:sz="0" w:space="0" w:color="auto"/>
            <w:left w:val="none" w:sz="0" w:space="0" w:color="auto"/>
            <w:bottom w:val="none" w:sz="0" w:space="0" w:color="auto"/>
            <w:right w:val="none" w:sz="0" w:space="0" w:color="auto"/>
          </w:divBdr>
        </w:div>
      </w:divsChild>
    </w:div>
    <w:div w:id="134220604">
      <w:bodyDiv w:val="1"/>
      <w:marLeft w:val="0"/>
      <w:marRight w:val="0"/>
      <w:marTop w:val="0"/>
      <w:marBottom w:val="0"/>
      <w:divBdr>
        <w:top w:val="none" w:sz="0" w:space="0" w:color="auto"/>
        <w:left w:val="none" w:sz="0" w:space="0" w:color="auto"/>
        <w:bottom w:val="none" w:sz="0" w:space="0" w:color="auto"/>
        <w:right w:val="none" w:sz="0" w:space="0" w:color="auto"/>
      </w:divBdr>
    </w:div>
    <w:div w:id="158811451">
      <w:bodyDiv w:val="1"/>
      <w:marLeft w:val="0"/>
      <w:marRight w:val="0"/>
      <w:marTop w:val="0"/>
      <w:marBottom w:val="0"/>
      <w:divBdr>
        <w:top w:val="none" w:sz="0" w:space="0" w:color="auto"/>
        <w:left w:val="none" w:sz="0" w:space="0" w:color="auto"/>
        <w:bottom w:val="none" w:sz="0" w:space="0" w:color="auto"/>
        <w:right w:val="none" w:sz="0" w:space="0" w:color="auto"/>
      </w:divBdr>
    </w:div>
    <w:div w:id="187530773">
      <w:bodyDiv w:val="1"/>
      <w:marLeft w:val="0"/>
      <w:marRight w:val="0"/>
      <w:marTop w:val="0"/>
      <w:marBottom w:val="0"/>
      <w:divBdr>
        <w:top w:val="none" w:sz="0" w:space="0" w:color="auto"/>
        <w:left w:val="none" w:sz="0" w:space="0" w:color="auto"/>
        <w:bottom w:val="none" w:sz="0" w:space="0" w:color="auto"/>
        <w:right w:val="none" w:sz="0" w:space="0" w:color="auto"/>
      </w:divBdr>
    </w:div>
    <w:div w:id="200017236">
      <w:bodyDiv w:val="1"/>
      <w:marLeft w:val="0"/>
      <w:marRight w:val="0"/>
      <w:marTop w:val="0"/>
      <w:marBottom w:val="0"/>
      <w:divBdr>
        <w:top w:val="none" w:sz="0" w:space="0" w:color="auto"/>
        <w:left w:val="none" w:sz="0" w:space="0" w:color="auto"/>
        <w:bottom w:val="none" w:sz="0" w:space="0" w:color="auto"/>
        <w:right w:val="none" w:sz="0" w:space="0" w:color="auto"/>
      </w:divBdr>
    </w:div>
    <w:div w:id="239682804">
      <w:bodyDiv w:val="1"/>
      <w:marLeft w:val="0"/>
      <w:marRight w:val="0"/>
      <w:marTop w:val="0"/>
      <w:marBottom w:val="0"/>
      <w:divBdr>
        <w:top w:val="none" w:sz="0" w:space="0" w:color="auto"/>
        <w:left w:val="none" w:sz="0" w:space="0" w:color="auto"/>
        <w:bottom w:val="none" w:sz="0" w:space="0" w:color="auto"/>
        <w:right w:val="none" w:sz="0" w:space="0" w:color="auto"/>
      </w:divBdr>
    </w:div>
    <w:div w:id="240679620">
      <w:bodyDiv w:val="1"/>
      <w:marLeft w:val="0"/>
      <w:marRight w:val="0"/>
      <w:marTop w:val="0"/>
      <w:marBottom w:val="0"/>
      <w:divBdr>
        <w:top w:val="none" w:sz="0" w:space="0" w:color="auto"/>
        <w:left w:val="none" w:sz="0" w:space="0" w:color="auto"/>
        <w:bottom w:val="none" w:sz="0" w:space="0" w:color="auto"/>
        <w:right w:val="none" w:sz="0" w:space="0" w:color="auto"/>
      </w:divBdr>
    </w:div>
    <w:div w:id="244729795">
      <w:bodyDiv w:val="1"/>
      <w:marLeft w:val="0"/>
      <w:marRight w:val="0"/>
      <w:marTop w:val="0"/>
      <w:marBottom w:val="0"/>
      <w:divBdr>
        <w:top w:val="none" w:sz="0" w:space="0" w:color="auto"/>
        <w:left w:val="none" w:sz="0" w:space="0" w:color="auto"/>
        <w:bottom w:val="none" w:sz="0" w:space="0" w:color="auto"/>
        <w:right w:val="none" w:sz="0" w:space="0" w:color="auto"/>
      </w:divBdr>
    </w:div>
    <w:div w:id="250508434">
      <w:bodyDiv w:val="1"/>
      <w:marLeft w:val="0"/>
      <w:marRight w:val="0"/>
      <w:marTop w:val="0"/>
      <w:marBottom w:val="0"/>
      <w:divBdr>
        <w:top w:val="none" w:sz="0" w:space="0" w:color="auto"/>
        <w:left w:val="none" w:sz="0" w:space="0" w:color="auto"/>
        <w:bottom w:val="none" w:sz="0" w:space="0" w:color="auto"/>
        <w:right w:val="none" w:sz="0" w:space="0" w:color="auto"/>
      </w:divBdr>
    </w:div>
    <w:div w:id="252789699">
      <w:bodyDiv w:val="1"/>
      <w:marLeft w:val="0"/>
      <w:marRight w:val="0"/>
      <w:marTop w:val="0"/>
      <w:marBottom w:val="0"/>
      <w:divBdr>
        <w:top w:val="none" w:sz="0" w:space="0" w:color="auto"/>
        <w:left w:val="none" w:sz="0" w:space="0" w:color="auto"/>
        <w:bottom w:val="none" w:sz="0" w:space="0" w:color="auto"/>
        <w:right w:val="none" w:sz="0" w:space="0" w:color="auto"/>
      </w:divBdr>
    </w:div>
    <w:div w:id="286666866">
      <w:bodyDiv w:val="1"/>
      <w:marLeft w:val="0"/>
      <w:marRight w:val="0"/>
      <w:marTop w:val="0"/>
      <w:marBottom w:val="0"/>
      <w:divBdr>
        <w:top w:val="none" w:sz="0" w:space="0" w:color="auto"/>
        <w:left w:val="none" w:sz="0" w:space="0" w:color="auto"/>
        <w:bottom w:val="none" w:sz="0" w:space="0" w:color="auto"/>
        <w:right w:val="none" w:sz="0" w:space="0" w:color="auto"/>
      </w:divBdr>
    </w:div>
    <w:div w:id="292099815">
      <w:bodyDiv w:val="1"/>
      <w:marLeft w:val="0"/>
      <w:marRight w:val="0"/>
      <w:marTop w:val="0"/>
      <w:marBottom w:val="0"/>
      <w:divBdr>
        <w:top w:val="none" w:sz="0" w:space="0" w:color="auto"/>
        <w:left w:val="none" w:sz="0" w:space="0" w:color="auto"/>
        <w:bottom w:val="none" w:sz="0" w:space="0" w:color="auto"/>
        <w:right w:val="none" w:sz="0" w:space="0" w:color="auto"/>
      </w:divBdr>
    </w:div>
    <w:div w:id="307977614">
      <w:bodyDiv w:val="1"/>
      <w:marLeft w:val="0"/>
      <w:marRight w:val="0"/>
      <w:marTop w:val="0"/>
      <w:marBottom w:val="0"/>
      <w:divBdr>
        <w:top w:val="none" w:sz="0" w:space="0" w:color="auto"/>
        <w:left w:val="none" w:sz="0" w:space="0" w:color="auto"/>
        <w:bottom w:val="none" w:sz="0" w:space="0" w:color="auto"/>
        <w:right w:val="none" w:sz="0" w:space="0" w:color="auto"/>
      </w:divBdr>
    </w:div>
    <w:div w:id="317854775">
      <w:bodyDiv w:val="1"/>
      <w:marLeft w:val="0"/>
      <w:marRight w:val="0"/>
      <w:marTop w:val="0"/>
      <w:marBottom w:val="0"/>
      <w:divBdr>
        <w:top w:val="none" w:sz="0" w:space="0" w:color="auto"/>
        <w:left w:val="none" w:sz="0" w:space="0" w:color="auto"/>
        <w:bottom w:val="none" w:sz="0" w:space="0" w:color="auto"/>
        <w:right w:val="none" w:sz="0" w:space="0" w:color="auto"/>
      </w:divBdr>
    </w:div>
    <w:div w:id="322050327">
      <w:bodyDiv w:val="1"/>
      <w:marLeft w:val="0"/>
      <w:marRight w:val="0"/>
      <w:marTop w:val="0"/>
      <w:marBottom w:val="0"/>
      <w:divBdr>
        <w:top w:val="none" w:sz="0" w:space="0" w:color="auto"/>
        <w:left w:val="none" w:sz="0" w:space="0" w:color="auto"/>
        <w:bottom w:val="none" w:sz="0" w:space="0" w:color="auto"/>
        <w:right w:val="none" w:sz="0" w:space="0" w:color="auto"/>
      </w:divBdr>
    </w:div>
    <w:div w:id="323779762">
      <w:bodyDiv w:val="1"/>
      <w:marLeft w:val="0"/>
      <w:marRight w:val="0"/>
      <w:marTop w:val="0"/>
      <w:marBottom w:val="0"/>
      <w:divBdr>
        <w:top w:val="none" w:sz="0" w:space="0" w:color="auto"/>
        <w:left w:val="none" w:sz="0" w:space="0" w:color="auto"/>
        <w:bottom w:val="none" w:sz="0" w:space="0" w:color="auto"/>
        <w:right w:val="none" w:sz="0" w:space="0" w:color="auto"/>
      </w:divBdr>
    </w:div>
    <w:div w:id="341396428">
      <w:bodyDiv w:val="1"/>
      <w:marLeft w:val="0"/>
      <w:marRight w:val="0"/>
      <w:marTop w:val="0"/>
      <w:marBottom w:val="0"/>
      <w:divBdr>
        <w:top w:val="none" w:sz="0" w:space="0" w:color="auto"/>
        <w:left w:val="none" w:sz="0" w:space="0" w:color="auto"/>
        <w:bottom w:val="none" w:sz="0" w:space="0" w:color="auto"/>
        <w:right w:val="none" w:sz="0" w:space="0" w:color="auto"/>
      </w:divBdr>
    </w:div>
    <w:div w:id="342897691">
      <w:bodyDiv w:val="1"/>
      <w:marLeft w:val="0"/>
      <w:marRight w:val="0"/>
      <w:marTop w:val="0"/>
      <w:marBottom w:val="0"/>
      <w:divBdr>
        <w:top w:val="none" w:sz="0" w:space="0" w:color="auto"/>
        <w:left w:val="none" w:sz="0" w:space="0" w:color="auto"/>
        <w:bottom w:val="none" w:sz="0" w:space="0" w:color="auto"/>
        <w:right w:val="none" w:sz="0" w:space="0" w:color="auto"/>
      </w:divBdr>
    </w:div>
    <w:div w:id="365953029">
      <w:bodyDiv w:val="1"/>
      <w:marLeft w:val="0"/>
      <w:marRight w:val="0"/>
      <w:marTop w:val="0"/>
      <w:marBottom w:val="0"/>
      <w:divBdr>
        <w:top w:val="none" w:sz="0" w:space="0" w:color="auto"/>
        <w:left w:val="none" w:sz="0" w:space="0" w:color="auto"/>
        <w:bottom w:val="none" w:sz="0" w:space="0" w:color="auto"/>
        <w:right w:val="none" w:sz="0" w:space="0" w:color="auto"/>
      </w:divBdr>
    </w:div>
    <w:div w:id="375391752">
      <w:bodyDiv w:val="1"/>
      <w:marLeft w:val="0"/>
      <w:marRight w:val="0"/>
      <w:marTop w:val="0"/>
      <w:marBottom w:val="0"/>
      <w:divBdr>
        <w:top w:val="none" w:sz="0" w:space="0" w:color="auto"/>
        <w:left w:val="none" w:sz="0" w:space="0" w:color="auto"/>
        <w:bottom w:val="none" w:sz="0" w:space="0" w:color="auto"/>
        <w:right w:val="none" w:sz="0" w:space="0" w:color="auto"/>
      </w:divBdr>
    </w:div>
    <w:div w:id="375812542">
      <w:bodyDiv w:val="1"/>
      <w:marLeft w:val="0"/>
      <w:marRight w:val="0"/>
      <w:marTop w:val="0"/>
      <w:marBottom w:val="0"/>
      <w:divBdr>
        <w:top w:val="none" w:sz="0" w:space="0" w:color="auto"/>
        <w:left w:val="none" w:sz="0" w:space="0" w:color="auto"/>
        <w:bottom w:val="none" w:sz="0" w:space="0" w:color="auto"/>
        <w:right w:val="none" w:sz="0" w:space="0" w:color="auto"/>
      </w:divBdr>
    </w:div>
    <w:div w:id="392509495">
      <w:bodyDiv w:val="1"/>
      <w:marLeft w:val="0"/>
      <w:marRight w:val="0"/>
      <w:marTop w:val="0"/>
      <w:marBottom w:val="0"/>
      <w:divBdr>
        <w:top w:val="none" w:sz="0" w:space="0" w:color="auto"/>
        <w:left w:val="none" w:sz="0" w:space="0" w:color="auto"/>
        <w:bottom w:val="none" w:sz="0" w:space="0" w:color="auto"/>
        <w:right w:val="none" w:sz="0" w:space="0" w:color="auto"/>
      </w:divBdr>
    </w:div>
    <w:div w:id="403920032">
      <w:bodyDiv w:val="1"/>
      <w:marLeft w:val="0"/>
      <w:marRight w:val="0"/>
      <w:marTop w:val="0"/>
      <w:marBottom w:val="0"/>
      <w:divBdr>
        <w:top w:val="none" w:sz="0" w:space="0" w:color="auto"/>
        <w:left w:val="none" w:sz="0" w:space="0" w:color="auto"/>
        <w:bottom w:val="none" w:sz="0" w:space="0" w:color="auto"/>
        <w:right w:val="none" w:sz="0" w:space="0" w:color="auto"/>
      </w:divBdr>
    </w:div>
    <w:div w:id="405804630">
      <w:bodyDiv w:val="1"/>
      <w:marLeft w:val="0"/>
      <w:marRight w:val="0"/>
      <w:marTop w:val="0"/>
      <w:marBottom w:val="0"/>
      <w:divBdr>
        <w:top w:val="none" w:sz="0" w:space="0" w:color="auto"/>
        <w:left w:val="none" w:sz="0" w:space="0" w:color="auto"/>
        <w:bottom w:val="none" w:sz="0" w:space="0" w:color="auto"/>
        <w:right w:val="none" w:sz="0" w:space="0" w:color="auto"/>
      </w:divBdr>
    </w:div>
    <w:div w:id="412774745">
      <w:bodyDiv w:val="1"/>
      <w:marLeft w:val="0"/>
      <w:marRight w:val="0"/>
      <w:marTop w:val="0"/>
      <w:marBottom w:val="0"/>
      <w:divBdr>
        <w:top w:val="none" w:sz="0" w:space="0" w:color="auto"/>
        <w:left w:val="none" w:sz="0" w:space="0" w:color="auto"/>
        <w:bottom w:val="none" w:sz="0" w:space="0" w:color="auto"/>
        <w:right w:val="none" w:sz="0" w:space="0" w:color="auto"/>
      </w:divBdr>
    </w:div>
    <w:div w:id="442387469">
      <w:bodyDiv w:val="1"/>
      <w:marLeft w:val="0"/>
      <w:marRight w:val="0"/>
      <w:marTop w:val="0"/>
      <w:marBottom w:val="0"/>
      <w:divBdr>
        <w:top w:val="none" w:sz="0" w:space="0" w:color="auto"/>
        <w:left w:val="none" w:sz="0" w:space="0" w:color="auto"/>
        <w:bottom w:val="none" w:sz="0" w:space="0" w:color="auto"/>
        <w:right w:val="none" w:sz="0" w:space="0" w:color="auto"/>
      </w:divBdr>
    </w:div>
    <w:div w:id="450562336">
      <w:bodyDiv w:val="1"/>
      <w:marLeft w:val="0"/>
      <w:marRight w:val="0"/>
      <w:marTop w:val="0"/>
      <w:marBottom w:val="0"/>
      <w:divBdr>
        <w:top w:val="none" w:sz="0" w:space="0" w:color="auto"/>
        <w:left w:val="none" w:sz="0" w:space="0" w:color="auto"/>
        <w:bottom w:val="none" w:sz="0" w:space="0" w:color="auto"/>
        <w:right w:val="none" w:sz="0" w:space="0" w:color="auto"/>
      </w:divBdr>
    </w:div>
    <w:div w:id="455099089">
      <w:bodyDiv w:val="1"/>
      <w:marLeft w:val="0"/>
      <w:marRight w:val="0"/>
      <w:marTop w:val="0"/>
      <w:marBottom w:val="0"/>
      <w:divBdr>
        <w:top w:val="none" w:sz="0" w:space="0" w:color="auto"/>
        <w:left w:val="none" w:sz="0" w:space="0" w:color="auto"/>
        <w:bottom w:val="none" w:sz="0" w:space="0" w:color="auto"/>
        <w:right w:val="none" w:sz="0" w:space="0" w:color="auto"/>
      </w:divBdr>
    </w:div>
    <w:div w:id="457337497">
      <w:bodyDiv w:val="1"/>
      <w:marLeft w:val="0"/>
      <w:marRight w:val="0"/>
      <w:marTop w:val="0"/>
      <w:marBottom w:val="0"/>
      <w:divBdr>
        <w:top w:val="none" w:sz="0" w:space="0" w:color="auto"/>
        <w:left w:val="none" w:sz="0" w:space="0" w:color="auto"/>
        <w:bottom w:val="none" w:sz="0" w:space="0" w:color="auto"/>
        <w:right w:val="none" w:sz="0" w:space="0" w:color="auto"/>
      </w:divBdr>
    </w:div>
    <w:div w:id="472527515">
      <w:bodyDiv w:val="1"/>
      <w:marLeft w:val="0"/>
      <w:marRight w:val="0"/>
      <w:marTop w:val="0"/>
      <w:marBottom w:val="0"/>
      <w:divBdr>
        <w:top w:val="none" w:sz="0" w:space="0" w:color="auto"/>
        <w:left w:val="none" w:sz="0" w:space="0" w:color="auto"/>
        <w:bottom w:val="none" w:sz="0" w:space="0" w:color="auto"/>
        <w:right w:val="none" w:sz="0" w:space="0" w:color="auto"/>
      </w:divBdr>
    </w:div>
    <w:div w:id="506600560">
      <w:bodyDiv w:val="1"/>
      <w:marLeft w:val="0"/>
      <w:marRight w:val="0"/>
      <w:marTop w:val="0"/>
      <w:marBottom w:val="0"/>
      <w:divBdr>
        <w:top w:val="none" w:sz="0" w:space="0" w:color="auto"/>
        <w:left w:val="none" w:sz="0" w:space="0" w:color="auto"/>
        <w:bottom w:val="none" w:sz="0" w:space="0" w:color="auto"/>
        <w:right w:val="none" w:sz="0" w:space="0" w:color="auto"/>
      </w:divBdr>
    </w:div>
    <w:div w:id="508446506">
      <w:bodyDiv w:val="1"/>
      <w:marLeft w:val="0"/>
      <w:marRight w:val="0"/>
      <w:marTop w:val="0"/>
      <w:marBottom w:val="0"/>
      <w:divBdr>
        <w:top w:val="none" w:sz="0" w:space="0" w:color="auto"/>
        <w:left w:val="none" w:sz="0" w:space="0" w:color="auto"/>
        <w:bottom w:val="none" w:sz="0" w:space="0" w:color="auto"/>
        <w:right w:val="none" w:sz="0" w:space="0" w:color="auto"/>
      </w:divBdr>
    </w:div>
    <w:div w:id="513616877">
      <w:bodyDiv w:val="1"/>
      <w:marLeft w:val="0"/>
      <w:marRight w:val="0"/>
      <w:marTop w:val="0"/>
      <w:marBottom w:val="0"/>
      <w:divBdr>
        <w:top w:val="none" w:sz="0" w:space="0" w:color="auto"/>
        <w:left w:val="none" w:sz="0" w:space="0" w:color="auto"/>
        <w:bottom w:val="none" w:sz="0" w:space="0" w:color="auto"/>
        <w:right w:val="none" w:sz="0" w:space="0" w:color="auto"/>
      </w:divBdr>
    </w:div>
    <w:div w:id="517695500">
      <w:bodyDiv w:val="1"/>
      <w:marLeft w:val="0"/>
      <w:marRight w:val="0"/>
      <w:marTop w:val="0"/>
      <w:marBottom w:val="0"/>
      <w:divBdr>
        <w:top w:val="none" w:sz="0" w:space="0" w:color="auto"/>
        <w:left w:val="none" w:sz="0" w:space="0" w:color="auto"/>
        <w:bottom w:val="none" w:sz="0" w:space="0" w:color="auto"/>
        <w:right w:val="none" w:sz="0" w:space="0" w:color="auto"/>
      </w:divBdr>
    </w:div>
    <w:div w:id="541792478">
      <w:bodyDiv w:val="1"/>
      <w:marLeft w:val="0"/>
      <w:marRight w:val="0"/>
      <w:marTop w:val="0"/>
      <w:marBottom w:val="0"/>
      <w:divBdr>
        <w:top w:val="none" w:sz="0" w:space="0" w:color="auto"/>
        <w:left w:val="none" w:sz="0" w:space="0" w:color="auto"/>
        <w:bottom w:val="none" w:sz="0" w:space="0" w:color="auto"/>
        <w:right w:val="none" w:sz="0" w:space="0" w:color="auto"/>
      </w:divBdr>
    </w:div>
    <w:div w:id="570577828">
      <w:bodyDiv w:val="1"/>
      <w:marLeft w:val="0"/>
      <w:marRight w:val="0"/>
      <w:marTop w:val="0"/>
      <w:marBottom w:val="0"/>
      <w:divBdr>
        <w:top w:val="none" w:sz="0" w:space="0" w:color="auto"/>
        <w:left w:val="none" w:sz="0" w:space="0" w:color="auto"/>
        <w:bottom w:val="none" w:sz="0" w:space="0" w:color="auto"/>
        <w:right w:val="none" w:sz="0" w:space="0" w:color="auto"/>
      </w:divBdr>
    </w:div>
    <w:div w:id="585917919">
      <w:bodyDiv w:val="1"/>
      <w:marLeft w:val="0"/>
      <w:marRight w:val="0"/>
      <w:marTop w:val="0"/>
      <w:marBottom w:val="0"/>
      <w:divBdr>
        <w:top w:val="none" w:sz="0" w:space="0" w:color="auto"/>
        <w:left w:val="none" w:sz="0" w:space="0" w:color="auto"/>
        <w:bottom w:val="none" w:sz="0" w:space="0" w:color="auto"/>
        <w:right w:val="none" w:sz="0" w:space="0" w:color="auto"/>
      </w:divBdr>
    </w:div>
    <w:div w:id="598487538">
      <w:bodyDiv w:val="1"/>
      <w:marLeft w:val="0"/>
      <w:marRight w:val="0"/>
      <w:marTop w:val="0"/>
      <w:marBottom w:val="0"/>
      <w:divBdr>
        <w:top w:val="none" w:sz="0" w:space="0" w:color="auto"/>
        <w:left w:val="none" w:sz="0" w:space="0" w:color="auto"/>
        <w:bottom w:val="none" w:sz="0" w:space="0" w:color="auto"/>
        <w:right w:val="none" w:sz="0" w:space="0" w:color="auto"/>
      </w:divBdr>
    </w:div>
    <w:div w:id="620385938">
      <w:bodyDiv w:val="1"/>
      <w:marLeft w:val="0"/>
      <w:marRight w:val="0"/>
      <w:marTop w:val="0"/>
      <w:marBottom w:val="0"/>
      <w:divBdr>
        <w:top w:val="none" w:sz="0" w:space="0" w:color="auto"/>
        <w:left w:val="none" w:sz="0" w:space="0" w:color="auto"/>
        <w:bottom w:val="none" w:sz="0" w:space="0" w:color="auto"/>
        <w:right w:val="none" w:sz="0" w:space="0" w:color="auto"/>
      </w:divBdr>
    </w:div>
    <w:div w:id="622613090">
      <w:bodyDiv w:val="1"/>
      <w:marLeft w:val="0"/>
      <w:marRight w:val="0"/>
      <w:marTop w:val="0"/>
      <w:marBottom w:val="0"/>
      <w:divBdr>
        <w:top w:val="none" w:sz="0" w:space="0" w:color="auto"/>
        <w:left w:val="none" w:sz="0" w:space="0" w:color="auto"/>
        <w:bottom w:val="none" w:sz="0" w:space="0" w:color="auto"/>
        <w:right w:val="none" w:sz="0" w:space="0" w:color="auto"/>
      </w:divBdr>
    </w:div>
    <w:div w:id="632059274">
      <w:bodyDiv w:val="1"/>
      <w:marLeft w:val="0"/>
      <w:marRight w:val="0"/>
      <w:marTop w:val="0"/>
      <w:marBottom w:val="0"/>
      <w:divBdr>
        <w:top w:val="none" w:sz="0" w:space="0" w:color="auto"/>
        <w:left w:val="none" w:sz="0" w:space="0" w:color="auto"/>
        <w:bottom w:val="none" w:sz="0" w:space="0" w:color="auto"/>
        <w:right w:val="none" w:sz="0" w:space="0" w:color="auto"/>
      </w:divBdr>
    </w:div>
    <w:div w:id="638414679">
      <w:bodyDiv w:val="1"/>
      <w:marLeft w:val="0"/>
      <w:marRight w:val="0"/>
      <w:marTop w:val="0"/>
      <w:marBottom w:val="0"/>
      <w:divBdr>
        <w:top w:val="none" w:sz="0" w:space="0" w:color="auto"/>
        <w:left w:val="none" w:sz="0" w:space="0" w:color="auto"/>
        <w:bottom w:val="none" w:sz="0" w:space="0" w:color="auto"/>
        <w:right w:val="none" w:sz="0" w:space="0" w:color="auto"/>
      </w:divBdr>
    </w:div>
    <w:div w:id="644429596">
      <w:bodyDiv w:val="1"/>
      <w:marLeft w:val="0"/>
      <w:marRight w:val="0"/>
      <w:marTop w:val="0"/>
      <w:marBottom w:val="0"/>
      <w:divBdr>
        <w:top w:val="none" w:sz="0" w:space="0" w:color="auto"/>
        <w:left w:val="none" w:sz="0" w:space="0" w:color="auto"/>
        <w:bottom w:val="none" w:sz="0" w:space="0" w:color="auto"/>
        <w:right w:val="none" w:sz="0" w:space="0" w:color="auto"/>
      </w:divBdr>
    </w:div>
    <w:div w:id="650984375">
      <w:bodyDiv w:val="1"/>
      <w:marLeft w:val="0"/>
      <w:marRight w:val="0"/>
      <w:marTop w:val="0"/>
      <w:marBottom w:val="0"/>
      <w:divBdr>
        <w:top w:val="none" w:sz="0" w:space="0" w:color="auto"/>
        <w:left w:val="none" w:sz="0" w:space="0" w:color="auto"/>
        <w:bottom w:val="none" w:sz="0" w:space="0" w:color="auto"/>
        <w:right w:val="none" w:sz="0" w:space="0" w:color="auto"/>
      </w:divBdr>
    </w:div>
    <w:div w:id="653414855">
      <w:bodyDiv w:val="1"/>
      <w:marLeft w:val="0"/>
      <w:marRight w:val="0"/>
      <w:marTop w:val="0"/>
      <w:marBottom w:val="0"/>
      <w:divBdr>
        <w:top w:val="none" w:sz="0" w:space="0" w:color="auto"/>
        <w:left w:val="none" w:sz="0" w:space="0" w:color="auto"/>
        <w:bottom w:val="none" w:sz="0" w:space="0" w:color="auto"/>
        <w:right w:val="none" w:sz="0" w:space="0" w:color="auto"/>
      </w:divBdr>
    </w:div>
    <w:div w:id="660229817">
      <w:bodyDiv w:val="1"/>
      <w:marLeft w:val="0"/>
      <w:marRight w:val="0"/>
      <w:marTop w:val="0"/>
      <w:marBottom w:val="0"/>
      <w:divBdr>
        <w:top w:val="none" w:sz="0" w:space="0" w:color="auto"/>
        <w:left w:val="none" w:sz="0" w:space="0" w:color="auto"/>
        <w:bottom w:val="none" w:sz="0" w:space="0" w:color="auto"/>
        <w:right w:val="none" w:sz="0" w:space="0" w:color="auto"/>
      </w:divBdr>
    </w:div>
    <w:div w:id="660353722">
      <w:bodyDiv w:val="1"/>
      <w:marLeft w:val="0"/>
      <w:marRight w:val="0"/>
      <w:marTop w:val="0"/>
      <w:marBottom w:val="0"/>
      <w:divBdr>
        <w:top w:val="none" w:sz="0" w:space="0" w:color="auto"/>
        <w:left w:val="none" w:sz="0" w:space="0" w:color="auto"/>
        <w:bottom w:val="none" w:sz="0" w:space="0" w:color="auto"/>
        <w:right w:val="none" w:sz="0" w:space="0" w:color="auto"/>
      </w:divBdr>
    </w:div>
    <w:div w:id="666441207">
      <w:bodyDiv w:val="1"/>
      <w:marLeft w:val="0"/>
      <w:marRight w:val="0"/>
      <w:marTop w:val="0"/>
      <w:marBottom w:val="0"/>
      <w:divBdr>
        <w:top w:val="none" w:sz="0" w:space="0" w:color="auto"/>
        <w:left w:val="none" w:sz="0" w:space="0" w:color="auto"/>
        <w:bottom w:val="none" w:sz="0" w:space="0" w:color="auto"/>
        <w:right w:val="none" w:sz="0" w:space="0" w:color="auto"/>
      </w:divBdr>
    </w:div>
    <w:div w:id="690952677">
      <w:bodyDiv w:val="1"/>
      <w:marLeft w:val="0"/>
      <w:marRight w:val="0"/>
      <w:marTop w:val="0"/>
      <w:marBottom w:val="0"/>
      <w:divBdr>
        <w:top w:val="none" w:sz="0" w:space="0" w:color="auto"/>
        <w:left w:val="none" w:sz="0" w:space="0" w:color="auto"/>
        <w:bottom w:val="none" w:sz="0" w:space="0" w:color="auto"/>
        <w:right w:val="none" w:sz="0" w:space="0" w:color="auto"/>
      </w:divBdr>
    </w:div>
    <w:div w:id="697508835">
      <w:bodyDiv w:val="1"/>
      <w:marLeft w:val="0"/>
      <w:marRight w:val="0"/>
      <w:marTop w:val="0"/>
      <w:marBottom w:val="0"/>
      <w:divBdr>
        <w:top w:val="none" w:sz="0" w:space="0" w:color="auto"/>
        <w:left w:val="none" w:sz="0" w:space="0" w:color="auto"/>
        <w:bottom w:val="none" w:sz="0" w:space="0" w:color="auto"/>
        <w:right w:val="none" w:sz="0" w:space="0" w:color="auto"/>
      </w:divBdr>
    </w:div>
    <w:div w:id="700474010">
      <w:bodyDiv w:val="1"/>
      <w:marLeft w:val="0"/>
      <w:marRight w:val="0"/>
      <w:marTop w:val="0"/>
      <w:marBottom w:val="0"/>
      <w:divBdr>
        <w:top w:val="none" w:sz="0" w:space="0" w:color="auto"/>
        <w:left w:val="none" w:sz="0" w:space="0" w:color="auto"/>
        <w:bottom w:val="none" w:sz="0" w:space="0" w:color="auto"/>
        <w:right w:val="none" w:sz="0" w:space="0" w:color="auto"/>
      </w:divBdr>
    </w:div>
    <w:div w:id="700669905">
      <w:bodyDiv w:val="1"/>
      <w:marLeft w:val="0"/>
      <w:marRight w:val="0"/>
      <w:marTop w:val="0"/>
      <w:marBottom w:val="0"/>
      <w:divBdr>
        <w:top w:val="none" w:sz="0" w:space="0" w:color="auto"/>
        <w:left w:val="none" w:sz="0" w:space="0" w:color="auto"/>
        <w:bottom w:val="none" w:sz="0" w:space="0" w:color="auto"/>
        <w:right w:val="none" w:sz="0" w:space="0" w:color="auto"/>
      </w:divBdr>
    </w:div>
    <w:div w:id="704408068">
      <w:bodyDiv w:val="1"/>
      <w:marLeft w:val="0"/>
      <w:marRight w:val="0"/>
      <w:marTop w:val="0"/>
      <w:marBottom w:val="0"/>
      <w:divBdr>
        <w:top w:val="none" w:sz="0" w:space="0" w:color="auto"/>
        <w:left w:val="none" w:sz="0" w:space="0" w:color="auto"/>
        <w:bottom w:val="none" w:sz="0" w:space="0" w:color="auto"/>
        <w:right w:val="none" w:sz="0" w:space="0" w:color="auto"/>
      </w:divBdr>
    </w:div>
    <w:div w:id="721640888">
      <w:bodyDiv w:val="1"/>
      <w:marLeft w:val="0"/>
      <w:marRight w:val="0"/>
      <w:marTop w:val="0"/>
      <w:marBottom w:val="0"/>
      <w:divBdr>
        <w:top w:val="none" w:sz="0" w:space="0" w:color="auto"/>
        <w:left w:val="none" w:sz="0" w:space="0" w:color="auto"/>
        <w:bottom w:val="none" w:sz="0" w:space="0" w:color="auto"/>
        <w:right w:val="none" w:sz="0" w:space="0" w:color="auto"/>
      </w:divBdr>
    </w:div>
    <w:div w:id="740249509">
      <w:bodyDiv w:val="1"/>
      <w:marLeft w:val="0"/>
      <w:marRight w:val="0"/>
      <w:marTop w:val="0"/>
      <w:marBottom w:val="0"/>
      <w:divBdr>
        <w:top w:val="none" w:sz="0" w:space="0" w:color="auto"/>
        <w:left w:val="none" w:sz="0" w:space="0" w:color="auto"/>
        <w:bottom w:val="none" w:sz="0" w:space="0" w:color="auto"/>
        <w:right w:val="none" w:sz="0" w:space="0" w:color="auto"/>
      </w:divBdr>
    </w:div>
    <w:div w:id="753821825">
      <w:bodyDiv w:val="1"/>
      <w:marLeft w:val="0"/>
      <w:marRight w:val="0"/>
      <w:marTop w:val="0"/>
      <w:marBottom w:val="0"/>
      <w:divBdr>
        <w:top w:val="none" w:sz="0" w:space="0" w:color="auto"/>
        <w:left w:val="none" w:sz="0" w:space="0" w:color="auto"/>
        <w:bottom w:val="none" w:sz="0" w:space="0" w:color="auto"/>
        <w:right w:val="none" w:sz="0" w:space="0" w:color="auto"/>
      </w:divBdr>
    </w:div>
    <w:div w:id="770586198">
      <w:bodyDiv w:val="1"/>
      <w:marLeft w:val="0"/>
      <w:marRight w:val="0"/>
      <w:marTop w:val="0"/>
      <w:marBottom w:val="0"/>
      <w:divBdr>
        <w:top w:val="none" w:sz="0" w:space="0" w:color="auto"/>
        <w:left w:val="none" w:sz="0" w:space="0" w:color="auto"/>
        <w:bottom w:val="none" w:sz="0" w:space="0" w:color="auto"/>
        <w:right w:val="none" w:sz="0" w:space="0" w:color="auto"/>
      </w:divBdr>
    </w:div>
    <w:div w:id="771631375">
      <w:bodyDiv w:val="1"/>
      <w:marLeft w:val="0"/>
      <w:marRight w:val="0"/>
      <w:marTop w:val="0"/>
      <w:marBottom w:val="0"/>
      <w:divBdr>
        <w:top w:val="none" w:sz="0" w:space="0" w:color="auto"/>
        <w:left w:val="none" w:sz="0" w:space="0" w:color="auto"/>
        <w:bottom w:val="none" w:sz="0" w:space="0" w:color="auto"/>
        <w:right w:val="none" w:sz="0" w:space="0" w:color="auto"/>
      </w:divBdr>
    </w:div>
    <w:div w:id="797917260">
      <w:bodyDiv w:val="1"/>
      <w:marLeft w:val="0"/>
      <w:marRight w:val="0"/>
      <w:marTop w:val="0"/>
      <w:marBottom w:val="0"/>
      <w:divBdr>
        <w:top w:val="none" w:sz="0" w:space="0" w:color="auto"/>
        <w:left w:val="none" w:sz="0" w:space="0" w:color="auto"/>
        <w:bottom w:val="none" w:sz="0" w:space="0" w:color="auto"/>
        <w:right w:val="none" w:sz="0" w:space="0" w:color="auto"/>
      </w:divBdr>
    </w:div>
    <w:div w:id="847253776">
      <w:bodyDiv w:val="1"/>
      <w:marLeft w:val="0"/>
      <w:marRight w:val="0"/>
      <w:marTop w:val="0"/>
      <w:marBottom w:val="0"/>
      <w:divBdr>
        <w:top w:val="none" w:sz="0" w:space="0" w:color="auto"/>
        <w:left w:val="none" w:sz="0" w:space="0" w:color="auto"/>
        <w:bottom w:val="none" w:sz="0" w:space="0" w:color="auto"/>
        <w:right w:val="none" w:sz="0" w:space="0" w:color="auto"/>
      </w:divBdr>
    </w:div>
    <w:div w:id="852303698">
      <w:bodyDiv w:val="1"/>
      <w:marLeft w:val="0"/>
      <w:marRight w:val="0"/>
      <w:marTop w:val="0"/>
      <w:marBottom w:val="0"/>
      <w:divBdr>
        <w:top w:val="none" w:sz="0" w:space="0" w:color="auto"/>
        <w:left w:val="none" w:sz="0" w:space="0" w:color="auto"/>
        <w:bottom w:val="none" w:sz="0" w:space="0" w:color="auto"/>
        <w:right w:val="none" w:sz="0" w:space="0" w:color="auto"/>
      </w:divBdr>
    </w:div>
    <w:div w:id="875502187">
      <w:bodyDiv w:val="1"/>
      <w:marLeft w:val="0"/>
      <w:marRight w:val="0"/>
      <w:marTop w:val="0"/>
      <w:marBottom w:val="0"/>
      <w:divBdr>
        <w:top w:val="none" w:sz="0" w:space="0" w:color="auto"/>
        <w:left w:val="none" w:sz="0" w:space="0" w:color="auto"/>
        <w:bottom w:val="none" w:sz="0" w:space="0" w:color="auto"/>
        <w:right w:val="none" w:sz="0" w:space="0" w:color="auto"/>
      </w:divBdr>
    </w:div>
    <w:div w:id="881014582">
      <w:bodyDiv w:val="1"/>
      <w:marLeft w:val="0"/>
      <w:marRight w:val="0"/>
      <w:marTop w:val="0"/>
      <w:marBottom w:val="0"/>
      <w:divBdr>
        <w:top w:val="none" w:sz="0" w:space="0" w:color="auto"/>
        <w:left w:val="none" w:sz="0" w:space="0" w:color="auto"/>
        <w:bottom w:val="none" w:sz="0" w:space="0" w:color="auto"/>
        <w:right w:val="none" w:sz="0" w:space="0" w:color="auto"/>
      </w:divBdr>
    </w:div>
    <w:div w:id="882786920">
      <w:bodyDiv w:val="1"/>
      <w:marLeft w:val="0"/>
      <w:marRight w:val="0"/>
      <w:marTop w:val="0"/>
      <w:marBottom w:val="0"/>
      <w:divBdr>
        <w:top w:val="none" w:sz="0" w:space="0" w:color="auto"/>
        <w:left w:val="none" w:sz="0" w:space="0" w:color="auto"/>
        <w:bottom w:val="none" w:sz="0" w:space="0" w:color="auto"/>
        <w:right w:val="none" w:sz="0" w:space="0" w:color="auto"/>
      </w:divBdr>
    </w:div>
    <w:div w:id="884679589">
      <w:bodyDiv w:val="1"/>
      <w:marLeft w:val="0"/>
      <w:marRight w:val="0"/>
      <w:marTop w:val="0"/>
      <w:marBottom w:val="0"/>
      <w:divBdr>
        <w:top w:val="none" w:sz="0" w:space="0" w:color="auto"/>
        <w:left w:val="none" w:sz="0" w:space="0" w:color="auto"/>
        <w:bottom w:val="none" w:sz="0" w:space="0" w:color="auto"/>
        <w:right w:val="none" w:sz="0" w:space="0" w:color="auto"/>
      </w:divBdr>
    </w:div>
    <w:div w:id="909314205">
      <w:bodyDiv w:val="1"/>
      <w:marLeft w:val="0"/>
      <w:marRight w:val="0"/>
      <w:marTop w:val="0"/>
      <w:marBottom w:val="0"/>
      <w:divBdr>
        <w:top w:val="none" w:sz="0" w:space="0" w:color="auto"/>
        <w:left w:val="none" w:sz="0" w:space="0" w:color="auto"/>
        <w:bottom w:val="none" w:sz="0" w:space="0" w:color="auto"/>
        <w:right w:val="none" w:sz="0" w:space="0" w:color="auto"/>
      </w:divBdr>
    </w:div>
    <w:div w:id="913011317">
      <w:bodyDiv w:val="1"/>
      <w:marLeft w:val="0"/>
      <w:marRight w:val="0"/>
      <w:marTop w:val="0"/>
      <w:marBottom w:val="0"/>
      <w:divBdr>
        <w:top w:val="none" w:sz="0" w:space="0" w:color="auto"/>
        <w:left w:val="none" w:sz="0" w:space="0" w:color="auto"/>
        <w:bottom w:val="none" w:sz="0" w:space="0" w:color="auto"/>
        <w:right w:val="none" w:sz="0" w:space="0" w:color="auto"/>
      </w:divBdr>
      <w:divsChild>
        <w:div w:id="454907848">
          <w:marLeft w:val="0"/>
          <w:marRight w:val="0"/>
          <w:marTop w:val="0"/>
          <w:marBottom w:val="0"/>
          <w:divBdr>
            <w:top w:val="none" w:sz="0" w:space="0" w:color="auto"/>
            <w:left w:val="none" w:sz="0" w:space="0" w:color="auto"/>
            <w:bottom w:val="none" w:sz="0" w:space="0" w:color="auto"/>
            <w:right w:val="none" w:sz="0" w:space="0" w:color="auto"/>
          </w:divBdr>
          <w:divsChild>
            <w:div w:id="662121139">
              <w:marLeft w:val="0"/>
              <w:marRight w:val="0"/>
              <w:marTop w:val="0"/>
              <w:marBottom w:val="0"/>
              <w:divBdr>
                <w:top w:val="none" w:sz="0" w:space="0" w:color="auto"/>
                <w:left w:val="none" w:sz="0" w:space="0" w:color="auto"/>
                <w:bottom w:val="none" w:sz="0" w:space="0" w:color="auto"/>
                <w:right w:val="none" w:sz="0" w:space="0" w:color="auto"/>
              </w:divBdr>
              <w:divsChild>
                <w:div w:id="61691477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15748281">
      <w:bodyDiv w:val="1"/>
      <w:marLeft w:val="0"/>
      <w:marRight w:val="0"/>
      <w:marTop w:val="0"/>
      <w:marBottom w:val="0"/>
      <w:divBdr>
        <w:top w:val="none" w:sz="0" w:space="0" w:color="auto"/>
        <w:left w:val="none" w:sz="0" w:space="0" w:color="auto"/>
        <w:bottom w:val="none" w:sz="0" w:space="0" w:color="auto"/>
        <w:right w:val="none" w:sz="0" w:space="0" w:color="auto"/>
      </w:divBdr>
    </w:div>
    <w:div w:id="923074606">
      <w:bodyDiv w:val="1"/>
      <w:marLeft w:val="0"/>
      <w:marRight w:val="0"/>
      <w:marTop w:val="0"/>
      <w:marBottom w:val="0"/>
      <w:divBdr>
        <w:top w:val="none" w:sz="0" w:space="0" w:color="auto"/>
        <w:left w:val="none" w:sz="0" w:space="0" w:color="auto"/>
        <w:bottom w:val="none" w:sz="0" w:space="0" w:color="auto"/>
        <w:right w:val="none" w:sz="0" w:space="0" w:color="auto"/>
      </w:divBdr>
    </w:div>
    <w:div w:id="957876064">
      <w:bodyDiv w:val="1"/>
      <w:marLeft w:val="0"/>
      <w:marRight w:val="0"/>
      <w:marTop w:val="0"/>
      <w:marBottom w:val="0"/>
      <w:divBdr>
        <w:top w:val="none" w:sz="0" w:space="0" w:color="auto"/>
        <w:left w:val="none" w:sz="0" w:space="0" w:color="auto"/>
        <w:bottom w:val="none" w:sz="0" w:space="0" w:color="auto"/>
        <w:right w:val="none" w:sz="0" w:space="0" w:color="auto"/>
      </w:divBdr>
    </w:div>
    <w:div w:id="966280321">
      <w:bodyDiv w:val="1"/>
      <w:marLeft w:val="0"/>
      <w:marRight w:val="0"/>
      <w:marTop w:val="0"/>
      <w:marBottom w:val="0"/>
      <w:divBdr>
        <w:top w:val="none" w:sz="0" w:space="0" w:color="auto"/>
        <w:left w:val="none" w:sz="0" w:space="0" w:color="auto"/>
        <w:bottom w:val="none" w:sz="0" w:space="0" w:color="auto"/>
        <w:right w:val="none" w:sz="0" w:space="0" w:color="auto"/>
      </w:divBdr>
    </w:div>
    <w:div w:id="970787653">
      <w:bodyDiv w:val="1"/>
      <w:marLeft w:val="0"/>
      <w:marRight w:val="0"/>
      <w:marTop w:val="0"/>
      <w:marBottom w:val="0"/>
      <w:divBdr>
        <w:top w:val="none" w:sz="0" w:space="0" w:color="auto"/>
        <w:left w:val="none" w:sz="0" w:space="0" w:color="auto"/>
        <w:bottom w:val="none" w:sz="0" w:space="0" w:color="auto"/>
        <w:right w:val="none" w:sz="0" w:space="0" w:color="auto"/>
      </w:divBdr>
    </w:div>
    <w:div w:id="971911584">
      <w:bodyDiv w:val="1"/>
      <w:marLeft w:val="0"/>
      <w:marRight w:val="0"/>
      <w:marTop w:val="0"/>
      <w:marBottom w:val="0"/>
      <w:divBdr>
        <w:top w:val="none" w:sz="0" w:space="0" w:color="auto"/>
        <w:left w:val="none" w:sz="0" w:space="0" w:color="auto"/>
        <w:bottom w:val="none" w:sz="0" w:space="0" w:color="auto"/>
        <w:right w:val="none" w:sz="0" w:space="0" w:color="auto"/>
      </w:divBdr>
    </w:div>
    <w:div w:id="975793080">
      <w:bodyDiv w:val="1"/>
      <w:marLeft w:val="0"/>
      <w:marRight w:val="0"/>
      <w:marTop w:val="0"/>
      <w:marBottom w:val="0"/>
      <w:divBdr>
        <w:top w:val="none" w:sz="0" w:space="0" w:color="auto"/>
        <w:left w:val="none" w:sz="0" w:space="0" w:color="auto"/>
        <w:bottom w:val="none" w:sz="0" w:space="0" w:color="auto"/>
        <w:right w:val="none" w:sz="0" w:space="0" w:color="auto"/>
      </w:divBdr>
    </w:div>
    <w:div w:id="993214980">
      <w:bodyDiv w:val="1"/>
      <w:marLeft w:val="0"/>
      <w:marRight w:val="0"/>
      <w:marTop w:val="0"/>
      <w:marBottom w:val="0"/>
      <w:divBdr>
        <w:top w:val="none" w:sz="0" w:space="0" w:color="auto"/>
        <w:left w:val="none" w:sz="0" w:space="0" w:color="auto"/>
        <w:bottom w:val="none" w:sz="0" w:space="0" w:color="auto"/>
        <w:right w:val="none" w:sz="0" w:space="0" w:color="auto"/>
      </w:divBdr>
    </w:div>
    <w:div w:id="1005550462">
      <w:bodyDiv w:val="1"/>
      <w:marLeft w:val="0"/>
      <w:marRight w:val="0"/>
      <w:marTop w:val="0"/>
      <w:marBottom w:val="0"/>
      <w:divBdr>
        <w:top w:val="none" w:sz="0" w:space="0" w:color="auto"/>
        <w:left w:val="none" w:sz="0" w:space="0" w:color="auto"/>
        <w:bottom w:val="none" w:sz="0" w:space="0" w:color="auto"/>
        <w:right w:val="none" w:sz="0" w:space="0" w:color="auto"/>
      </w:divBdr>
    </w:div>
    <w:div w:id="1020666991">
      <w:bodyDiv w:val="1"/>
      <w:marLeft w:val="0"/>
      <w:marRight w:val="0"/>
      <w:marTop w:val="0"/>
      <w:marBottom w:val="0"/>
      <w:divBdr>
        <w:top w:val="none" w:sz="0" w:space="0" w:color="auto"/>
        <w:left w:val="none" w:sz="0" w:space="0" w:color="auto"/>
        <w:bottom w:val="none" w:sz="0" w:space="0" w:color="auto"/>
        <w:right w:val="none" w:sz="0" w:space="0" w:color="auto"/>
      </w:divBdr>
    </w:div>
    <w:div w:id="1025442792">
      <w:bodyDiv w:val="1"/>
      <w:marLeft w:val="0"/>
      <w:marRight w:val="0"/>
      <w:marTop w:val="0"/>
      <w:marBottom w:val="0"/>
      <w:divBdr>
        <w:top w:val="none" w:sz="0" w:space="0" w:color="auto"/>
        <w:left w:val="none" w:sz="0" w:space="0" w:color="auto"/>
        <w:bottom w:val="none" w:sz="0" w:space="0" w:color="auto"/>
        <w:right w:val="none" w:sz="0" w:space="0" w:color="auto"/>
      </w:divBdr>
    </w:div>
    <w:div w:id="1026753187">
      <w:bodyDiv w:val="1"/>
      <w:marLeft w:val="0"/>
      <w:marRight w:val="0"/>
      <w:marTop w:val="0"/>
      <w:marBottom w:val="0"/>
      <w:divBdr>
        <w:top w:val="none" w:sz="0" w:space="0" w:color="auto"/>
        <w:left w:val="none" w:sz="0" w:space="0" w:color="auto"/>
        <w:bottom w:val="none" w:sz="0" w:space="0" w:color="auto"/>
        <w:right w:val="none" w:sz="0" w:space="0" w:color="auto"/>
      </w:divBdr>
    </w:div>
    <w:div w:id="1026834115">
      <w:bodyDiv w:val="1"/>
      <w:marLeft w:val="0"/>
      <w:marRight w:val="0"/>
      <w:marTop w:val="0"/>
      <w:marBottom w:val="0"/>
      <w:divBdr>
        <w:top w:val="none" w:sz="0" w:space="0" w:color="auto"/>
        <w:left w:val="none" w:sz="0" w:space="0" w:color="auto"/>
        <w:bottom w:val="none" w:sz="0" w:space="0" w:color="auto"/>
        <w:right w:val="none" w:sz="0" w:space="0" w:color="auto"/>
      </w:divBdr>
    </w:div>
    <w:div w:id="1028992891">
      <w:bodyDiv w:val="1"/>
      <w:marLeft w:val="0"/>
      <w:marRight w:val="0"/>
      <w:marTop w:val="0"/>
      <w:marBottom w:val="0"/>
      <w:divBdr>
        <w:top w:val="none" w:sz="0" w:space="0" w:color="auto"/>
        <w:left w:val="none" w:sz="0" w:space="0" w:color="auto"/>
        <w:bottom w:val="none" w:sz="0" w:space="0" w:color="auto"/>
        <w:right w:val="none" w:sz="0" w:space="0" w:color="auto"/>
      </w:divBdr>
    </w:div>
    <w:div w:id="1031034972">
      <w:bodyDiv w:val="1"/>
      <w:marLeft w:val="0"/>
      <w:marRight w:val="0"/>
      <w:marTop w:val="0"/>
      <w:marBottom w:val="0"/>
      <w:divBdr>
        <w:top w:val="none" w:sz="0" w:space="0" w:color="auto"/>
        <w:left w:val="none" w:sz="0" w:space="0" w:color="auto"/>
        <w:bottom w:val="none" w:sz="0" w:space="0" w:color="auto"/>
        <w:right w:val="none" w:sz="0" w:space="0" w:color="auto"/>
      </w:divBdr>
    </w:div>
    <w:div w:id="1048070233">
      <w:bodyDiv w:val="1"/>
      <w:marLeft w:val="0"/>
      <w:marRight w:val="0"/>
      <w:marTop w:val="0"/>
      <w:marBottom w:val="0"/>
      <w:divBdr>
        <w:top w:val="none" w:sz="0" w:space="0" w:color="auto"/>
        <w:left w:val="none" w:sz="0" w:space="0" w:color="auto"/>
        <w:bottom w:val="none" w:sz="0" w:space="0" w:color="auto"/>
        <w:right w:val="none" w:sz="0" w:space="0" w:color="auto"/>
      </w:divBdr>
    </w:div>
    <w:div w:id="1072655475">
      <w:bodyDiv w:val="1"/>
      <w:marLeft w:val="0"/>
      <w:marRight w:val="0"/>
      <w:marTop w:val="0"/>
      <w:marBottom w:val="0"/>
      <w:divBdr>
        <w:top w:val="none" w:sz="0" w:space="0" w:color="auto"/>
        <w:left w:val="none" w:sz="0" w:space="0" w:color="auto"/>
        <w:bottom w:val="none" w:sz="0" w:space="0" w:color="auto"/>
        <w:right w:val="none" w:sz="0" w:space="0" w:color="auto"/>
      </w:divBdr>
    </w:div>
    <w:div w:id="1086072154">
      <w:bodyDiv w:val="1"/>
      <w:marLeft w:val="0"/>
      <w:marRight w:val="0"/>
      <w:marTop w:val="0"/>
      <w:marBottom w:val="0"/>
      <w:divBdr>
        <w:top w:val="none" w:sz="0" w:space="0" w:color="auto"/>
        <w:left w:val="none" w:sz="0" w:space="0" w:color="auto"/>
        <w:bottom w:val="none" w:sz="0" w:space="0" w:color="auto"/>
        <w:right w:val="none" w:sz="0" w:space="0" w:color="auto"/>
      </w:divBdr>
    </w:div>
    <w:div w:id="1086224817">
      <w:bodyDiv w:val="1"/>
      <w:marLeft w:val="0"/>
      <w:marRight w:val="0"/>
      <w:marTop w:val="0"/>
      <w:marBottom w:val="0"/>
      <w:divBdr>
        <w:top w:val="none" w:sz="0" w:space="0" w:color="auto"/>
        <w:left w:val="none" w:sz="0" w:space="0" w:color="auto"/>
        <w:bottom w:val="none" w:sz="0" w:space="0" w:color="auto"/>
        <w:right w:val="none" w:sz="0" w:space="0" w:color="auto"/>
      </w:divBdr>
    </w:div>
    <w:div w:id="1087849612">
      <w:bodyDiv w:val="1"/>
      <w:marLeft w:val="0"/>
      <w:marRight w:val="0"/>
      <w:marTop w:val="0"/>
      <w:marBottom w:val="0"/>
      <w:divBdr>
        <w:top w:val="none" w:sz="0" w:space="0" w:color="auto"/>
        <w:left w:val="none" w:sz="0" w:space="0" w:color="auto"/>
        <w:bottom w:val="none" w:sz="0" w:space="0" w:color="auto"/>
        <w:right w:val="none" w:sz="0" w:space="0" w:color="auto"/>
      </w:divBdr>
    </w:div>
    <w:div w:id="1089738254">
      <w:bodyDiv w:val="1"/>
      <w:marLeft w:val="0"/>
      <w:marRight w:val="0"/>
      <w:marTop w:val="0"/>
      <w:marBottom w:val="0"/>
      <w:divBdr>
        <w:top w:val="none" w:sz="0" w:space="0" w:color="auto"/>
        <w:left w:val="none" w:sz="0" w:space="0" w:color="auto"/>
        <w:bottom w:val="none" w:sz="0" w:space="0" w:color="auto"/>
        <w:right w:val="none" w:sz="0" w:space="0" w:color="auto"/>
      </w:divBdr>
    </w:div>
    <w:div w:id="1132022674">
      <w:bodyDiv w:val="1"/>
      <w:marLeft w:val="0"/>
      <w:marRight w:val="0"/>
      <w:marTop w:val="0"/>
      <w:marBottom w:val="0"/>
      <w:divBdr>
        <w:top w:val="none" w:sz="0" w:space="0" w:color="auto"/>
        <w:left w:val="none" w:sz="0" w:space="0" w:color="auto"/>
        <w:bottom w:val="none" w:sz="0" w:space="0" w:color="auto"/>
        <w:right w:val="none" w:sz="0" w:space="0" w:color="auto"/>
      </w:divBdr>
    </w:div>
    <w:div w:id="1161849346">
      <w:bodyDiv w:val="1"/>
      <w:marLeft w:val="0"/>
      <w:marRight w:val="0"/>
      <w:marTop w:val="0"/>
      <w:marBottom w:val="0"/>
      <w:divBdr>
        <w:top w:val="none" w:sz="0" w:space="0" w:color="auto"/>
        <w:left w:val="none" w:sz="0" w:space="0" w:color="auto"/>
        <w:bottom w:val="none" w:sz="0" w:space="0" w:color="auto"/>
        <w:right w:val="none" w:sz="0" w:space="0" w:color="auto"/>
      </w:divBdr>
    </w:div>
    <w:div w:id="1169634303">
      <w:bodyDiv w:val="1"/>
      <w:marLeft w:val="0"/>
      <w:marRight w:val="0"/>
      <w:marTop w:val="0"/>
      <w:marBottom w:val="0"/>
      <w:divBdr>
        <w:top w:val="none" w:sz="0" w:space="0" w:color="auto"/>
        <w:left w:val="none" w:sz="0" w:space="0" w:color="auto"/>
        <w:bottom w:val="none" w:sz="0" w:space="0" w:color="auto"/>
        <w:right w:val="none" w:sz="0" w:space="0" w:color="auto"/>
      </w:divBdr>
    </w:div>
    <w:div w:id="1180463268">
      <w:bodyDiv w:val="1"/>
      <w:marLeft w:val="0"/>
      <w:marRight w:val="0"/>
      <w:marTop w:val="0"/>
      <w:marBottom w:val="0"/>
      <w:divBdr>
        <w:top w:val="none" w:sz="0" w:space="0" w:color="auto"/>
        <w:left w:val="none" w:sz="0" w:space="0" w:color="auto"/>
        <w:bottom w:val="none" w:sz="0" w:space="0" w:color="auto"/>
        <w:right w:val="none" w:sz="0" w:space="0" w:color="auto"/>
      </w:divBdr>
    </w:div>
    <w:div w:id="1187132785">
      <w:bodyDiv w:val="1"/>
      <w:marLeft w:val="0"/>
      <w:marRight w:val="0"/>
      <w:marTop w:val="0"/>
      <w:marBottom w:val="0"/>
      <w:divBdr>
        <w:top w:val="none" w:sz="0" w:space="0" w:color="auto"/>
        <w:left w:val="none" w:sz="0" w:space="0" w:color="auto"/>
        <w:bottom w:val="none" w:sz="0" w:space="0" w:color="auto"/>
        <w:right w:val="none" w:sz="0" w:space="0" w:color="auto"/>
      </w:divBdr>
    </w:div>
    <w:div w:id="1198397659">
      <w:bodyDiv w:val="1"/>
      <w:marLeft w:val="0"/>
      <w:marRight w:val="0"/>
      <w:marTop w:val="0"/>
      <w:marBottom w:val="0"/>
      <w:divBdr>
        <w:top w:val="none" w:sz="0" w:space="0" w:color="auto"/>
        <w:left w:val="none" w:sz="0" w:space="0" w:color="auto"/>
        <w:bottom w:val="none" w:sz="0" w:space="0" w:color="auto"/>
        <w:right w:val="none" w:sz="0" w:space="0" w:color="auto"/>
      </w:divBdr>
    </w:div>
    <w:div w:id="1226260068">
      <w:bodyDiv w:val="1"/>
      <w:marLeft w:val="0"/>
      <w:marRight w:val="0"/>
      <w:marTop w:val="0"/>
      <w:marBottom w:val="0"/>
      <w:divBdr>
        <w:top w:val="none" w:sz="0" w:space="0" w:color="auto"/>
        <w:left w:val="none" w:sz="0" w:space="0" w:color="auto"/>
        <w:bottom w:val="none" w:sz="0" w:space="0" w:color="auto"/>
        <w:right w:val="none" w:sz="0" w:space="0" w:color="auto"/>
      </w:divBdr>
    </w:div>
    <w:div w:id="1233855341">
      <w:bodyDiv w:val="1"/>
      <w:marLeft w:val="0"/>
      <w:marRight w:val="0"/>
      <w:marTop w:val="0"/>
      <w:marBottom w:val="0"/>
      <w:divBdr>
        <w:top w:val="none" w:sz="0" w:space="0" w:color="auto"/>
        <w:left w:val="none" w:sz="0" w:space="0" w:color="auto"/>
        <w:bottom w:val="none" w:sz="0" w:space="0" w:color="auto"/>
        <w:right w:val="none" w:sz="0" w:space="0" w:color="auto"/>
      </w:divBdr>
    </w:div>
    <w:div w:id="1234897213">
      <w:bodyDiv w:val="1"/>
      <w:marLeft w:val="0"/>
      <w:marRight w:val="0"/>
      <w:marTop w:val="0"/>
      <w:marBottom w:val="0"/>
      <w:divBdr>
        <w:top w:val="none" w:sz="0" w:space="0" w:color="auto"/>
        <w:left w:val="none" w:sz="0" w:space="0" w:color="auto"/>
        <w:bottom w:val="none" w:sz="0" w:space="0" w:color="auto"/>
        <w:right w:val="none" w:sz="0" w:space="0" w:color="auto"/>
      </w:divBdr>
    </w:div>
    <w:div w:id="1239679844">
      <w:bodyDiv w:val="1"/>
      <w:marLeft w:val="0"/>
      <w:marRight w:val="0"/>
      <w:marTop w:val="0"/>
      <w:marBottom w:val="0"/>
      <w:divBdr>
        <w:top w:val="none" w:sz="0" w:space="0" w:color="auto"/>
        <w:left w:val="none" w:sz="0" w:space="0" w:color="auto"/>
        <w:bottom w:val="none" w:sz="0" w:space="0" w:color="auto"/>
        <w:right w:val="none" w:sz="0" w:space="0" w:color="auto"/>
      </w:divBdr>
    </w:div>
    <w:div w:id="1242255731">
      <w:bodyDiv w:val="1"/>
      <w:marLeft w:val="0"/>
      <w:marRight w:val="0"/>
      <w:marTop w:val="0"/>
      <w:marBottom w:val="0"/>
      <w:divBdr>
        <w:top w:val="none" w:sz="0" w:space="0" w:color="auto"/>
        <w:left w:val="none" w:sz="0" w:space="0" w:color="auto"/>
        <w:bottom w:val="none" w:sz="0" w:space="0" w:color="auto"/>
        <w:right w:val="none" w:sz="0" w:space="0" w:color="auto"/>
      </w:divBdr>
    </w:div>
    <w:div w:id="1253780645">
      <w:bodyDiv w:val="1"/>
      <w:marLeft w:val="0"/>
      <w:marRight w:val="0"/>
      <w:marTop w:val="0"/>
      <w:marBottom w:val="0"/>
      <w:divBdr>
        <w:top w:val="none" w:sz="0" w:space="0" w:color="auto"/>
        <w:left w:val="none" w:sz="0" w:space="0" w:color="auto"/>
        <w:bottom w:val="none" w:sz="0" w:space="0" w:color="auto"/>
        <w:right w:val="none" w:sz="0" w:space="0" w:color="auto"/>
      </w:divBdr>
    </w:div>
    <w:div w:id="1262762672">
      <w:bodyDiv w:val="1"/>
      <w:marLeft w:val="0"/>
      <w:marRight w:val="0"/>
      <w:marTop w:val="0"/>
      <w:marBottom w:val="0"/>
      <w:divBdr>
        <w:top w:val="none" w:sz="0" w:space="0" w:color="auto"/>
        <w:left w:val="none" w:sz="0" w:space="0" w:color="auto"/>
        <w:bottom w:val="none" w:sz="0" w:space="0" w:color="auto"/>
        <w:right w:val="none" w:sz="0" w:space="0" w:color="auto"/>
      </w:divBdr>
    </w:div>
    <w:div w:id="1268125866">
      <w:bodyDiv w:val="1"/>
      <w:marLeft w:val="0"/>
      <w:marRight w:val="0"/>
      <w:marTop w:val="0"/>
      <w:marBottom w:val="0"/>
      <w:divBdr>
        <w:top w:val="none" w:sz="0" w:space="0" w:color="auto"/>
        <w:left w:val="none" w:sz="0" w:space="0" w:color="auto"/>
        <w:bottom w:val="none" w:sz="0" w:space="0" w:color="auto"/>
        <w:right w:val="none" w:sz="0" w:space="0" w:color="auto"/>
      </w:divBdr>
    </w:div>
    <w:div w:id="1279988397">
      <w:bodyDiv w:val="1"/>
      <w:marLeft w:val="0"/>
      <w:marRight w:val="0"/>
      <w:marTop w:val="0"/>
      <w:marBottom w:val="0"/>
      <w:divBdr>
        <w:top w:val="none" w:sz="0" w:space="0" w:color="auto"/>
        <w:left w:val="none" w:sz="0" w:space="0" w:color="auto"/>
        <w:bottom w:val="none" w:sz="0" w:space="0" w:color="auto"/>
        <w:right w:val="none" w:sz="0" w:space="0" w:color="auto"/>
      </w:divBdr>
    </w:div>
    <w:div w:id="1297879524">
      <w:bodyDiv w:val="1"/>
      <w:marLeft w:val="0"/>
      <w:marRight w:val="0"/>
      <w:marTop w:val="0"/>
      <w:marBottom w:val="0"/>
      <w:divBdr>
        <w:top w:val="none" w:sz="0" w:space="0" w:color="auto"/>
        <w:left w:val="none" w:sz="0" w:space="0" w:color="auto"/>
        <w:bottom w:val="none" w:sz="0" w:space="0" w:color="auto"/>
        <w:right w:val="none" w:sz="0" w:space="0" w:color="auto"/>
      </w:divBdr>
    </w:div>
    <w:div w:id="1299065986">
      <w:bodyDiv w:val="1"/>
      <w:marLeft w:val="0"/>
      <w:marRight w:val="0"/>
      <w:marTop w:val="0"/>
      <w:marBottom w:val="0"/>
      <w:divBdr>
        <w:top w:val="none" w:sz="0" w:space="0" w:color="auto"/>
        <w:left w:val="none" w:sz="0" w:space="0" w:color="auto"/>
        <w:bottom w:val="none" w:sz="0" w:space="0" w:color="auto"/>
        <w:right w:val="none" w:sz="0" w:space="0" w:color="auto"/>
      </w:divBdr>
    </w:div>
    <w:div w:id="1316186302">
      <w:bodyDiv w:val="1"/>
      <w:marLeft w:val="0"/>
      <w:marRight w:val="0"/>
      <w:marTop w:val="0"/>
      <w:marBottom w:val="0"/>
      <w:divBdr>
        <w:top w:val="none" w:sz="0" w:space="0" w:color="auto"/>
        <w:left w:val="none" w:sz="0" w:space="0" w:color="auto"/>
        <w:bottom w:val="none" w:sz="0" w:space="0" w:color="auto"/>
        <w:right w:val="none" w:sz="0" w:space="0" w:color="auto"/>
      </w:divBdr>
    </w:div>
    <w:div w:id="1371613045">
      <w:bodyDiv w:val="1"/>
      <w:marLeft w:val="0"/>
      <w:marRight w:val="0"/>
      <w:marTop w:val="0"/>
      <w:marBottom w:val="0"/>
      <w:divBdr>
        <w:top w:val="none" w:sz="0" w:space="0" w:color="auto"/>
        <w:left w:val="none" w:sz="0" w:space="0" w:color="auto"/>
        <w:bottom w:val="none" w:sz="0" w:space="0" w:color="auto"/>
        <w:right w:val="none" w:sz="0" w:space="0" w:color="auto"/>
      </w:divBdr>
    </w:div>
    <w:div w:id="1397514789">
      <w:bodyDiv w:val="1"/>
      <w:marLeft w:val="0"/>
      <w:marRight w:val="0"/>
      <w:marTop w:val="0"/>
      <w:marBottom w:val="0"/>
      <w:divBdr>
        <w:top w:val="none" w:sz="0" w:space="0" w:color="auto"/>
        <w:left w:val="none" w:sz="0" w:space="0" w:color="auto"/>
        <w:bottom w:val="none" w:sz="0" w:space="0" w:color="auto"/>
        <w:right w:val="none" w:sz="0" w:space="0" w:color="auto"/>
      </w:divBdr>
      <w:divsChild>
        <w:div w:id="1090584787">
          <w:marLeft w:val="0"/>
          <w:marRight w:val="0"/>
          <w:marTop w:val="0"/>
          <w:marBottom w:val="0"/>
          <w:divBdr>
            <w:top w:val="none" w:sz="0" w:space="0" w:color="auto"/>
            <w:left w:val="none" w:sz="0" w:space="0" w:color="auto"/>
            <w:bottom w:val="double" w:sz="6" w:space="0" w:color="EDEDEE"/>
            <w:right w:val="none" w:sz="0" w:space="0" w:color="auto"/>
          </w:divBdr>
        </w:div>
        <w:div w:id="1374385853">
          <w:marLeft w:val="0"/>
          <w:marRight w:val="0"/>
          <w:marTop w:val="0"/>
          <w:marBottom w:val="0"/>
          <w:divBdr>
            <w:top w:val="none" w:sz="0" w:space="0" w:color="auto"/>
            <w:left w:val="none" w:sz="0" w:space="0" w:color="auto"/>
            <w:bottom w:val="none" w:sz="0" w:space="0" w:color="auto"/>
            <w:right w:val="none" w:sz="0" w:space="0" w:color="auto"/>
          </w:divBdr>
        </w:div>
      </w:divsChild>
    </w:div>
    <w:div w:id="1401176326">
      <w:bodyDiv w:val="1"/>
      <w:marLeft w:val="0"/>
      <w:marRight w:val="0"/>
      <w:marTop w:val="0"/>
      <w:marBottom w:val="0"/>
      <w:divBdr>
        <w:top w:val="none" w:sz="0" w:space="0" w:color="auto"/>
        <w:left w:val="none" w:sz="0" w:space="0" w:color="auto"/>
        <w:bottom w:val="none" w:sz="0" w:space="0" w:color="auto"/>
        <w:right w:val="none" w:sz="0" w:space="0" w:color="auto"/>
      </w:divBdr>
    </w:div>
    <w:div w:id="1445729285">
      <w:bodyDiv w:val="1"/>
      <w:marLeft w:val="0"/>
      <w:marRight w:val="0"/>
      <w:marTop w:val="0"/>
      <w:marBottom w:val="0"/>
      <w:divBdr>
        <w:top w:val="none" w:sz="0" w:space="0" w:color="auto"/>
        <w:left w:val="none" w:sz="0" w:space="0" w:color="auto"/>
        <w:bottom w:val="none" w:sz="0" w:space="0" w:color="auto"/>
        <w:right w:val="none" w:sz="0" w:space="0" w:color="auto"/>
      </w:divBdr>
      <w:divsChild>
        <w:div w:id="235629805">
          <w:marLeft w:val="1166"/>
          <w:marRight w:val="0"/>
          <w:marTop w:val="67"/>
          <w:marBottom w:val="0"/>
          <w:divBdr>
            <w:top w:val="none" w:sz="0" w:space="0" w:color="auto"/>
            <w:left w:val="none" w:sz="0" w:space="0" w:color="auto"/>
            <w:bottom w:val="none" w:sz="0" w:space="0" w:color="auto"/>
            <w:right w:val="none" w:sz="0" w:space="0" w:color="auto"/>
          </w:divBdr>
        </w:div>
      </w:divsChild>
    </w:div>
    <w:div w:id="1456564516">
      <w:bodyDiv w:val="1"/>
      <w:marLeft w:val="0"/>
      <w:marRight w:val="0"/>
      <w:marTop w:val="0"/>
      <w:marBottom w:val="0"/>
      <w:divBdr>
        <w:top w:val="none" w:sz="0" w:space="0" w:color="auto"/>
        <w:left w:val="none" w:sz="0" w:space="0" w:color="auto"/>
        <w:bottom w:val="none" w:sz="0" w:space="0" w:color="auto"/>
        <w:right w:val="none" w:sz="0" w:space="0" w:color="auto"/>
      </w:divBdr>
    </w:div>
    <w:div w:id="1457873750">
      <w:bodyDiv w:val="1"/>
      <w:marLeft w:val="0"/>
      <w:marRight w:val="0"/>
      <w:marTop w:val="0"/>
      <w:marBottom w:val="0"/>
      <w:divBdr>
        <w:top w:val="none" w:sz="0" w:space="0" w:color="auto"/>
        <w:left w:val="none" w:sz="0" w:space="0" w:color="auto"/>
        <w:bottom w:val="none" w:sz="0" w:space="0" w:color="auto"/>
        <w:right w:val="none" w:sz="0" w:space="0" w:color="auto"/>
      </w:divBdr>
    </w:div>
    <w:div w:id="1462458107">
      <w:bodyDiv w:val="1"/>
      <w:marLeft w:val="0"/>
      <w:marRight w:val="0"/>
      <w:marTop w:val="0"/>
      <w:marBottom w:val="0"/>
      <w:divBdr>
        <w:top w:val="none" w:sz="0" w:space="0" w:color="auto"/>
        <w:left w:val="none" w:sz="0" w:space="0" w:color="auto"/>
        <w:bottom w:val="none" w:sz="0" w:space="0" w:color="auto"/>
        <w:right w:val="none" w:sz="0" w:space="0" w:color="auto"/>
      </w:divBdr>
    </w:div>
    <w:div w:id="1464227435">
      <w:bodyDiv w:val="1"/>
      <w:marLeft w:val="0"/>
      <w:marRight w:val="0"/>
      <w:marTop w:val="0"/>
      <w:marBottom w:val="0"/>
      <w:divBdr>
        <w:top w:val="none" w:sz="0" w:space="0" w:color="auto"/>
        <w:left w:val="none" w:sz="0" w:space="0" w:color="auto"/>
        <w:bottom w:val="none" w:sz="0" w:space="0" w:color="auto"/>
        <w:right w:val="none" w:sz="0" w:space="0" w:color="auto"/>
      </w:divBdr>
    </w:div>
    <w:div w:id="1493982954">
      <w:bodyDiv w:val="1"/>
      <w:marLeft w:val="0"/>
      <w:marRight w:val="0"/>
      <w:marTop w:val="0"/>
      <w:marBottom w:val="0"/>
      <w:divBdr>
        <w:top w:val="none" w:sz="0" w:space="0" w:color="auto"/>
        <w:left w:val="none" w:sz="0" w:space="0" w:color="auto"/>
        <w:bottom w:val="none" w:sz="0" w:space="0" w:color="auto"/>
        <w:right w:val="none" w:sz="0" w:space="0" w:color="auto"/>
      </w:divBdr>
    </w:div>
    <w:div w:id="1499349960">
      <w:bodyDiv w:val="1"/>
      <w:marLeft w:val="0"/>
      <w:marRight w:val="0"/>
      <w:marTop w:val="0"/>
      <w:marBottom w:val="0"/>
      <w:divBdr>
        <w:top w:val="none" w:sz="0" w:space="0" w:color="auto"/>
        <w:left w:val="none" w:sz="0" w:space="0" w:color="auto"/>
        <w:bottom w:val="none" w:sz="0" w:space="0" w:color="auto"/>
        <w:right w:val="none" w:sz="0" w:space="0" w:color="auto"/>
      </w:divBdr>
    </w:div>
    <w:div w:id="1531798654">
      <w:bodyDiv w:val="1"/>
      <w:marLeft w:val="0"/>
      <w:marRight w:val="0"/>
      <w:marTop w:val="0"/>
      <w:marBottom w:val="0"/>
      <w:divBdr>
        <w:top w:val="none" w:sz="0" w:space="0" w:color="auto"/>
        <w:left w:val="none" w:sz="0" w:space="0" w:color="auto"/>
        <w:bottom w:val="none" w:sz="0" w:space="0" w:color="auto"/>
        <w:right w:val="none" w:sz="0" w:space="0" w:color="auto"/>
      </w:divBdr>
    </w:div>
    <w:div w:id="1557081749">
      <w:bodyDiv w:val="1"/>
      <w:marLeft w:val="0"/>
      <w:marRight w:val="0"/>
      <w:marTop w:val="0"/>
      <w:marBottom w:val="0"/>
      <w:divBdr>
        <w:top w:val="none" w:sz="0" w:space="0" w:color="auto"/>
        <w:left w:val="none" w:sz="0" w:space="0" w:color="auto"/>
        <w:bottom w:val="none" w:sz="0" w:space="0" w:color="auto"/>
        <w:right w:val="none" w:sz="0" w:space="0" w:color="auto"/>
      </w:divBdr>
    </w:div>
    <w:div w:id="1560744848">
      <w:bodyDiv w:val="1"/>
      <w:marLeft w:val="0"/>
      <w:marRight w:val="0"/>
      <w:marTop w:val="0"/>
      <w:marBottom w:val="0"/>
      <w:divBdr>
        <w:top w:val="none" w:sz="0" w:space="0" w:color="auto"/>
        <w:left w:val="none" w:sz="0" w:space="0" w:color="auto"/>
        <w:bottom w:val="none" w:sz="0" w:space="0" w:color="auto"/>
        <w:right w:val="none" w:sz="0" w:space="0" w:color="auto"/>
      </w:divBdr>
    </w:div>
    <w:div w:id="1573394092">
      <w:bodyDiv w:val="1"/>
      <w:marLeft w:val="0"/>
      <w:marRight w:val="0"/>
      <w:marTop w:val="0"/>
      <w:marBottom w:val="0"/>
      <w:divBdr>
        <w:top w:val="none" w:sz="0" w:space="0" w:color="auto"/>
        <w:left w:val="none" w:sz="0" w:space="0" w:color="auto"/>
        <w:bottom w:val="none" w:sz="0" w:space="0" w:color="auto"/>
        <w:right w:val="none" w:sz="0" w:space="0" w:color="auto"/>
      </w:divBdr>
    </w:div>
    <w:div w:id="1574513093">
      <w:bodyDiv w:val="1"/>
      <w:marLeft w:val="0"/>
      <w:marRight w:val="0"/>
      <w:marTop w:val="0"/>
      <w:marBottom w:val="0"/>
      <w:divBdr>
        <w:top w:val="none" w:sz="0" w:space="0" w:color="auto"/>
        <w:left w:val="none" w:sz="0" w:space="0" w:color="auto"/>
        <w:bottom w:val="none" w:sz="0" w:space="0" w:color="auto"/>
        <w:right w:val="none" w:sz="0" w:space="0" w:color="auto"/>
      </w:divBdr>
    </w:div>
    <w:div w:id="1581401971">
      <w:bodyDiv w:val="1"/>
      <w:marLeft w:val="0"/>
      <w:marRight w:val="0"/>
      <w:marTop w:val="0"/>
      <w:marBottom w:val="0"/>
      <w:divBdr>
        <w:top w:val="none" w:sz="0" w:space="0" w:color="auto"/>
        <w:left w:val="none" w:sz="0" w:space="0" w:color="auto"/>
        <w:bottom w:val="none" w:sz="0" w:space="0" w:color="auto"/>
        <w:right w:val="none" w:sz="0" w:space="0" w:color="auto"/>
      </w:divBdr>
    </w:div>
    <w:div w:id="1591160560">
      <w:bodyDiv w:val="1"/>
      <w:marLeft w:val="0"/>
      <w:marRight w:val="0"/>
      <w:marTop w:val="0"/>
      <w:marBottom w:val="0"/>
      <w:divBdr>
        <w:top w:val="none" w:sz="0" w:space="0" w:color="auto"/>
        <w:left w:val="none" w:sz="0" w:space="0" w:color="auto"/>
        <w:bottom w:val="none" w:sz="0" w:space="0" w:color="auto"/>
        <w:right w:val="none" w:sz="0" w:space="0" w:color="auto"/>
      </w:divBdr>
    </w:div>
    <w:div w:id="1595943930">
      <w:bodyDiv w:val="1"/>
      <w:marLeft w:val="0"/>
      <w:marRight w:val="0"/>
      <w:marTop w:val="0"/>
      <w:marBottom w:val="0"/>
      <w:divBdr>
        <w:top w:val="none" w:sz="0" w:space="0" w:color="auto"/>
        <w:left w:val="none" w:sz="0" w:space="0" w:color="auto"/>
        <w:bottom w:val="none" w:sz="0" w:space="0" w:color="auto"/>
        <w:right w:val="none" w:sz="0" w:space="0" w:color="auto"/>
      </w:divBdr>
    </w:div>
    <w:div w:id="1601569552">
      <w:bodyDiv w:val="1"/>
      <w:marLeft w:val="0"/>
      <w:marRight w:val="0"/>
      <w:marTop w:val="0"/>
      <w:marBottom w:val="0"/>
      <w:divBdr>
        <w:top w:val="none" w:sz="0" w:space="0" w:color="auto"/>
        <w:left w:val="none" w:sz="0" w:space="0" w:color="auto"/>
        <w:bottom w:val="none" w:sz="0" w:space="0" w:color="auto"/>
        <w:right w:val="none" w:sz="0" w:space="0" w:color="auto"/>
      </w:divBdr>
    </w:div>
    <w:div w:id="1604069770">
      <w:bodyDiv w:val="1"/>
      <w:marLeft w:val="0"/>
      <w:marRight w:val="0"/>
      <w:marTop w:val="0"/>
      <w:marBottom w:val="0"/>
      <w:divBdr>
        <w:top w:val="none" w:sz="0" w:space="0" w:color="auto"/>
        <w:left w:val="none" w:sz="0" w:space="0" w:color="auto"/>
        <w:bottom w:val="none" w:sz="0" w:space="0" w:color="auto"/>
        <w:right w:val="none" w:sz="0" w:space="0" w:color="auto"/>
      </w:divBdr>
    </w:div>
    <w:div w:id="1609047979">
      <w:bodyDiv w:val="1"/>
      <w:marLeft w:val="0"/>
      <w:marRight w:val="0"/>
      <w:marTop w:val="0"/>
      <w:marBottom w:val="0"/>
      <w:divBdr>
        <w:top w:val="none" w:sz="0" w:space="0" w:color="auto"/>
        <w:left w:val="none" w:sz="0" w:space="0" w:color="auto"/>
        <w:bottom w:val="none" w:sz="0" w:space="0" w:color="auto"/>
        <w:right w:val="none" w:sz="0" w:space="0" w:color="auto"/>
      </w:divBdr>
    </w:div>
    <w:div w:id="1617523327">
      <w:bodyDiv w:val="1"/>
      <w:marLeft w:val="0"/>
      <w:marRight w:val="0"/>
      <w:marTop w:val="0"/>
      <w:marBottom w:val="0"/>
      <w:divBdr>
        <w:top w:val="none" w:sz="0" w:space="0" w:color="auto"/>
        <w:left w:val="none" w:sz="0" w:space="0" w:color="auto"/>
        <w:bottom w:val="none" w:sz="0" w:space="0" w:color="auto"/>
        <w:right w:val="none" w:sz="0" w:space="0" w:color="auto"/>
      </w:divBdr>
    </w:div>
    <w:div w:id="1639067460">
      <w:bodyDiv w:val="1"/>
      <w:marLeft w:val="0"/>
      <w:marRight w:val="0"/>
      <w:marTop w:val="0"/>
      <w:marBottom w:val="0"/>
      <w:divBdr>
        <w:top w:val="none" w:sz="0" w:space="0" w:color="auto"/>
        <w:left w:val="none" w:sz="0" w:space="0" w:color="auto"/>
        <w:bottom w:val="none" w:sz="0" w:space="0" w:color="auto"/>
        <w:right w:val="none" w:sz="0" w:space="0" w:color="auto"/>
      </w:divBdr>
    </w:div>
    <w:div w:id="1653564970">
      <w:bodyDiv w:val="1"/>
      <w:marLeft w:val="0"/>
      <w:marRight w:val="0"/>
      <w:marTop w:val="0"/>
      <w:marBottom w:val="0"/>
      <w:divBdr>
        <w:top w:val="none" w:sz="0" w:space="0" w:color="auto"/>
        <w:left w:val="none" w:sz="0" w:space="0" w:color="auto"/>
        <w:bottom w:val="none" w:sz="0" w:space="0" w:color="auto"/>
        <w:right w:val="none" w:sz="0" w:space="0" w:color="auto"/>
      </w:divBdr>
    </w:div>
    <w:div w:id="1657147500">
      <w:bodyDiv w:val="1"/>
      <w:marLeft w:val="0"/>
      <w:marRight w:val="0"/>
      <w:marTop w:val="0"/>
      <w:marBottom w:val="0"/>
      <w:divBdr>
        <w:top w:val="none" w:sz="0" w:space="0" w:color="auto"/>
        <w:left w:val="none" w:sz="0" w:space="0" w:color="auto"/>
        <w:bottom w:val="none" w:sz="0" w:space="0" w:color="auto"/>
        <w:right w:val="none" w:sz="0" w:space="0" w:color="auto"/>
      </w:divBdr>
    </w:div>
    <w:div w:id="1684093424">
      <w:bodyDiv w:val="1"/>
      <w:marLeft w:val="0"/>
      <w:marRight w:val="0"/>
      <w:marTop w:val="0"/>
      <w:marBottom w:val="0"/>
      <w:divBdr>
        <w:top w:val="none" w:sz="0" w:space="0" w:color="auto"/>
        <w:left w:val="none" w:sz="0" w:space="0" w:color="auto"/>
        <w:bottom w:val="none" w:sz="0" w:space="0" w:color="auto"/>
        <w:right w:val="none" w:sz="0" w:space="0" w:color="auto"/>
      </w:divBdr>
    </w:div>
    <w:div w:id="1692756765">
      <w:bodyDiv w:val="1"/>
      <w:marLeft w:val="0"/>
      <w:marRight w:val="0"/>
      <w:marTop w:val="0"/>
      <w:marBottom w:val="0"/>
      <w:divBdr>
        <w:top w:val="none" w:sz="0" w:space="0" w:color="auto"/>
        <w:left w:val="none" w:sz="0" w:space="0" w:color="auto"/>
        <w:bottom w:val="none" w:sz="0" w:space="0" w:color="auto"/>
        <w:right w:val="none" w:sz="0" w:space="0" w:color="auto"/>
      </w:divBdr>
    </w:div>
    <w:div w:id="1706757034">
      <w:bodyDiv w:val="1"/>
      <w:marLeft w:val="0"/>
      <w:marRight w:val="0"/>
      <w:marTop w:val="0"/>
      <w:marBottom w:val="0"/>
      <w:divBdr>
        <w:top w:val="none" w:sz="0" w:space="0" w:color="auto"/>
        <w:left w:val="none" w:sz="0" w:space="0" w:color="auto"/>
        <w:bottom w:val="none" w:sz="0" w:space="0" w:color="auto"/>
        <w:right w:val="none" w:sz="0" w:space="0" w:color="auto"/>
      </w:divBdr>
    </w:div>
    <w:div w:id="1716931327">
      <w:bodyDiv w:val="1"/>
      <w:marLeft w:val="0"/>
      <w:marRight w:val="0"/>
      <w:marTop w:val="0"/>
      <w:marBottom w:val="0"/>
      <w:divBdr>
        <w:top w:val="none" w:sz="0" w:space="0" w:color="auto"/>
        <w:left w:val="none" w:sz="0" w:space="0" w:color="auto"/>
        <w:bottom w:val="none" w:sz="0" w:space="0" w:color="auto"/>
        <w:right w:val="none" w:sz="0" w:space="0" w:color="auto"/>
      </w:divBdr>
    </w:div>
    <w:div w:id="1721830568">
      <w:bodyDiv w:val="1"/>
      <w:marLeft w:val="0"/>
      <w:marRight w:val="0"/>
      <w:marTop w:val="0"/>
      <w:marBottom w:val="0"/>
      <w:divBdr>
        <w:top w:val="none" w:sz="0" w:space="0" w:color="auto"/>
        <w:left w:val="none" w:sz="0" w:space="0" w:color="auto"/>
        <w:bottom w:val="none" w:sz="0" w:space="0" w:color="auto"/>
        <w:right w:val="none" w:sz="0" w:space="0" w:color="auto"/>
      </w:divBdr>
    </w:div>
    <w:div w:id="1726099732">
      <w:bodyDiv w:val="1"/>
      <w:marLeft w:val="0"/>
      <w:marRight w:val="0"/>
      <w:marTop w:val="0"/>
      <w:marBottom w:val="0"/>
      <w:divBdr>
        <w:top w:val="none" w:sz="0" w:space="0" w:color="auto"/>
        <w:left w:val="none" w:sz="0" w:space="0" w:color="auto"/>
        <w:bottom w:val="none" w:sz="0" w:space="0" w:color="auto"/>
        <w:right w:val="none" w:sz="0" w:space="0" w:color="auto"/>
      </w:divBdr>
    </w:div>
    <w:div w:id="1727757527">
      <w:bodyDiv w:val="1"/>
      <w:marLeft w:val="0"/>
      <w:marRight w:val="0"/>
      <w:marTop w:val="0"/>
      <w:marBottom w:val="0"/>
      <w:divBdr>
        <w:top w:val="none" w:sz="0" w:space="0" w:color="auto"/>
        <w:left w:val="none" w:sz="0" w:space="0" w:color="auto"/>
        <w:bottom w:val="none" w:sz="0" w:space="0" w:color="auto"/>
        <w:right w:val="none" w:sz="0" w:space="0" w:color="auto"/>
      </w:divBdr>
    </w:div>
    <w:div w:id="1728989358">
      <w:bodyDiv w:val="1"/>
      <w:marLeft w:val="0"/>
      <w:marRight w:val="0"/>
      <w:marTop w:val="0"/>
      <w:marBottom w:val="0"/>
      <w:divBdr>
        <w:top w:val="none" w:sz="0" w:space="0" w:color="auto"/>
        <w:left w:val="none" w:sz="0" w:space="0" w:color="auto"/>
        <w:bottom w:val="none" w:sz="0" w:space="0" w:color="auto"/>
        <w:right w:val="none" w:sz="0" w:space="0" w:color="auto"/>
      </w:divBdr>
    </w:div>
    <w:div w:id="1729299511">
      <w:bodyDiv w:val="1"/>
      <w:marLeft w:val="0"/>
      <w:marRight w:val="0"/>
      <w:marTop w:val="0"/>
      <w:marBottom w:val="0"/>
      <w:divBdr>
        <w:top w:val="none" w:sz="0" w:space="0" w:color="auto"/>
        <w:left w:val="none" w:sz="0" w:space="0" w:color="auto"/>
        <w:bottom w:val="none" w:sz="0" w:space="0" w:color="auto"/>
        <w:right w:val="none" w:sz="0" w:space="0" w:color="auto"/>
      </w:divBdr>
    </w:div>
    <w:div w:id="1731532550">
      <w:bodyDiv w:val="1"/>
      <w:marLeft w:val="0"/>
      <w:marRight w:val="0"/>
      <w:marTop w:val="0"/>
      <w:marBottom w:val="0"/>
      <w:divBdr>
        <w:top w:val="none" w:sz="0" w:space="0" w:color="auto"/>
        <w:left w:val="none" w:sz="0" w:space="0" w:color="auto"/>
        <w:bottom w:val="none" w:sz="0" w:space="0" w:color="auto"/>
        <w:right w:val="none" w:sz="0" w:space="0" w:color="auto"/>
      </w:divBdr>
    </w:div>
    <w:div w:id="1736319907">
      <w:bodyDiv w:val="1"/>
      <w:marLeft w:val="0"/>
      <w:marRight w:val="0"/>
      <w:marTop w:val="0"/>
      <w:marBottom w:val="0"/>
      <w:divBdr>
        <w:top w:val="none" w:sz="0" w:space="0" w:color="auto"/>
        <w:left w:val="none" w:sz="0" w:space="0" w:color="auto"/>
        <w:bottom w:val="none" w:sz="0" w:space="0" w:color="auto"/>
        <w:right w:val="none" w:sz="0" w:space="0" w:color="auto"/>
      </w:divBdr>
    </w:div>
    <w:div w:id="1754820577">
      <w:bodyDiv w:val="1"/>
      <w:marLeft w:val="0"/>
      <w:marRight w:val="0"/>
      <w:marTop w:val="0"/>
      <w:marBottom w:val="0"/>
      <w:divBdr>
        <w:top w:val="none" w:sz="0" w:space="0" w:color="auto"/>
        <w:left w:val="none" w:sz="0" w:space="0" w:color="auto"/>
        <w:bottom w:val="none" w:sz="0" w:space="0" w:color="auto"/>
        <w:right w:val="none" w:sz="0" w:space="0" w:color="auto"/>
      </w:divBdr>
    </w:div>
    <w:div w:id="1758016921">
      <w:bodyDiv w:val="1"/>
      <w:marLeft w:val="0"/>
      <w:marRight w:val="0"/>
      <w:marTop w:val="0"/>
      <w:marBottom w:val="0"/>
      <w:divBdr>
        <w:top w:val="none" w:sz="0" w:space="0" w:color="auto"/>
        <w:left w:val="none" w:sz="0" w:space="0" w:color="auto"/>
        <w:bottom w:val="none" w:sz="0" w:space="0" w:color="auto"/>
        <w:right w:val="none" w:sz="0" w:space="0" w:color="auto"/>
      </w:divBdr>
    </w:div>
    <w:div w:id="1776320052">
      <w:bodyDiv w:val="1"/>
      <w:marLeft w:val="0"/>
      <w:marRight w:val="0"/>
      <w:marTop w:val="0"/>
      <w:marBottom w:val="0"/>
      <w:divBdr>
        <w:top w:val="none" w:sz="0" w:space="0" w:color="auto"/>
        <w:left w:val="none" w:sz="0" w:space="0" w:color="auto"/>
        <w:bottom w:val="none" w:sz="0" w:space="0" w:color="auto"/>
        <w:right w:val="none" w:sz="0" w:space="0" w:color="auto"/>
      </w:divBdr>
    </w:div>
    <w:div w:id="1777751450">
      <w:bodyDiv w:val="1"/>
      <w:marLeft w:val="0"/>
      <w:marRight w:val="0"/>
      <w:marTop w:val="0"/>
      <w:marBottom w:val="0"/>
      <w:divBdr>
        <w:top w:val="none" w:sz="0" w:space="0" w:color="auto"/>
        <w:left w:val="none" w:sz="0" w:space="0" w:color="auto"/>
        <w:bottom w:val="none" w:sz="0" w:space="0" w:color="auto"/>
        <w:right w:val="none" w:sz="0" w:space="0" w:color="auto"/>
      </w:divBdr>
    </w:div>
    <w:div w:id="1778210143">
      <w:bodyDiv w:val="1"/>
      <w:marLeft w:val="0"/>
      <w:marRight w:val="0"/>
      <w:marTop w:val="0"/>
      <w:marBottom w:val="0"/>
      <w:divBdr>
        <w:top w:val="none" w:sz="0" w:space="0" w:color="auto"/>
        <w:left w:val="none" w:sz="0" w:space="0" w:color="auto"/>
        <w:bottom w:val="none" w:sz="0" w:space="0" w:color="auto"/>
        <w:right w:val="none" w:sz="0" w:space="0" w:color="auto"/>
      </w:divBdr>
    </w:div>
    <w:div w:id="1807039370">
      <w:bodyDiv w:val="1"/>
      <w:marLeft w:val="0"/>
      <w:marRight w:val="0"/>
      <w:marTop w:val="0"/>
      <w:marBottom w:val="0"/>
      <w:divBdr>
        <w:top w:val="none" w:sz="0" w:space="0" w:color="auto"/>
        <w:left w:val="none" w:sz="0" w:space="0" w:color="auto"/>
        <w:bottom w:val="none" w:sz="0" w:space="0" w:color="auto"/>
        <w:right w:val="none" w:sz="0" w:space="0" w:color="auto"/>
      </w:divBdr>
    </w:div>
    <w:div w:id="1839615872">
      <w:bodyDiv w:val="1"/>
      <w:marLeft w:val="0"/>
      <w:marRight w:val="0"/>
      <w:marTop w:val="0"/>
      <w:marBottom w:val="0"/>
      <w:divBdr>
        <w:top w:val="none" w:sz="0" w:space="0" w:color="auto"/>
        <w:left w:val="none" w:sz="0" w:space="0" w:color="auto"/>
        <w:bottom w:val="none" w:sz="0" w:space="0" w:color="auto"/>
        <w:right w:val="none" w:sz="0" w:space="0" w:color="auto"/>
      </w:divBdr>
    </w:div>
    <w:div w:id="1849562715">
      <w:bodyDiv w:val="1"/>
      <w:marLeft w:val="0"/>
      <w:marRight w:val="0"/>
      <w:marTop w:val="0"/>
      <w:marBottom w:val="0"/>
      <w:divBdr>
        <w:top w:val="none" w:sz="0" w:space="0" w:color="auto"/>
        <w:left w:val="none" w:sz="0" w:space="0" w:color="auto"/>
        <w:bottom w:val="none" w:sz="0" w:space="0" w:color="auto"/>
        <w:right w:val="none" w:sz="0" w:space="0" w:color="auto"/>
      </w:divBdr>
    </w:div>
    <w:div w:id="1854878180">
      <w:bodyDiv w:val="1"/>
      <w:marLeft w:val="0"/>
      <w:marRight w:val="0"/>
      <w:marTop w:val="0"/>
      <w:marBottom w:val="0"/>
      <w:divBdr>
        <w:top w:val="none" w:sz="0" w:space="0" w:color="auto"/>
        <w:left w:val="none" w:sz="0" w:space="0" w:color="auto"/>
        <w:bottom w:val="none" w:sz="0" w:space="0" w:color="auto"/>
        <w:right w:val="none" w:sz="0" w:space="0" w:color="auto"/>
      </w:divBdr>
    </w:div>
    <w:div w:id="1874150154">
      <w:bodyDiv w:val="1"/>
      <w:marLeft w:val="0"/>
      <w:marRight w:val="0"/>
      <w:marTop w:val="0"/>
      <w:marBottom w:val="0"/>
      <w:divBdr>
        <w:top w:val="none" w:sz="0" w:space="0" w:color="auto"/>
        <w:left w:val="none" w:sz="0" w:space="0" w:color="auto"/>
        <w:bottom w:val="none" w:sz="0" w:space="0" w:color="auto"/>
        <w:right w:val="none" w:sz="0" w:space="0" w:color="auto"/>
      </w:divBdr>
    </w:div>
    <w:div w:id="1880699065">
      <w:bodyDiv w:val="1"/>
      <w:marLeft w:val="0"/>
      <w:marRight w:val="0"/>
      <w:marTop w:val="0"/>
      <w:marBottom w:val="0"/>
      <w:divBdr>
        <w:top w:val="none" w:sz="0" w:space="0" w:color="auto"/>
        <w:left w:val="none" w:sz="0" w:space="0" w:color="auto"/>
        <w:bottom w:val="none" w:sz="0" w:space="0" w:color="auto"/>
        <w:right w:val="none" w:sz="0" w:space="0" w:color="auto"/>
      </w:divBdr>
    </w:div>
    <w:div w:id="1892616311">
      <w:bodyDiv w:val="1"/>
      <w:marLeft w:val="0"/>
      <w:marRight w:val="0"/>
      <w:marTop w:val="0"/>
      <w:marBottom w:val="0"/>
      <w:divBdr>
        <w:top w:val="none" w:sz="0" w:space="0" w:color="auto"/>
        <w:left w:val="none" w:sz="0" w:space="0" w:color="auto"/>
        <w:bottom w:val="none" w:sz="0" w:space="0" w:color="auto"/>
        <w:right w:val="none" w:sz="0" w:space="0" w:color="auto"/>
      </w:divBdr>
    </w:div>
    <w:div w:id="1895659251">
      <w:bodyDiv w:val="1"/>
      <w:marLeft w:val="0"/>
      <w:marRight w:val="0"/>
      <w:marTop w:val="0"/>
      <w:marBottom w:val="0"/>
      <w:divBdr>
        <w:top w:val="none" w:sz="0" w:space="0" w:color="auto"/>
        <w:left w:val="none" w:sz="0" w:space="0" w:color="auto"/>
        <w:bottom w:val="none" w:sz="0" w:space="0" w:color="auto"/>
        <w:right w:val="none" w:sz="0" w:space="0" w:color="auto"/>
      </w:divBdr>
    </w:div>
    <w:div w:id="1915241368">
      <w:bodyDiv w:val="1"/>
      <w:marLeft w:val="0"/>
      <w:marRight w:val="0"/>
      <w:marTop w:val="0"/>
      <w:marBottom w:val="0"/>
      <w:divBdr>
        <w:top w:val="none" w:sz="0" w:space="0" w:color="auto"/>
        <w:left w:val="none" w:sz="0" w:space="0" w:color="auto"/>
        <w:bottom w:val="none" w:sz="0" w:space="0" w:color="auto"/>
        <w:right w:val="none" w:sz="0" w:space="0" w:color="auto"/>
      </w:divBdr>
    </w:div>
    <w:div w:id="1945725791">
      <w:bodyDiv w:val="1"/>
      <w:marLeft w:val="0"/>
      <w:marRight w:val="0"/>
      <w:marTop w:val="0"/>
      <w:marBottom w:val="0"/>
      <w:divBdr>
        <w:top w:val="none" w:sz="0" w:space="0" w:color="auto"/>
        <w:left w:val="none" w:sz="0" w:space="0" w:color="auto"/>
        <w:bottom w:val="none" w:sz="0" w:space="0" w:color="auto"/>
        <w:right w:val="none" w:sz="0" w:space="0" w:color="auto"/>
      </w:divBdr>
    </w:div>
    <w:div w:id="1956253221">
      <w:bodyDiv w:val="1"/>
      <w:marLeft w:val="0"/>
      <w:marRight w:val="0"/>
      <w:marTop w:val="0"/>
      <w:marBottom w:val="0"/>
      <w:divBdr>
        <w:top w:val="none" w:sz="0" w:space="0" w:color="auto"/>
        <w:left w:val="none" w:sz="0" w:space="0" w:color="auto"/>
        <w:bottom w:val="none" w:sz="0" w:space="0" w:color="auto"/>
        <w:right w:val="none" w:sz="0" w:space="0" w:color="auto"/>
      </w:divBdr>
    </w:div>
    <w:div w:id="1972176320">
      <w:bodyDiv w:val="1"/>
      <w:marLeft w:val="0"/>
      <w:marRight w:val="0"/>
      <w:marTop w:val="0"/>
      <w:marBottom w:val="0"/>
      <w:divBdr>
        <w:top w:val="none" w:sz="0" w:space="0" w:color="auto"/>
        <w:left w:val="none" w:sz="0" w:space="0" w:color="auto"/>
        <w:bottom w:val="none" w:sz="0" w:space="0" w:color="auto"/>
        <w:right w:val="none" w:sz="0" w:space="0" w:color="auto"/>
      </w:divBdr>
    </w:div>
    <w:div w:id="1973829126">
      <w:bodyDiv w:val="1"/>
      <w:marLeft w:val="0"/>
      <w:marRight w:val="0"/>
      <w:marTop w:val="0"/>
      <w:marBottom w:val="0"/>
      <w:divBdr>
        <w:top w:val="none" w:sz="0" w:space="0" w:color="auto"/>
        <w:left w:val="none" w:sz="0" w:space="0" w:color="auto"/>
        <w:bottom w:val="none" w:sz="0" w:space="0" w:color="auto"/>
        <w:right w:val="none" w:sz="0" w:space="0" w:color="auto"/>
      </w:divBdr>
    </w:div>
    <w:div w:id="1976523601">
      <w:bodyDiv w:val="1"/>
      <w:marLeft w:val="0"/>
      <w:marRight w:val="0"/>
      <w:marTop w:val="0"/>
      <w:marBottom w:val="0"/>
      <w:divBdr>
        <w:top w:val="none" w:sz="0" w:space="0" w:color="auto"/>
        <w:left w:val="none" w:sz="0" w:space="0" w:color="auto"/>
        <w:bottom w:val="none" w:sz="0" w:space="0" w:color="auto"/>
        <w:right w:val="none" w:sz="0" w:space="0" w:color="auto"/>
      </w:divBdr>
    </w:div>
    <w:div w:id="1981684784">
      <w:bodyDiv w:val="1"/>
      <w:marLeft w:val="0"/>
      <w:marRight w:val="0"/>
      <w:marTop w:val="0"/>
      <w:marBottom w:val="0"/>
      <w:divBdr>
        <w:top w:val="none" w:sz="0" w:space="0" w:color="auto"/>
        <w:left w:val="none" w:sz="0" w:space="0" w:color="auto"/>
        <w:bottom w:val="none" w:sz="0" w:space="0" w:color="auto"/>
        <w:right w:val="none" w:sz="0" w:space="0" w:color="auto"/>
      </w:divBdr>
    </w:div>
    <w:div w:id="1994019834">
      <w:bodyDiv w:val="1"/>
      <w:marLeft w:val="0"/>
      <w:marRight w:val="0"/>
      <w:marTop w:val="0"/>
      <w:marBottom w:val="0"/>
      <w:divBdr>
        <w:top w:val="none" w:sz="0" w:space="0" w:color="auto"/>
        <w:left w:val="none" w:sz="0" w:space="0" w:color="auto"/>
        <w:bottom w:val="none" w:sz="0" w:space="0" w:color="auto"/>
        <w:right w:val="none" w:sz="0" w:space="0" w:color="auto"/>
      </w:divBdr>
    </w:div>
    <w:div w:id="2006739612">
      <w:bodyDiv w:val="1"/>
      <w:marLeft w:val="0"/>
      <w:marRight w:val="0"/>
      <w:marTop w:val="0"/>
      <w:marBottom w:val="0"/>
      <w:divBdr>
        <w:top w:val="none" w:sz="0" w:space="0" w:color="auto"/>
        <w:left w:val="none" w:sz="0" w:space="0" w:color="auto"/>
        <w:bottom w:val="none" w:sz="0" w:space="0" w:color="auto"/>
        <w:right w:val="none" w:sz="0" w:space="0" w:color="auto"/>
      </w:divBdr>
    </w:div>
    <w:div w:id="2056269075">
      <w:bodyDiv w:val="1"/>
      <w:marLeft w:val="0"/>
      <w:marRight w:val="0"/>
      <w:marTop w:val="0"/>
      <w:marBottom w:val="0"/>
      <w:divBdr>
        <w:top w:val="none" w:sz="0" w:space="0" w:color="auto"/>
        <w:left w:val="none" w:sz="0" w:space="0" w:color="auto"/>
        <w:bottom w:val="none" w:sz="0" w:space="0" w:color="auto"/>
        <w:right w:val="none" w:sz="0" w:space="0" w:color="auto"/>
      </w:divBdr>
    </w:div>
    <w:div w:id="2074812489">
      <w:bodyDiv w:val="1"/>
      <w:marLeft w:val="0"/>
      <w:marRight w:val="0"/>
      <w:marTop w:val="0"/>
      <w:marBottom w:val="0"/>
      <w:divBdr>
        <w:top w:val="none" w:sz="0" w:space="0" w:color="auto"/>
        <w:left w:val="none" w:sz="0" w:space="0" w:color="auto"/>
        <w:bottom w:val="none" w:sz="0" w:space="0" w:color="auto"/>
        <w:right w:val="none" w:sz="0" w:space="0" w:color="auto"/>
      </w:divBdr>
    </w:div>
    <w:div w:id="2079983533">
      <w:bodyDiv w:val="1"/>
      <w:marLeft w:val="0"/>
      <w:marRight w:val="0"/>
      <w:marTop w:val="0"/>
      <w:marBottom w:val="0"/>
      <w:divBdr>
        <w:top w:val="none" w:sz="0" w:space="0" w:color="auto"/>
        <w:left w:val="none" w:sz="0" w:space="0" w:color="auto"/>
        <w:bottom w:val="none" w:sz="0" w:space="0" w:color="auto"/>
        <w:right w:val="none" w:sz="0" w:space="0" w:color="auto"/>
      </w:divBdr>
    </w:div>
    <w:div w:id="2083597771">
      <w:bodyDiv w:val="1"/>
      <w:marLeft w:val="0"/>
      <w:marRight w:val="0"/>
      <w:marTop w:val="0"/>
      <w:marBottom w:val="0"/>
      <w:divBdr>
        <w:top w:val="none" w:sz="0" w:space="0" w:color="auto"/>
        <w:left w:val="none" w:sz="0" w:space="0" w:color="auto"/>
        <w:bottom w:val="none" w:sz="0" w:space="0" w:color="auto"/>
        <w:right w:val="none" w:sz="0" w:space="0" w:color="auto"/>
      </w:divBdr>
    </w:div>
    <w:div w:id="2101757721">
      <w:bodyDiv w:val="1"/>
      <w:marLeft w:val="0"/>
      <w:marRight w:val="0"/>
      <w:marTop w:val="0"/>
      <w:marBottom w:val="0"/>
      <w:divBdr>
        <w:top w:val="none" w:sz="0" w:space="0" w:color="auto"/>
        <w:left w:val="none" w:sz="0" w:space="0" w:color="auto"/>
        <w:bottom w:val="none" w:sz="0" w:space="0" w:color="auto"/>
        <w:right w:val="none" w:sz="0" w:space="0" w:color="auto"/>
      </w:divBdr>
    </w:div>
    <w:div w:id="2102876335">
      <w:bodyDiv w:val="1"/>
      <w:marLeft w:val="0"/>
      <w:marRight w:val="0"/>
      <w:marTop w:val="0"/>
      <w:marBottom w:val="0"/>
      <w:divBdr>
        <w:top w:val="none" w:sz="0" w:space="0" w:color="auto"/>
        <w:left w:val="none" w:sz="0" w:space="0" w:color="auto"/>
        <w:bottom w:val="none" w:sz="0" w:space="0" w:color="auto"/>
        <w:right w:val="none" w:sz="0" w:space="0" w:color="auto"/>
      </w:divBdr>
    </w:div>
    <w:div w:id="2113277432">
      <w:bodyDiv w:val="1"/>
      <w:marLeft w:val="0"/>
      <w:marRight w:val="0"/>
      <w:marTop w:val="0"/>
      <w:marBottom w:val="0"/>
      <w:divBdr>
        <w:top w:val="none" w:sz="0" w:space="0" w:color="auto"/>
        <w:left w:val="none" w:sz="0" w:space="0" w:color="auto"/>
        <w:bottom w:val="none" w:sz="0" w:space="0" w:color="auto"/>
        <w:right w:val="none" w:sz="0" w:space="0" w:color="auto"/>
      </w:divBdr>
    </w:div>
    <w:div w:id="2136213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oleObject" Target="embeddings/oleObject2.bin"/><Relationship Id="rId39" Type="http://schemas.openxmlformats.org/officeDocument/2006/relationships/chart" Target="charts/chart2.xml"/><Relationship Id="rId21" Type="http://schemas.openxmlformats.org/officeDocument/2006/relationships/image" Target="media/image3.png"/><Relationship Id="rId34" Type="http://schemas.openxmlformats.org/officeDocument/2006/relationships/footer" Target="footer5.xml"/><Relationship Id="rId42" Type="http://schemas.openxmlformats.org/officeDocument/2006/relationships/chart" Target="charts/chart5.xml"/><Relationship Id="rId47" Type="http://schemas.openxmlformats.org/officeDocument/2006/relationships/footer" Target="footer8.xml"/><Relationship Id="rId50" Type="http://schemas.openxmlformats.org/officeDocument/2006/relationships/hyperlink" Target="https://www.fema.gov/media-library/assets/images/146329" TargetMode="External"/><Relationship Id="rId55" Type="http://schemas.openxmlformats.org/officeDocument/2006/relationships/hyperlink" Target="https://doi.org/10.1016/j.wasman.2018.02.043%200956-053X" TargetMode="External"/><Relationship Id="rId63" Type="http://schemas.openxmlformats.org/officeDocument/2006/relationships/hyperlink" Target="https://www.eia.gov/state/analysis.php?sid=FL" TargetMode="External"/><Relationship Id="rId68" Type="http://schemas.openxmlformats.org/officeDocument/2006/relationships/footer" Target="footer9.xml"/><Relationship Id="rId76"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customXml" Target="../customXml/item1.xml"/><Relationship Id="rId16" Type="http://schemas.openxmlformats.org/officeDocument/2006/relationships/header" Target="header5.xml"/><Relationship Id="rId29" Type="http://schemas.openxmlformats.org/officeDocument/2006/relationships/hyperlink" Target="https://www.epa.gov/energy/egrid-2014-summary-tables" TargetMode="Externa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footer" Target="footer4.xml"/><Relationship Id="rId37" Type="http://schemas.openxmlformats.org/officeDocument/2006/relationships/image" Target="media/image8.emf"/><Relationship Id="rId40" Type="http://schemas.openxmlformats.org/officeDocument/2006/relationships/chart" Target="charts/chart3.xml"/><Relationship Id="rId45" Type="http://schemas.openxmlformats.org/officeDocument/2006/relationships/footer" Target="footer7.xml"/><Relationship Id="rId53" Type="http://schemas.openxmlformats.org/officeDocument/2006/relationships/hyperlink" Target="https://www.sciencedirect.com/science/article/pii/S0360544204001148" TargetMode="External"/><Relationship Id="rId58" Type="http://schemas.openxmlformats.org/officeDocument/2006/relationships/hyperlink" Target="https://www.wsj.com/articles/michigan-national-guard-helps-with-flints-water-crisis-1452704899" TargetMode="External"/><Relationship Id="rId66" Type="http://schemas.openxmlformats.org/officeDocument/2006/relationships/hyperlink" Target="https://www.epa.gov/energy/emissions-generation-resource-integrated-database-egrid" TargetMode="External"/><Relationship Id="rId74"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hyperlink" Target="https://plastics.americanchemistry.com/Education-Resources/Publications/LCI-of-Plastic-Fabrication-Processes-Injection-Molding-and-Thermoforming.pdf" TargetMode="External"/><Relationship Id="rId57" Type="http://schemas.openxmlformats.org/officeDocument/2006/relationships/hyperlink" Target="http://www.ru.nl/environmentalscience/research/themes-0/life-cycle/projects/" TargetMode="External"/><Relationship Id="rId61" Type="http://schemas.openxmlformats.org/officeDocument/2006/relationships/hyperlink" Target="https://www.eia.gov/energyexplained/?page=us_energy_home" TargetMode="Externa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10.xml"/><Relationship Id="rId44" Type="http://schemas.openxmlformats.org/officeDocument/2006/relationships/chart" Target="charts/chart7.xml"/><Relationship Id="rId52" Type="http://schemas.openxmlformats.org/officeDocument/2006/relationships/hyperlink" Target="https://www-sciencedirect-com.proxy.lib.utk.edu:2050/science/journal/09596526/137/supp/C" TargetMode="External"/><Relationship Id="rId60" Type="http://schemas.openxmlformats.org/officeDocument/2006/relationships/hyperlink" Target="https://uslci.lcacommons.gov/uslci/search" TargetMode="External"/><Relationship Id="rId65" Type="http://schemas.openxmlformats.org/officeDocument/2006/relationships/hyperlink" Target="https://www.epa.gov/smm/advancing-sustainable-materials-management-facts-and-figures-report" TargetMode="External"/><Relationship Id="rId73" Type="http://schemas.openxmlformats.org/officeDocument/2006/relationships/header" Target="header17.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9.xml"/><Relationship Id="rId30" Type="http://schemas.openxmlformats.org/officeDocument/2006/relationships/image" Target="media/image7.emf"/><Relationship Id="rId35" Type="http://schemas.openxmlformats.org/officeDocument/2006/relationships/header" Target="header12.xml"/><Relationship Id="rId43" Type="http://schemas.openxmlformats.org/officeDocument/2006/relationships/chart" Target="charts/chart6.xml"/><Relationship Id="rId48" Type="http://schemas.openxmlformats.org/officeDocument/2006/relationships/hyperlink" Target="http://plastics.americanchemistry.com/LifeCycle-Inventory-of-9-Plastics-Resins-and-4-Polyurethane-Precursors-Rpt-Only" TargetMode="External"/><Relationship Id="rId56" Type="http://schemas.openxmlformats.org/officeDocument/2006/relationships/hyperlink" Target="https://www.irs.gov/newsroom/standard-mileage-rates-for-2018-up-from-rates-for-2017" TargetMode="External"/><Relationship Id="rId64" Type="http://schemas.openxmlformats.org/officeDocument/2006/relationships/hyperlink" Target="https://www.epa.gov/sites/production/files/2015-03/documents/planning_for_an_emergency_drinking_water_supply.pdf" TargetMode="External"/><Relationship Id="rId69" Type="http://schemas.openxmlformats.org/officeDocument/2006/relationships/header" Target="header15.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onlinelibrary.wiley.com/doi/10.1162/108819802766269539/abstract" TargetMode="External"/><Relationship Id="rId72" Type="http://schemas.openxmlformats.org/officeDocument/2006/relationships/footer" Target="footer1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6.emf"/><Relationship Id="rId33" Type="http://schemas.openxmlformats.org/officeDocument/2006/relationships/header" Target="header11.xml"/><Relationship Id="rId38" Type="http://schemas.openxmlformats.org/officeDocument/2006/relationships/chart" Target="charts/chart1.xml"/><Relationship Id="rId46" Type="http://schemas.openxmlformats.org/officeDocument/2006/relationships/header" Target="header13.xml"/><Relationship Id="rId59" Type="http://schemas.openxmlformats.org/officeDocument/2006/relationships/hyperlink" Target="https://www.wsj.com/articles/SB121004395479169979" TargetMode="External"/><Relationship Id="rId67" Type="http://schemas.openxmlformats.org/officeDocument/2006/relationships/header" Target="header14.xml"/><Relationship Id="rId20" Type="http://schemas.openxmlformats.org/officeDocument/2006/relationships/image" Target="media/image2.png"/><Relationship Id="rId41" Type="http://schemas.openxmlformats.org/officeDocument/2006/relationships/chart" Target="charts/chart4.xml"/><Relationship Id="rId54" Type="http://schemas.openxmlformats.org/officeDocument/2006/relationships/hyperlink" Target="https://www.sciencedirect.com/science/article/pii/S0360544204001148" TargetMode="External"/><Relationship Id="rId62" Type="http://schemas.openxmlformats.org/officeDocument/2006/relationships/hyperlink" Target="https://www.eia.gov/state/analysis.php?sid=TX" TargetMode="External"/><Relationship Id="rId70" Type="http://schemas.openxmlformats.org/officeDocument/2006/relationships/footer" Target="footer10.xml"/><Relationship Id="rId75" Type="http://schemas.openxmlformats.org/officeDocument/2006/relationships/header" Target="header18.xml"/><Relationship Id="rId1" Type="http://schemas.microsoft.com/office/2006/relationships/keyMapCustomizations" Target="customizations.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rg.com\erg\COLLAB\Pegasus_WaterLCA_Cashman.lex\3-32\AWG\Result%20revision\Results_Template_AWGBottledWaterv1_83018_ForReport_m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erg.com\erg\COLLAB\Pegasus_WaterLCA_Cashman.lex\3-32\AWG\Result%20revision\Results_Template_AWGBottledWaterv1_83018_ForReport_ma.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erg.com\erg\COLLAB\Pegasus_WaterLCA_Cashman.lex\3-32\AWG\Result%20revision\Results_Template_AWGBottledWaterv1_83018_ForReport_ma.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erg.com\erg\COLLAB\Pegasus_WaterLCA_Cashman.lex\3-32\AWG\Result%20revision\Results_Template_AWGBottledWaterv1_83018_ForReport_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19551336835433E-2"/>
          <c:y val="4.3137254901960784E-2"/>
          <c:w val="0.88505517128738087"/>
          <c:h val="0.65371499150841439"/>
        </c:manualLayout>
      </c:layout>
      <c:barChart>
        <c:barDir val="col"/>
        <c:grouping val="clustered"/>
        <c:varyColors val="0"/>
        <c:ser>
          <c:idx val="0"/>
          <c:order val="0"/>
          <c:tx>
            <c:strRef>
              <c:f>Graphs2!$B$14</c:f>
              <c:strCache>
                <c:ptCount val="1"/>
                <c:pt idx="0">
                  <c:v>Single-serve bottle</c:v>
                </c:pt>
              </c:strCache>
            </c:strRef>
          </c:tx>
          <c:spPr>
            <a:solidFill>
              <a:srgbClr val="92D050"/>
            </a:solidFill>
            <a:ln>
              <a:noFill/>
            </a:ln>
            <a:effectLst/>
          </c:spPr>
          <c:invertIfNegative val="0"/>
          <c:errBars>
            <c:errBarType val="both"/>
            <c:errValType val="cust"/>
            <c:noEndCap val="0"/>
            <c:plus>
              <c:numRef>
                <c:f>Graphs2!$B$63:$B$71</c:f>
                <c:numCache>
                  <c:formatCode>General</c:formatCode>
                  <c:ptCount val="9"/>
                  <c:pt idx="0">
                    <c:v>1.0932592588851927E-2</c:v>
                  </c:pt>
                  <c:pt idx="1">
                    <c:v>5.9549154892692775E-4</c:v>
                  </c:pt>
                  <c:pt idx="2">
                    <c:v>3.1232382195961104E-2</c:v>
                  </c:pt>
                  <c:pt idx="3">
                    <c:v>-5.529876395669877E-4</c:v>
                  </c:pt>
                  <c:pt idx="4">
                    <c:v>8.9444741294357581E-3</c:v>
                  </c:pt>
                  <c:pt idx="5">
                    <c:v>1.0962260104383285E-2</c:v>
                  </c:pt>
                  <c:pt idx="6">
                    <c:v>1.4163160052327801E-2</c:v>
                  </c:pt>
                  <c:pt idx="7">
                    <c:v>2.807689268964576E-2</c:v>
                  </c:pt>
                  <c:pt idx="8">
                    <c:v>3.5521929812172878E-2</c:v>
                  </c:pt>
                </c:numCache>
              </c:numRef>
            </c:plus>
            <c:minus>
              <c:numRef>
                <c:f>Graphs2!$B$63:$B$71</c:f>
                <c:numCache>
                  <c:formatCode>General</c:formatCode>
                  <c:ptCount val="9"/>
                  <c:pt idx="0">
                    <c:v>1.0932592588851927E-2</c:v>
                  </c:pt>
                  <c:pt idx="1">
                    <c:v>5.9549154892692775E-4</c:v>
                  </c:pt>
                  <c:pt idx="2">
                    <c:v>3.1232382195961104E-2</c:v>
                  </c:pt>
                  <c:pt idx="3">
                    <c:v>-5.529876395669877E-4</c:v>
                  </c:pt>
                  <c:pt idx="4">
                    <c:v>8.9444741294357581E-3</c:v>
                  </c:pt>
                  <c:pt idx="5">
                    <c:v>1.0962260104383285E-2</c:v>
                  </c:pt>
                  <c:pt idx="6">
                    <c:v>1.4163160052327801E-2</c:v>
                  </c:pt>
                  <c:pt idx="7">
                    <c:v>2.807689268964576E-2</c:v>
                  </c:pt>
                  <c:pt idx="8">
                    <c:v>3.5521929812172878E-2</c:v>
                  </c:pt>
                </c:numCache>
              </c:numRef>
            </c:minus>
            <c:spPr>
              <a:noFill/>
              <a:ln w="9525" cap="flat" cmpd="sng" algn="ctr">
                <a:solidFill>
                  <a:schemeClr val="tx1">
                    <a:lumMod val="65000"/>
                    <a:lumOff val="35000"/>
                  </a:schemeClr>
                </a:solidFill>
                <a:round/>
              </a:ln>
              <a:effectLst/>
            </c:spPr>
          </c:errBars>
          <c:cat>
            <c:strRef>
              <c:f>Graphs2!$A$15:$A$23</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Graphs2!$B$15:$B$23</c:f>
              <c:numCache>
                <c:formatCode>0.00%</c:formatCode>
                <c:ptCount val="9"/>
                <c:pt idx="0">
                  <c:v>0.19646537034680944</c:v>
                </c:pt>
                <c:pt idx="1">
                  <c:v>0.3754237593243594</c:v>
                </c:pt>
                <c:pt idx="2">
                  <c:v>0.39216375511574458</c:v>
                </c:pt>
                <c:pt idx="3">
                  <c:v>0.42521022480022463</c:v>
                </c:pt>
                <c:pt idx="4">
                  <c:v>0.28110726701167116</c:v>
                </c:pt>
                <c:pt idx="5">
                  <c:v>0.21578698338845678</c:v>
                </c:pt>
                <c:pt idx="6">
                  <c:v>0.33879096078485971</c:v>
                </c:pt>
                <c:pt idx="7">
                  <c:v>0.45572752542907341</c:v>
                </c:pt>
                <c:pt idx="8">
                  <c:v>0.39685301700878095</c:v>
                </c:pt>
              </c:numCache>
            </c:numRef>
          </c:val>
          <c:extLst>
            <c:ext xmlns:c16="http://schemas.microsoft.com/office/drawing/2014/chart" uri="{C3380CC4-5D6E-409C-BE32-E72D297353CC}">
              <c16:uniqueId val="{00000000-25F9-43E9-9E67-70BA311E1357}"/>
            </c:ext>
          </c:extLst>
        </c:ser>
        <c:ser>
          <c:idx val="1"/>
          <c:order val="1"/>
          <c:tx>
            <c:strRef>
              <c:f>Graphs2!$C$14</c:f>
              <c:strCache>
                <c:ptCount val="1"/>
                <c:pt idx="0">
                  <c:v>Reusable Jug</c:v>
                </c:pt>
              </c:strCache>
            </c:strRef>
          </c:tx>
          <c:spPr>
            <a:solidFill>
              <a:srgbClr val="00B050"/>
            </a:solidFill>
            <a:ln>
              <a:noFill/>
            </a:ln>
            <a:effectLst/>
          </c:spPr>
          <c:invertIfNegative val="0"/>
          <c:errBars>
            <c:errBarType val="both"/>
            <c:errValType val="cust"/>
            <c:noEndCap val="0"/>
            <c:plus>
              <c:numRef>
                <c:f>Graphs2!$C$63:$C$71</c:f>
                <c:numCache>
                  <c:formatCode>General</c:formatCode>
                  <c:ptCount val="9"/>
                  <c:pt idx="0">
                    <c:v>3.6489155268380646E-2</c:v>
                  </c:pt>
                  <c:pt idx="1">
                    <c:v>4.9073860402629163E-2</c:v>
                  </c:pt>
                  <c:pt idx="2">
                    <c:v>0.11558298917528158</c:v>
                  </c:pt>
                  <c:pt idx="3">
                    <c:v>5.9385832427621098E-2</c:v>
                  </c:pt>
                  <c:pt idx="4">
                    <c:v>5.7090195591820631E-2</c:v>
                  </c:pt>
                  <c:pt idx="5">
                    <c:v>2.624747268109829E-2</c:v>
                  </c:pt>
                  <c:pt idx="6">
                    <c:v>0.11688395044775801</c:v>
                  </c:pt>
                  <c:pt idx="7">
                    <c:v>1.2547564489414015E-2</c:v>
                  </c:pt>
                  <c:pt idx="8">
                    <c:v>0.13130248388666121</c:v>
                  </c:pt>
                </c:numCache>
              </c:numRef>
            </c:plus>
            <c:minus>
              <c:numRef>
                <c:f>Graphs2!$C$63:$C$71</c:f>
                <c:numCache>
                  <c:formatCode>General</c:formatCode>
                  <c:ptCount val="9"/>
                  <c:pt idx="0">
                    <c:v>3.6489155268380646E-2</c:v>
                  </c:pt>
                  <c:pt idx="1">
                    <c:v>4.9073860402629163E-2</c:v>
                  </c:pt>
                  <c:pt idx="2">
                    <c:v>0.11558298917528158</c:v>
                  </c:pt>
                  <c:pt idx="3">
                    <c:v>5.9385832427621098E-2</c:v>
                  </c:pt>
                  <c:pt idx="4">
                    <c:v>5.7090195591820631E-2</c:v>
                  </c:pt>
                  <c:pt idx="5">
                    <c:v>2.624747268109829E-2</c:v>
                  </c:pt>
                  <c:pt idx="6">
                    <c:v>0.11688395044775801</c:v>
                  </c:pt>
                  <c:pt idx="7">
                    <c:v>1.2547564489414015E-2</c:v>
                  </c:pt>
                  <c:pt idx="8">
                    <c:v>0.13130248388666121</c:v>
                  </c:pt>
                </c:numCache>
              </c:numRef>
            </c:minus>
            <c:spPr>
              <a:noFill/>
              <a:ln w="9525" cap="flat" cmpd="sng" algn="ctr">
                <a:solidFill>
                  <a:schemeClr val="tx1">
                    <a:lumMod val="65000"/>
                    <a:lumOff val="35000"/>
                  </a:schemeClr>
                </a:solidFill>
                <a:round/>
              </a:ln>
              <a:effectLst/>
            </c:spPr>
          </c:errBars>
          <c:cat>
            <c:strRef>
              <c:f>Graphs2!$A$15:$A$23</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Graphs2!$C$15:$C$23</c:f>
              <c:numCache>
                <c:formatCode>0.00%</c:formatCode>
                <c:ptCount val="9"/>
                <c:pt idx="0">
                  <c:v>8.8944356703308247E-2</c:v>
                </c:pt>
                <c:pt idx="1">
                  <c:v>0.13791401080152385</c:v>
                </c:pt>
                <c:pt idx="2">
                  <c:v>0.2601788039621093</c:v>
                </c:pt>
                <c:pt idx="3">
                  <c:v>0.15831198277369887</c:v>
                </c:pt>
                <c:pt idx="4">
                  <c:v>0.1442936373896295</c:v>
                </c:pt>
                <c:pt idx="5">
                  <c:v>0.11843656710809772</c:v>
                </c:pt>
                <c:pt idx="6">
                  <c:v>0.21115191347291909</c:v>
                </c:pt>
                <c:pt idx="7">
                  <c:v>3.3056256360481651E-2</c:v>
                </c:pt>
                <c:pt idx="8">
                  <c:v>0.49612043590716109</c:v>
                </c:pt>
              </c:numCache>
            </c:numRef>
          </c:val>
          <c:extLst>
            <c:ext xmlns:c16="http://schemas.microsoft.com/office/drawing/2014/chart" uri="{C3380CC4-5D6E-409C-BE32-E72D297353CC}">
              <c16:uniqueId val="{00000001-25F9-43E9-9E67-70BA311E1357}"/>
            </c:ext>
          </c:extLst>
        </c:ser>
        <c:ser>
          <c:idx val="2"/>
          <c:order val="2"/>
          <c:tx>
            <c:strRef>
              <c:f>Graphs2!$D$14</c:f>
              <c:strCache>
                <c:ptCount val="1"/>
                <c:pt idx="0">
                  <c:v>Watergen LS</c:v>
                </c:pt>
              </c:strCache>
            </c:strRef>
          </c:tx>
          <c:spPr>
            <a:solidFill>
              <a:schemeClr val="accent2">
                <a:lumMod val="75000"/>
              </a:schemeClr>
            </a:solidFill>
            <a:ln>
              <a:noFill/>
            </a:ln>
            <a:effectLst/>
          </c:spPr>
          <c:invertIfNegative val="0"/>
          <c:errBars>
            <c:errBarType val="both"/>
            <c:errValType val="cust"/>
            <c:noEndCap val="0"/>
            <c:plus>
              <c:numRef>
                <c:f>Graphs2!$D$63:$D$71</c:f>
                <c:numCache>
                  <c:formatCode>General</c:formatCode>
                  <c:ptCount val="9"/>
                  <c:pt idx="0">
                    <c:v>0.63362708216369656</c:v>
                  </c:pt>
                  <c:pt idx="1">
                    <c:v>0.20894808713700053</c:v>
                  </c:pt>
                  <c:pt idx="2">
                    <c:v>0.47396771590988807</c:v>
                  </c:pt>
                  <c:pt idx="3">
                    <c:v>0.27308255910749929</c:v>
                  </c:pt>
                  <c:pt idx="4">
                    <c:v>0.337721678996946</c:v>
                  </c:pt>
                  <c:pt idx="5">
                    <c:v>0.57570648506551403</c:v>
                  </c:pt>
                  <c:pt idx="6">
                    <c:v>0.53460215053182414</c:v>
                  </c:pt>
                  <c:pt idx="7">
                    <c:v>0.69399399422365626</c:v>
                  </c:pt>
                  <c:pt idx="8">
                    <c:v>2.1608048628570374E-2</c:v>
                  </c:pt>
                </c:numCache>
              </c:numRef>
            </c:plus>
            <c:minus>
              <c:numRef>
                <c:f>Graphs2!$D$63:$D$71</c:f>
                <c:numCache>
                  <c:formatCode>General</c:formatCode>
                  <c:ptCount val="9"/>
                  <c:pt idx="0">
                    <c:v>0.63362708216369656</c:v>
                  </c:pt>
                  <c:pt idx="1">
                    <c:v>0.20894808713700053</c:v>
                  </c:pt>
                  <c:pt idx="2">
                    <c:v>0.47396771590988807</c:v>
                  </c:pt>
                  <c:pt idx="3">
                    <c:v>0.27308255910749929</c:v>
                  </c:pt>
                  <c:pt idx="4">
                    <c:v>0.337721678996946</c:v>
                  </c:pt>
                  <c:pt idx="5">
                    <c:v>0.57570648506551403</c:v>
                  </c:pt>
                  <c:pt idx="6">
                    <c:v>0.53460215053182414</c:v>
                  </c:pt>
                  <c:pt idx="7">
                    <c:v>0.69399399422365626</c:v>
                  </c:pt>
                  <c:pt idx="8">
                    <c:v>2.1608048628570374E-2</c:v>
                  </c:pt>
                </c:numCache>
              </c:numRef>
            </c:minus>
            <c:spPr>
              <a:noFill/>
              <a:ln w="9525" cap="flat" cmpd="sng" algn="ctr">
                <a:solidFill>
                  <a:schemeClr val="tx1">
                    <a:lumMod val="65000"/>
                    <a:lumOff val="35000"/>
                  </a:schemeClr>
                </a:solidFill>
                <a:round/>
              </a:ln>
              <a:effectLst/>
            </c:spPr>
          </c:errBars>
          <c:cat>
            <c:strRef>
              <c:f>Graphs2!$A$15:$A$23</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Graphs2!$D$15:$D$23</c:f>
              <c:numCache>
                <c:formatCode>0.00%</c:formatCode>
                <c:ptCount val="9"/>
                <c:pt idx="0">
                  <c:v>0.83527649652460856</c:v>
                </c:pt>
                <c:pt idx="1">
                  <c:v>0.83519606211836339</c:v>
                </c:pt>
                <c:pt idx="2">
                  <c:v>0.88124878346906599</c:v>
                </c:pt>
                <c:pt idx="3">
                  <c:v>0.83507634211102288</c:v>
                </c:pt>
                <c:pt idx="4">
                  <c:v>0.83676630499225801</c:v>
                </c:pt>
                <c:pt idx="5">
                  <c:v>0.84707328520343583</c:v>
                </c:pt>
                <c:pt idx="6">
                  <c:v>0.83603561879254951</c:v>
                </c:pt>
                <c:pt idx="7">
                  <c:v>0.83333333333333326</c:v>
                </c:pt>
                <c:pt idx="8">
                  <c:v>0.89594746536838932</c:v>
                </c:pt>
              </c:numCache>
            </c:numRef>
          </c:val>
          <c:extLst>
            <c:ext xmlns:c16="http://schemas.microsoft.com/office/drawing/2014/chart" uri="{C3380CC4-5D6E-409C-BE32-E72D297353CC}">
              <c16:uniqueId val="{00000002-25F9-43E9-9E67-70BA311E1357}"/>
            </c:ext>
          </c:extLst>
        </c:ser>
        <c:ser>
          <c:idx val="3"/>
          <c:order val="3"/>
          <c:tx>
            <c:strRef>
              <c:f>Graphs2!$E$14</c:f>
              <c:strCache>
                <c:ptCount val="1"/>
                <c:pt idx="0">
                  <c:v>Watergen MS</c:v>
                </c:pt>
              </c:strCache>
            </c:strRef>
          </c:tx>
          <c:spPr>
            <a:solidFill>
              <a:srgbClr val="7030A0"/>
            </a:solidFill>
            <a:ln>
              <a:noFill/>
            </a:ln>
            <a:effectLst/>
          </c:spPr>
          <c:invertIfNegative val="0"/>
          <c:errBars>
            <c:errBarType val="both"/>
            <c:errValType val="cust"/>
            <c:noEndCap val="0"/>
            <c:plus>
              <c:numRef>
                <c:f>Graphs2!$E$63:$E$71</c:f>
                <c:numCache>
                  <c:formatCode>General</c:formatCode>
                  <c:ptCount val="9"/>
                  <c:pt idx="0">
                    <c:v>0.56898274849965191</c:v>
                  </c:pt>
                  <c:pt idx="1">
                    <c:v>0.16905765950377633</c:v>
                  </c:pt>
                  <c:pt idx="2">
                    <c:v>-0.48805068472620211</c:v>
                  </c:pt>
                  <c:pt idx="3">
                    <c:v>0.23123051106465747</c:v>
                  </c:pt>
                  <c:pt idx="4">
                    <c:v>0.27347209723349936</c:v>
                  </c:pt>
                  <c:pt idx="5">
                    <c:v>0.33431146419789004</c:v>
                  </c:pt>
                  <c:pt idx="6">
                    <c:v>0.46293876139180751</c:v>
                  </c:pt>
                  <c:pt idx="7">
                    <c:v>0.65433719455373307</c:v>
                  </c:pt>
                  <c:pt idx="8">
                    <c:v>3.4349279125391813E-3</c:v>
                  </c:pt>
                </c:numCache>
              </c:numRef>
            </c:plus>
            <c:minus>
              <c:numRef>
                <c:f>Graphs2!$E$63:$E$71</c:f>
                <c:numCache>
                  <c:formatCode>General</c:formatCode>
                  <c:ptCount val="9"/>
                  <c:pt idx="0">
                    <c:v>0.56898274849965191</c:v>
                  </c:pt>
                  <c:pt idx="1">
                    <c:v>0.16905765950377633</c:v>
                  </c:pt>
                  <c:pt idx="2">
                    <c:v>-0.48805068472620211</c:v>
                  </c:pt>
                  <c:pt idx="3">
                    <c:v>0.23123051106465747</c:v>
                  </c:pt>
                  <c:pt idx="4">
                    <c:v>0.27347209723349936</c:v>
                  </c:pt>
                  <c:pt idx="5">
                    <c:v>0.33431146419789004</c:v>
                  </c:pt>
                  <c:pt idx="6">
                    <c:v>0.46293876139180751</c:v>
                  </c:pt>
                  <c:pt idx="7">
                    <c:v>0.65433719455373307</c:v>
                  </c:pt>
                  <c:pt idx="8">
                    <c:v>3.4349279125391813E-3</c:v>
                  </c:pt>
                </c:numCache>
              </c:numRef>
            </c:minus>
            <c:spPr>
              <a:noFill/>
              <a:ln w="9525" cap="flat" cmpd="sng" algn="ctr">
                <a:solidFill>
                  <a:schemeClr val="tx1">
                    <a:lumMod val="65000"/>
                    <a:lumOff val="35000"/>
                  </a:schemeClr>
                </a:solidFill>
                <a:round/>
              </a:ln>
              <a:effectLst/>
            </c:spPr>
          </c:errBars>
          <c:cat>
            <c:strRef>
              <c:f>Graphs2!$A$15:$A$23</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Graphs2!$E$15:$E$23</c:f>
              <c:numCache>
                <c:formatCode>0.00%</c:formatCode>
                <c:ptCount val="9"/>
                <c:pt idx="0">
                  <c:v>0.79242499944318212</c:v>
                </c:pt>
                <c:pt idx="1">
                  <c:v>0.79221607204292166</c:v>
                </c:pt>
                <c:pt idx="2">
                  <c:v>0.99521007028615771</c:v>
                </c:pt>
                <c:pt idx="3">
                  <c:v>0.79177323840306157</c:v>
                </c:pt>
                <c:pt idx="4">
                  <c:v>0.79587494817176752</c:v>
                </c:pt>
                <c:pt idx="5">
                  <c:v>0.83543442615433816</c:v>
                </c:pt>
                <c:pt idx="6">
                  <c:v>0.79540853382968468</c:v>
                </c:pt>
                <c:pt idx="7">
                  <c:v>0.7857142857142857</c:v>
                </c:pt>
                <c:pt idx="8">
                  <c:v>0.86914764794510957</c:v>
                </c:pt>
              </c:numCache>
            </c:numRef>
          </c:val>
          <c:extLst>
            <c:ext xmlns:c16="http://schemas.microsoft.com/office/drawing/2014/chart" uri="{C3380CC4-5D6E-409C-BE32-E72D297353CC}">
              <c16:uniqueId val="{00000003-25F9-43E9-9E67-70BA311E1357}"/>
            </c:ext>
          </c:extLst>
        </c:ser>
        <c:ser>
          <c:idx val="4"/>
          <c:order val="4"/>
          <c:tx>
            <c:strRef>
              <c:f>Graphs2!$F$14</c:f>
              <c:strCache>
                <c:ptCount val="1"/>
                <c:pt idx="0">
                  <c:v>Watergen H/O</c:v>
                </c:pt>
              </c:strCache>
            </c:strRef>
          </c:tx>
          <c:spPr>
            <a:solidFill>
              <a:srgbClr val="B199B0"/>
            </a:solidFill>
            <a:ln>
              <a:noFill/>
            </a:ln>
            <a:effectLst/>
          </c:spPr>
          <c:invertIfNegative val="0"/>
          <c:errBars>
            <c:errBarType val="both"/>
            <c:errValType val="cust"/>
            <c:noEndCap val="0"/>
            <c:plus>
              <c:numRef>
                <c:f>Graphs2!$F$63:$F$71</c:f>
                <c:numCache>
                  <c:formatCode>General</c:formatCode>
                  <c:ptCount val="9"/>
                  <c:pt idx="0">
                    <c:v>0.54269104150877934</c:v>
                  </c:pt>
                  <c:pt idx="1">
                    <c:v>0.17866330522216839</c:v>
                  </c:pt>
                  <c:pt idx="2">
                    <c:v>0.39310814347235096</c:v>
                  </c:pt>
                  <c:pt idx="3">
                    <c:v>0.23365471827203144</c:v>
                  </c:pt>
                  <c:pt idx="4">
                    <c:v>0.28874127988885273</c:v>
                  </c:pt>
                  <c:pt idx="5">
                    <c:v>0.49073632930448097</c:v>
                  </c:pt>
                  <c:pt idx="6">
                    <c:v>0.4576328825568251</c:v>
                  </c:pt>
                  <c:pt idx="7">
                    <c:v>0.59485199504884834</c:v>
                  </c:pt>
                  <c:pt idx="8">
                    <c:v>2.6890539996319407E-2</c:v>
                  </c:pt>
                </c:numCache>
              </c:numRef>
            </c:plus>
            <c:minus>
              <c:numRef>
                <c:f>Graphs2!$F$63:$F$71</c:f>
                <c:numCache>
                  <c:formatCode>General</c:formatCode>
                  <c:ptCount val="9"/>
                  <c:pt idx="0">
                    <c:v>0.54269104150877934</c:v>
                  </c:pt>
                  <c:pt idx="1">
                    <c:v>0.17866330522216839</c:v>
                  </c:pt>
                  <c:pt idx="2">
                    <c:v>0.39310814347235096</c:v>
                  </c:pt>
                  <c:pt idx="3">
                    <c:v>0.23365471827203144</c:v>
                  </c:pt>
                  <c:pt idx="4">
                    <c:v>0.28874127988885273</c:v>
                  </c:pt>
                  <c:pt idx="5">
                    <c:v>0.49073632930448097</c:v>
                  </c:pt>
                  <c:pt idx="6">
                    <c:v>0.4576328825568251</c:v>
                  </c:pt>
                  <c:pt idx="7">
                    <c:v>0.59485199504884834</c:v>
                  </c:pt>
                  <c:pt idx="8">
                    <c:v>2.6890539996319407E-2</c:v>
                  </c:pt>
                </c:numCache>
              </c:numRef>
            </c:minus>
            <c:spPr>
              <a:noFill/>
              <a:ln w="9525" cap="flat" cmpd="sng" algn="ctr">
                <a:solidFill>
                  <a:schemeClr val="tx1">
                    <a:lumMod val="65000"/>
                    <a:lumOff val="35000"/>
                  </a:schemeClr>
                </a:solidFill>
                <a:round/>
              </a:ln>
              <a:effectLst/>
            </c:spPr>
          </c:errBars>
          <c:cat>
            <c:strRef>
              <c:f>Graphs2!$A$15:$A$23</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Graphs2!$F$15:$F$23</c:f>
              <c:numCache>
                <c:formatCode>0.00%</c:formatCode>
                <c:ptCount val="9"/>
                <c:pt idx="0">
                  <c:v>0.72196179059724719</c:v>
                </c:pt>
                <c:pt idx="1">
                  <c:v>0.72220951445517745</c:v>
                </c:pt>
                <c:pt idx="2">
                  <c:v>0.94380406628670432</c:v>
                </c:pt>
                <c:pt idx="3">
                  <c:v>0.72184139418622772</c:v>
                </c:pt>
                <c:pt idx="4">
                  <c:v>0.72776955568631396</c:v>
                </c:pt>
                <c:pt idx="5">
                  <c:v>0.76442185129636719</c:v>
                </c:pt>
                <c:pt idx="6">
                  <c:v>0.72520640029877903</c:v>
                </c:pt>
                <c:pt idx="7">
                  <c:v>0.7142857142857143</c:v>
                </c:pt>
                <c:pt idx="8">
                  <c:v>0.82579347534973935</c:v>
                </c:pt>
              </c:numCache>
            </c:numRef>
          </c:val>
          <c:extLst>
            <c:ext xmlns:c16="http://schemas.microsoft.com/office/drawing/2014/chart" uri="{C3380CC4-5D6E-409C-BE32-E72D297353CC}">
              <c16:uniqueId val="{00000004-25F9-43E9-9E67-70BA311E1357}"/>
            </c:ext>
          </c:extLst>
        </c:ser>
        <c:ser>
          <c:idx val="5"/>
          <c:order val="5"/>
          <c:tx>
            <c:strRef>
              <c:f>Graphs2!$G$14</c:f>
              <c:strCache>
                <c:ptCount val="1"/>
                <c:pt idx="0">
                  <c:v>Ecoloblue LS</c:v>
                </c:pt>
              </c:strCache>
            </c:strRef>
          </c:tx>
          <c:spPr>
            <a:solidFill>
              <a:schemeClr val="accent1">
                <a:lumMod val="50000"/>
              </a:schemeClr>
            </a:solidFill>
            <a:ln>
              <a:noFill/>
            </a:ln>
            <a:effectLst/>
          </c:spPr>
          <c:invertIfNegative val="0"/>
          <c:errBars>
            <c:errBarType val="both"/>
            <c:errValType val="cust"/>
            <c:noEndCap val="0"/>
            <c:plus>
              <c:numRef>
                <c:f>Graphs2!$G$63:$G$71</c:f>
                <c:numCache>
                  <c:formatCode>General</c:formatCode>
                  <c:ptCount val="9"/>
                  <c:pt idx="0">
                    <c:v>0.74612924775034739</c:v>
                  </c:pt>
                  <c:pt idx="1">
                    <c:v>0.23617361475075108</c:v>
                  </c:pt>
                  <c:pt idx="2">
                    <c:v>0.11440569303293821</c:v>
                  </c:pt>
                  <c:pt idx="3">
                    <c:v>0.31373259483725435</c:v>
                  </c:pt>
                  <c:pt idx="4">
                    <c:v>0.3799947053805523</c:v>
                  </c:pt>
                  <c:pt idx="5">
                    <c:v>0.58979606155739761</c:v>
                  </c:pt>
                  <c:pt idx="6">
                    <c:v>0.62090982034651776</c:v>
                  </c:pt>
                  <c:pt idx="7">
                    <c:v>0.8327927930683876</c:v>
                  </c:pt>
                  <c:pt idx="8">
                    <c:v>3.5606144898587986E-3</c:v>
                  </c:pt>
                </c:numCache>
              </c:numRef>
            </c:plus>
            <c:minus>
              <c:numRef>
                <c:f>Graphs2!$G$63:$G$71</c:f>
                <c:numCache>
                  <c:formatCode>General</c:formatCode>
                  <c:ptCount val="9"/>
                  <c:pt idx="0">
                    <c:v>0.74612924775034739</c:v>
                  </c:pt>
                  <c:pt idx="1">
                    <c:v>0.23617361475075108</c:v>
                  </c:pt>
                  <c:pt idx="2">
                    <c:v>0.11440569303293821</c:v>
                  </c:pt>
                  <c:pt idx="3">
                    <c:v>0.31373259483725435</c:v>
                  </c:pt>
                  <c:pt idx="4">
                    <c:v>0.3799947053805523</c:v>
                  </c:pt>
                  <c:pt idx="5">
                    <c:v>0.58979606155739761</c:v>
                  </c:pt>
                  <c:pt idx="6">
                    <c:v>0.62090982034651776</c:v>
                  </c:pt>
                  <c:pt idx="7">
                    <c:v>0.8327927930683876</c:v>
                  </c:pt>
                  <c:pt idx="8">
                    <c:v>3.5606144898587986E-3</c:v>
                  </c:pt>
                </c:numCache>
              </c:numRef>
            </c:minus>
            <c:spPr>
              <a:noFill/>
              <a:ln w="9525" cap="flat" cmpd="sng" algn="ctr">
                <a:solidFill>
                  <a:schemeClr val="tx1">
                    <a:lumMod val="65000"/>
                    <a:lumOff val="35000"/>
                  </a:schemeClr>
                </a:solidFill>
                <a:round/>
              </a:ln>
              <a:effectLst/>
            </c:spPr>
          </c:errBars>
          <c:cat>
            <c:strRef>
              <c:f>Graphs2!$A$15:$A$23</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Graphs2!$G$15:$G$23</c:f>
              <c:numCache>
                <c:formatCode>0.00%</c:formatCode>
                <c:ptCount val="9"/>
                <c:pt idx="0">
                  <c:v>1</c:v>
                </c:pt>
                <c:pt idx="1">
                  <c:v>1</c:v>
                </c:pt>
                <c:pt idx="2">
                  <c:v>0.98312199210027917</c:v>
                </c:pt>
                <c:pt idx="3">
                  <c:v>1</c:v>
                </c:pt>
                <c:pt idx="4">
                  <c:v>1</c:v>
                </c:pt>
                <c:pt idx="5">
                  <c:v>1</c:v>
                </c:pt>
                <c:pt idx="6">
                  <c:v>1</c:v>
                </c:pt>
                <c:pt idx="7">
                  <c:v>1</c:v>
                </c:pt>
                <c:pt idx="8">
                  <c:v>1</c:v>
                </c:pt>
              </c:numCache>
            </c:numRef>
          </c:val>
          <c:extLst>
            <c:ext xmlns:c16="http://schemas.microsoft.com/office/drawing/2014/chart" uri="{C3380CC4-5D6E-409C-BE32-E72D297353CC}">
              <c16:uniqueId val="{00000005-25F9-43E9-9E67-70BA311E1357}"/>
            </c:ext>
          </c:extLst>
        </c:ser>
        <c:ser>
          <c:idx val="6"/>
          <c:order val="6"/>
          <c:tx>
            <c:strRef>
              <c:f>Graphs2!$H$14</c:f>
              <c:strCache>
                <c:ptCount val="1"/>
                <c:pt idx="0">
                  <c:v>Ecoloblue MS</c:v>
                </c:pt>
              </c:strCache>
            </c:strRef>
          </c:tx>
          <c:spPr>
            <a:solidFill>
              <a:srgbClr val="0070C0"/>
            </a:solidFill>
            <a:ln>
              <a:noFill/>
            </a:ln>
            <a:effectLst/>
          </c:spPr>
          <c:invertIfNegative val="0"/>
          <c:errBars>
            <c:errBarType val="both"/>
            <c:errValType val="cust"/>
            <c:noEndCap val="0"/>
            <c:plus>
              <c:numRef>
                <c:f>Graphs2!$H$63:$H$71</c:f>
                <c:numCache>
                  <c:formatCode>General</c:formatCode>
                  <c:ptCount val="9"/>
                  <c:pt idx="0">
                    <c:v>0.72780565435322531</c:v>
                  </c:pt>
                  <c:pt idx="1">
                    <c:v>0.23028641581358458</c:v>
                  </c:pt>
                  <c:pt idx="2">
                    <c:v>7.1905994844386076E-2</c:v>
                  </c:pt>
                  <c:pt idx="3">
                    <c:v>0.30636558344863513</c:v>
                  </c:pt>
                  <c:pt idx="4">
                    <c:v>0.37314927354124072</c:v>
                  </c:pt>
                  <c:pt idx="5">
                    <c:v>0.56883360867035326</c:v>
                  </c:pt>
                  <c:pt idx="6">
                    <c:v>0.60533351220505827</c:v>
                  </c:pt>
                  <c:pt idx="7">
                    <c:v>0.81296439323342606</c:v>
                  </c:pt>
                  <c:pt idx="8">
                    <c:v>4.4747208614396008E-3</c:v>
                  </c:pt>
                </c:numCache>
              </c:numRef>
            </c:plus>
            <c:minus>
              <c:numRef>
                <c:f>Graphs2!$H$63:$H$71</c:f>
                <c:numCache>
                  <c:formatCode>General</c:formatCode>
                  <c:ptCount val="9"/>
                  <c:pt idx="0">
                    <c:v>0.72780565435322531</c:v>
                  </c:pt>
                  <c:pt idx="1">
                    <c:v>0.23028641581358458</c:v>
                  </c:pt>
                  <c:pt idx="2">
                    <c:v>7.1905994844386076E-2</c:v>
                  </c:pt>
                  <c:pt idx="3">
                    <c:v>0.30636558344863513</c:v>
                  </c:pt>
                  <c:pt idx="4">
                    <c:v>0.37314927354124072</c:v>
                  </c:pt>
                  <c:pt idx="5">
                    <c:v>0.56883360867035326</c:v>
                  </c:pt>
                  <c:pt idx="6">
                    <c:v>0.60533351220505827</c:v>
                  </c:pt>
                  <c:pt idx="7">
                    <c:v>0.81296439323342606</c:v>
                  </c:pt>
                  <c:pt idx="8">
                    <c:v>4.4747208614396008E-3</c:v>
                  </c:pt>
                </c:numCache>
              </c:numRef>
            </c:minus>
            <c:spPr>
              <a:noFill/>
              <a:ln w="9525" cap="flat" cmpd="sng" algn="ctr">
                <a:solidFill>
                  <a:schemeClr val="tx1">
                    <a:lumMod val="65000"/>
                    <a:lumOff val="35000"/>
                  </a:schemeClr>
                </a:solidFill>
                <a:round/>
              </a:ln>
              <a:effectLst/>
            </c:spPr>
          </c:errBars>
          <c:cat>
            <c:strRef>
              <c:f>Graphs2!$A$15:$A$23</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Graphs2!$H$15:$H$23</c:f>
              <c:numCache>
                <c:formatCode>0.00%</c:formatCode>
                <c:ptCount val="9"/>
                <c:pt idx="0">
                  <c:v>0.97726544870721421</c:v>
                </c:pt>
                <c:pt idx="1">
                  <c:v>0.9772073754930688</c:v>
                </c:pt>
                <c:pt idx="2">
                  <c:v>1</c:v>
                </c:pt>
                <c:pt idx="3">
                  <c:v>0.97706901248479294</c:v>
                </c:pt>
                <c:pt idx="4">
                  <c:v>0.97723422022844197</c:v>
                </c:pt>
                <c:pt idx="5">
                  <c:v>0.98462775987425666</c:v>
                </c:pt>
                <c:pt idx="6">
                  <c:v>0.97774350527425835</c:v>
                </c:pt>
                <c:pt idx="7">
                  <c:v>0.97619047619047605</c:v>
                </c:pt>
                <c:pt idx="8">
                  <c:v>0.98570633145789899</c:v>
                </c:pt>
              </c:numCache>
            </c:numRef>
          </c:val>
          <c:extLst>
            <c:ext xmlns:c16="http://schemas.microsoft.com/office/drawing/2014/chart" uri="{C3380CC4-5D6E-409C-BE32-E72D297353CC}">
              <c16:uniqueId val="{00000006-25F9-43E9-9E67-70BA311E1357}"/>
            </c:ext>
          </c:extLst>
        </c:ser>
        <c:ser>
          <c:idx val="7"/>
          <c:order val="7"/>
          <c:tx>
            <c:strRef>
              <c:f>Graphs2!$I$14</c:f>
              <c:strCache>
                <c:ptCount val="1"/>
                <c:pt idx="0">
                  <c:v>Ecoloblue H/O</c:v>
                </c:pt>
              </c:strCache>
            </c:strRef>
          </c:tx>
          <c:spPr>
            <a:solidFill>
              <a:schemeClr val="bg2">
                <a:lumMod val="75000"/>
              </a:schemeClr>
            </a:solidFill>
            <a:ln>
              <a:noFill/>
            </a:ln>
            <a:effectLst/>
          </c:spPr>
          <c:invertIfNegative val="0"/>
          <c:errBars>
            <c:errBarType val="both"/>
            <c:errValType val="cust"/>
            <c:noEndCap val="0"/>
            <c:plus>
              <c:numRef>
                <c:f>Graphs2!$I$63:$I$71</c:f>
                <c:numCache>
                  <c:formatCode>General</c:formatCode>
                  <c:ptCount val="9"/>
                  <c:pt idx="0">
                    <c:v>0.54323488100388218</c:v>
                  </c:pt>
                  <c:pt idx="1">
                    <c:v>0.17922367854989074</c:v>
                  </c:pt>
                  <c:pt idx="2">
                    <c:v>0.41027889313179855</c:v>
                  </c:pt>
                  <c:pt idx="3">
                    <c:v>0.23418969560043412</c:v>
                  </c:pt>
                  <c:pt idx="4">
                    <c:v>0.28969895111433536</c:v>
                  </c:pt>
                  <c:pt idx="5">
                    <c:v>0.49435567347111903</c:v>
                  </c:pt>
                  <c:pt idx="6">
                    <c:v>0.4584096762408596</c:v>
                  </c:pt>
                  <c:pt idx="7">
                    <c:v>0.59485199504884823</c:v>
                  </c:pt>
                  <c:pt idx="8">
                    <c:v>2.7346997365273507E-2</c:v>
                  </c:pt>
                </c:numCache>
              </c:numRef>
            </c:plus>
            <c:minus>
              <c:numRef>
                <c:f>Graphs2!$I$63:$I$71</c:f>
                <c:numCache>
                  <c:formatCode>General</c:formatCode>
                  <c:ptCount val="9"/>
                  <c:pt idx="0">
                    <c:v>0.54323488100388218</c:v>
                  </c:pt>
                  <c:pt idx="1">
                    <c:v>0.17922367854989074</c:v>
                  </c:pt>
                  <c:pt idx="2">
                    <c:v>0.41027889313179855</c:v>
                  </c:pt>
                  <c:pt idx="3">
                    <c:v>0.23418969560043412</c:v>
                  </c:pt>
                  <c:pt idx="4">
                    <c:v>0.28969895111433536</c:v>
                  </c:pt>
                  <c:pt idx="5">
                    <c:v>0.49435567347111903</c:v>
                  </c:pt>
                  <c:pt idx="6">
                    <c:v>0.4584096762408596</c:v>
                  </c:pt>
                  <c:pt idx="7">
                    <c:v>0.59485199504884823</c:v>
                  </c:pt>
                  <c:pt idx="8">
                    <c:v>2.7346997365273507E-2</c:v>
                  </c:pt>
                </c:numCache>
              </c:numRef>
            </c:minus>
            <c:spPr>
              <a:noFill/>
              <a:ln w="9525" cap="flat" cmpd="sng" algn="ctr">
                <a:solidFill>
                  <a:schemeClr val="tx1">
                    <a:lumMod val="65000"/>
                    <a:lumOff val="35000"/>
                  </a:schemeClr>
                </a:solidFill>
                <a:round/>
              </a:ln>
              <a:effectLst/>
            </c:spPr>
          </c:errBars>
          <c:cat>
            <c:strRef>
              <c:f>Graphs2!$A$15:$A$23</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Graphs2!$I$15:$I$23</c:f>
              <c:numCache>
                <c:formatCode>0.00%</c:formatCode>
                <c:ptCount val="9"/>
                <c:pt idx="0">
                  <c:v>0.71741157506643916</c:v>
                </c:pt>
                <c:pt idx="1">
                  <c:v>0.71917849647529419</c:v>
                </c:pt>
                <c:pt idx="2">
                  <c:v>0.80641665598791834</c:v>
                </c:pt>
                <c:pt idx="3">
                  <c:v>0.71903551081251615</c:v>
                </c:pt>
                <c:pt idx="4">
                  <c:v>0.72186864808170381</c:v>
                </c:pt>
                <c:pt idx="5">
                  <c:v>0.72958888639245789</c:v>
                </c:pt>
                <c:pt idx="6">
                  <c:v>0.71921200971377008</c:v>
                </c:pt>
                <c:pt idx="7">
                  <c:v>0.7142857142857143</c:v>
                </c:pt>
                <c:pt idx="8">
                  <c:v>0.82185653054250996</c:v>
                </c:pt>
              </c:numCache>
            </c:numRef>
          </c:val>
          <c:extLst>
            <c:ext xmlns:c16="http://schemas.microsoft.com/office/drawing/2014/chart" uri="{C3380CC4-5D6E-409C-BE32-E72D297353CC}">
              <c16:uniqueId val="{00000007-25F9-43E9-9E67-70BA311E1357}"/>
            </c:ext>
          </c:extLst>
        </c:ser>
        <c:dLbls>
          <c:showLegendKey val="0"/>
          <c:showVal val="0"/>
          <c:showCatName val="0"/>
          <c:showSerName val="0"/>
          <c:showPercent val="0"/>
          <c:showBubbleSize val="0"/>
        </c:dLbls>
        <c:gapWidth val="219"/>
        <c:overlap val="-27"/>
        <c:axId val="793012408"/>
        <c:axId val="793019624"/>
      </c:barChart>
      <c:catAx>
        <c:axId val="79301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793019624"/>
        <c:crosses val="autoZero"/>
        <c:auto val="1"/>
        <c:lblAlgn val="ctr"/>
        <c:lblOffset val="100"/>
        <c:noMultiLvlLbl val="0"/>
      </c:catAx>
      <c:valAx>
        <c:axId val="7930196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800" b="0" i="0" u="none" strike="noStrike" kern="1200" baseline="0">
                    <a:solidFill>
                      <a:schemeClr val="tx1"/>
                    </a:solidFill>
                    <a:latin typeface="+mj-lt"/>
                    <a:ea typeface="+mn-ea"/>
                    <a:cs typeface="+mn-cs"/>
                  </a:defRPr>
                </a:pPr>
                <a:r>
                  <a:rPr lang="en-US"/>
                  <a:t>Percent of Maximum Impact for Baseline Scenario</a:t>
                </a:r>
              </a:p>
            </c:rich>
          </c:tx>
          <c:layout>
            <c:manualLayout>
              <c:xMode val="edge"/>
              <c:yMode val="edge"/>
              <c:x val="1.1577424023154847E-2"/>
              <c:y val="2.7450980392156862E-2"/>
            </c:manualLayout>
          </c:layout>
          <c:overlay val="0"/>
          <c:spPr>
            <a:noFill/>
            <a:ln>
              <a:noFill/>
            </a:ln>
            <a:effectLst/>
          </c:spPr>
          <c:txPr>
            <a:bodyPr rot="-5400000" spcFirstLastPara="1" vertOverflow="ellipsis" vert="horz" wrap="square" anchor="ctr" anchorCtr="1"/>
            <a:lstStyle/>
            <a:p>
              <a:pPr algn="ctr" rtl="0">
                <a:defRPr sz="800" b="0" i="0" u="none" strike="noStrike" kern="1200" baseline="0">
                  <a:solidFill>
                    <a:schemeClr val="tx1"/>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793012408"/>
        <c:crosses val="autoZero"/>
        <c:crossBetween val="between"/>
        <c:majorUnit val="0.2"/>
      </c:valAx>
      <c:spPr>
        <a:noFill/>
        <a:ln>
          <a:noFill/>
        </a:ln>
        <a:effectLst/>
      </c:spPr>
    </c:plotArea>
    <c:legend>
      <c:legendPos val="b"/>
      <c:layout>
        <c:manualLayout>
          <c:xMode val="edge"/>
          <c:yMode val="edge"/>
          <c:x val="0.15992479232425905"/>
          <c:y val="0.87352848540991201"/>
          <c:w val="0.6936572581104643"/>
          <c:h val="0.126471514590088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11454818147728E-2"/>
          <c:y val="3.8394415357766144E-2"/>
          <c:w val="0.88356314835645544"/>
          <c:h val="0.5634648629447635"/>
        </c:manualLayout>
      </c:layout>
      <c:barChart>
        <c:barDir val="col"/>
        <c:grouping val="clustered"/>
        <c:varyColors val="0"/>
        <c:ser>
          <c:idx val="0"/>
          <c:order val="0"/>
          <c:tx>
            <c:strRef>
              <c:f>'Graphs 1'!$A$4</c:f>
              <c:strCache>
                <c:ptCount val="1"/>
                <c:pt idx="0">
                  <c:v>Acidification Potential</c:v>
                </c:pt>
              </c:strCache>
            </c:strRef>
          </c:tx>
          <c:spPr>
            <a:solidFill>
              <a:srgbClr val="92D050"/>
            </a:solidFill>
            <a:ln>
              <a:noFill/>
            </a:ln>
            <a:effectLst/>
          </c:spPr>
          <c:invertIfNegative val="0"/>
          <c:dPt>
            <c:idx val="3"/>
            <c:invertIfNegative val="0"/>
            <c:bubble3D val="0"/>
            <c:spPr>
              <a:solidFill>
                <a:srgbClr val="92D050"/>
              </a:solidFill>
              <a:ln>
                <a:noFill/>
              </a:ln>
              <a:effectLst/>
            </c:spPr>
            <c:extLst>
              <c:ext xmlns:c16="http://schemas.microsoft.com/office/drawing/2014/chart" uri="{C3380CC4-5D6E-409C-BE32-E72D297353CC}">
                <c16:uniqueId val="{00000001-BEEE-4086-885A-D9EFE38766F0}"/>
              </c:ext>
            </c:extLst>
          </c:dPt>
          <c:cat>
            <c:multiLvlStrRef>
              <c:f>'Graphs 1'!$B$2:$J$3</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1'!$B$4:$J$4</c:f>
              <c:numCache>
                <c:formatCode>0%</c:formatCode>
                <c:ptCount val="9"/>
                <c:pt idx="0">
                  <c:v>3.5109153516422295E-3</c:v>
                </c:pt>
                <c:pt idx="1">
                  <c:v>7.5472209683500194E-3</c:v>
                </c:pt>
                <c:pt idx="2">
                  <c:v>8.980136648123492E-3</c:v>
                </c:pt>
                <c:pt idx="3">
                  <c:v>0.66314817489112909</c:v>
                </c:pt>
                <c:pt idx="4">
                  <c:v>0.65906548313039282</c:v>
                </c:pt>
                <c:pt idx="5">
                  <c:v>0.65762730471395592</c:v>
                </c:pt>
                <c:pt idx="6">
                  <c:v>0.33333333333333337</c:v>
                </c:pt>
                <c:pt idx="7">
                  <c:v>0.33333333333333337</c:v>
                </c:pt>
                <c:pt idx="8">
                  <c:v>0.33333333333333331</c:v>
                </c:pt>
              </c:numCache>
            </c:numRef>
          </c:val>
          <c:extLst>
            <c:ext xmlns:c16="http://schemas.microsoft.com/office/drawing/2014/chart" uri="{C3380CC4-5D6E-409C-BE32-E72D297353CC}">
              <c16:uniqueId val="{00000002-BEEE-4086-885A-D9EFE38766F0}"/>
            </c:ext>
          </c:extLst>
        </c:ser>
        <c:ser>
          <c:idx val="1"/>
          <c:order val="1"/>
          <c:tx>
            <c:strRef>
              <c:f>'Graphs 1'!$A$5</c:f>
              <c:strCache>
                <c:ptCount val="1"/>
                <c:pt idx="0">
                  <c:v>Cumulative Energy Demand</c:v>
                </c:pt>
              </c:strCache>
            </c:strRef>
          </c:tx>
          <c:spPr>
            <a:solidFill>
              <a:srgbClr val="00B050"/>
            </a:solidFill>
            <a:ln>
              <a:noFill/>
            </a:ln>
            <a:effectLst/>
          </c:spPr>
          <c:invertIfNegative val="0"/>
          <c:cat>
            <c:multiLvlStrRef>
              <c:f>'Graphs 1'!$B$2:$J$3</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1'!$B$5:$J$5</c:f>
              <c:numCache>
                <c:formatCode>0%</c:formatCode>
                <c:ptCount val="9"/>
                <c:pt idx="0">
                  <c:v>3.5010745472814804E-3</c:v>
                </c:pt>
                <c:pt idx="1">
                  <c:v>7.4735113791275709E-3</c:v>
                </c:pt>
                <c:pt idx="2">
                  <c:v>9.3109413128176204E-3</c:v>
                </c:pt>
                <c:pt idx="3">
                  <c:v>0.66316558443771423</c:v>
                </c:pt>
                <c:pt idx="4">
                  <c:v>0.65919311801873415</c:v>
                </c:pt>
                <c:pt idx="5">
                  <c:v>0.65735568446818116</c:v>
                </c:pt>
                <c:pt idx="6">
                  <c:v>0.33333333333333331</c:v>
                </c:pt>
                <c:pt idx="7">
                  <c:v>0.33333333333333331</c:v>
                </c:pt>
                <c:pt idx="8">
                  <c:v>0.33333333333333331</c:v>
                </c:pt>
              </c:numCache>
            </c:numRef>
          </c:val>
          <c:extLst>
            <c:ext xmlns:c16="http://schemas.microsoft.com/office/drawing/2014/chart" uri="{C3380CC4-5D6E-409C-BE32-E72D297353CC}">
              <c16:uniqueId val="{00000003-BEEE-4086-885A-D9EFE38766F0}"/>
            </c:ext>
          </c:extLst>
        </c:ser>
        <c:ser>
          <c:idx val="2"/>
          <c:order val="2"/>
          <c:tx>
            <c:strRef>
              <c:f>'Graphs 1'!$A$6</c:f>
              <c:strCache>
                <c:ptCount val="1"/>
                <c:pt idx="0">
                  <c:v>Eutrophication Potential</c:v>
                </c:pt>
              </c:strCache>
            </c:strRef>
          </c:tx>
          <c:spPr>
            <a:solidFill>
              <a:srgbClr val="C00000"/>
            </a:solidFill>
            <a:ln>
              <a:noFill/>
            </a:ln>
            <a:effectLst/>
          </c:spPr>
          <c:invertIfNegative val="0"/>
          <c:cat>
            <c:multiLvlStrRef>
              <c:f>'Graphs 1'!$B$2:$J$3</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1'!$B$6:$J$6</c:f>
              <c:numCache>
                <c:formatCode>0%</c:formatCode>
                <c:ptCount val="9"/>
                <c:pt idx="0">
                  <c:v>0.10643832331717365</c:v>
                </c:pt>
                <c:pt idx="1">
                  <c:v>0.19880902325544469</c:v>
                </c:pt>
                <c:pt idx="2">
                  <c:v>0.21816146478859566</c:v>
                </c:pt>
                <c:pt idx="3">
                  <c:v>0.560204273029972</c:v>
                </c:pt>
                <c:pt idx="4">
                  <c:v>0.4677093815027763</c:v>
                </c:pt>
                <c:pt idx="5">
                  <c:v>0.44834911191820054</c:v>
                </c:pt>
                <c:pt idx="6">
                  <c:v>0.33333333333333337</c:v>
                </c:pt>
                <c:pt idx="7">
                  <c:v>0.33333333333333331</c:v>
                </c:pt>
                <c:pt idx="8">
                  <c:v>0.33333333333333337</c:v>
                </c:pt>
              </c:numCache>
            </c:numRef>
          </c:val>
          <c:extLst>
            <c:ext xmlns:c16="http://schemas.microsoft.com/office/drawing/2014/chart" uri="{C3380CC4-5D6E-409C-BE32-E72D297353CC}">
              <c16:uniqueId val="{00000004-BEEE-4086-885A-D9EFE38766F0}"/>
            </c:ext>
          </c:extLst>
        </c:ser>
        <c:ser>
          <c:idx val="3"/>
          <c:order val="3"/>
          <c:tx>
            <c:strRef>
              <c:f>'Graphs 1'!$A$7</c:f>
              <c:strCache>
                <c:ptCount val="1"/>
                <c:pt idx="0">
                  <c:v>Fossil Depletion</c:v>
                </c:pt>
              </c:strCache>
            </c:strRef>
          </c:tx>
          <c:spPr>
            <a:solidFill>
              <a:srgbClr val="7030A0"/>
            </a:solidFill>
            <a:ln>
              <a:noFill/>
            </a:ln>
            <a:effectLst/>
          </c:spPr>
          <c:invertIfNegative val="0"/>
          <c:cat>
            <c:multiLvlStrRef>
              <c:f>'Graphs 1'!$B$2:$J$3</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1'!$B$7:$J$7</c:f>
              <c:numCache>
                <c:formatCode>0%</c:formatCode>
                <c:ptCount val="9"/>
                <c:pt idx="0">
                  <c:v>3.3230975132295666E-3</c:v>
                </c:pt>
                <c:pt idx="1">
                  <c:v>7.0223808570456471E-3</c:v>
                </c:pt>
                <c:pt idx="2">
                  <c:v>8.8934918758601083E-3</c:v>
                </c:pt>
                <c:pt idx="3">
                  <c:v>0.66334355908132425</c:v>
                </c:pt>
                <c:pt idx="4">
                  <c:v>0.65964423861440769</c:v>
                </c:pt>
                <c:pt idx="5">
                  <c:v>0.65777312302600366</c:v>
                </c:pt>
                <c:pt idx="6">
                  <c:v>0.33333333333333337</c:v>
                </c:pt>
                <c:pt idx="7">
                  <c:v>0.33333333333333337</c:v>
                </c:pt>
                <c:pt idx="8">
                  <c:v>0.33333333333333337</c:v>
                </c:pt>
              </c:numCache>
            </c:numRef>
          </c:val>
          <c:extLst>
            <c:ext xmlns:c16="http://schemas.microsoft.com/office/drawing/2014/chart" uri="{C3380CC4-5D6E-409C-BE32-E72D297353CC}">
              <c16:uniqueId val="{00000005-BEEE-4086-885A-D9EFE38766F0}"/>
            </c:ext>
          </c:extLst>
        </c:ser>
        <c:ser>
          <c:idx val="4"/>
          <c:order val="4"/>
          <c:tx>
            <c:strRef>
              <c:f>'Graphs 1'!$A$8</c:f>
              <c:strCache>
                <c:ptCount val="1"/>
                <c:pt idx="0">
                  <c:v>Global Warming Potential</c:v>
                </c:pt>
              </c:strCache>
            </c:strRef>
          </c:tx>
          <c:spPr>
            <a:solidFill>
              <a:srgbClr val="B88BBF"/>
            </a:solidFill>
            <a:ln>
              <a:noFill/>
            </a:ln>
            <a:effectLst/>
          </c:spPr>
          <c:invertIfNegative val="0"/>
          <c:cat>
            <c:multiLvlStrRef>
              <c:f>'Graphs 1'!$B$2:$J$3</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1'!$B$8:$J$8</c:f>
              <c:numCache>
                <c:formatCode>0%</c:formatCode>
                <c:ptCount val="9"/>
                <c:pt idx="0">
                  <c:v>6.2150868668782739E-3</c:v>
                </c:pt>
                <c:pt idx="1">
                  <c:v>1.1928009121461101E-2</c:v>
                </c:pt>
                <c:pt idx="2">
                  <c:v>1.5743690288722179E-2</c:v>
                </c:pt>
                <c:pt idx="3">
                  <c:v>0.66044197442245278</c:v>
                </c:pt>
                <c:pt idx="4">
                  <c:v>0.65469633789897763</c:v>
                </c:pt>
                <c:pt idx="5">
                  <c:v>0.65087587875035657</c:v>
                </c:pt>
                <c:pt idx="6">
                  <c:v>0.33333333333333331</c:v>
                </c:pt>
                <c:pt idx="7">
                  <c:v>0.33333333333333337</c:v>
                </c:pt>
                <c:pt idx="8">
                  <c:v>0.33333333333333337</c:v>
                </c:pt>
              </c:numCache>
            </c:numRef>
          </c:val>
          <c:extLst>
            <c:ext xmlns:c16="http://schemas.microsoft.com/office/drawing/2014/chart" uri="{C3380CC4-5D6E-409C-BE32-E72D297353CC}">
              <c16:uniqueId val="{00000006-BEEE-4086-885A-D9EFE38766F0}"/>
            </c:ext>
          </c:extLst>
        </c:ser>
        <c:ser>
          <c:idx val="5"/>
          <c:order val="5"/>
          <c:tx>
            <c:strRef>
              <c:f>'Graphs 1'!$A$9</c:f>
              <c:strCache>
                <c:ptCount val="1"/>
                <c:pt idx="0">
                  <c:v>Particulate Matter Formation Potential</c:v>
                </c:pt>
              </c:strCache>
            </c:strRef>
          </c:tx>
          <c:spPr>
            <a:solidFill>
              <a:srgbClr val="00B0F0"/>
            </a:solidFill>
            <a:ln>
              <a:noFill/>
            </a:ln>
            <a:effectLst/>
          </c:spPr>
          <c:invertIfNegative val="0"/>
          <c:cat>
            <c:multiLvlStrRef>
              <c:f>'Graphs 1'!$B$2:$J$3</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1'!$B$9:$J$9</c:f>
              <c:numCache>
                <c:formatCode>0%</c:formatCode>
                <c:ptCount val="9"/>
                <c:pt idx="0">
                  <c:v>2.4595122337627059E-2</c:v>
                </c:pt>
                <c:pt idx="1">
                  <c:v>5.2819651460739012E-2</c:v>
                </c:pt>
                <c:pt idx="2">
                  <c:v>5.6780014238379445E-2</c:v>
                </c:pt>
                <c:pt idx="3">
                  <c:v>0.64206901569621377</c:v>
                </c:pt>
                <c:pt idx="4">
                  <c:v>0.6138132033233249</c:v>
                </c:pt>
                <c:pt idx="5">
                  <c:v>0.60984970110504233</c:v>
                </c:pt>
                <c:pt idx="6">
                  <c:v>0.33333333333333331</c:v>
                </c:pt>
                <c:pt idx="7">
                  <c:v>0.33333333333333331</c:v>
                </c:pt>
                <c:pt idx="8">
                  <c:v>0.33333333333333331</c:v>
                </c:pt>
              </c:numCache>
            </c:numRef>
          </c:val>
          <c:extLst>
            <c:ext xmlns:c16="http://schemas.microsoft.com/office/drawing/2014/chart" uri="{C3380CC4-5D6E-409C-BE32-E72D297353CC}">
              <c16:uniqueId val="{00000007-BEEE-4086-885A-D9EFE38766F0}"/>
            </c:ext>
          </c:extLst>
        </c:ser>
        <c:ser>
          <c:idx val="6"/>
          <c:order val="6"/>
          <c:tx>
            <c:strRef>
              <c:f>'Graphs 1'!$A$10</c:f>
              <c:strCache>
                <c:ptCount val="1"/>
                <c:pt idx="0">
                  <c:v>Smog Formation Potential</c:v>
                </c:pt>
              </c:strCache>
            </c:strRef>
          </c:tx>
          <c:spPr>
            <a:solidFill>
              <a:schemeClr val="accent1">
                <a:lumMod val="75000"/>
              </a:schemeClr>
            </a:solidFill>
            <a:ln>
              <a:noFill/>
            </a:ln>
            <a:effectLst/>
          </c:spPr>
          <c:invertIfNegative val="0"/>
          <c:cat>
            <c:multiLvlStrRef>
              <c:f>'Graphs 1'!$B$2:$J$3</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1'!$B$10:$J$10</c:f>
              <c:numCache>
                <c:formatCode>0%</c:formatCode>
                <c:ptCount val="9"/>
                <c:pt idx="0">
                  <c:v>4.9744512550632799E-3</c:v>
                </c:pt>
                <c:pt idx="1">
                  <c:v>1.0740945625702172E-2</c:v>
                </c:pt>
                <c:pt idx="2">
                  <c:v>1.2626628668944578E-2</c:v>
                </c:pt>
                <c:pt idx="3">
                  <c:v>0.66166356844585994</c:v>
                </c:pt>
                <c:pt idx="4">
                  <c:v>0.65571882633106482</c:v>
                </c:pt>
                <c:pt idx="5">
                  <c:v>0.65381305119309197</c:v>
                </c:pt>
                <c:pt idx="6">
                  <c:v>0.33333333333333337</c:v>
                </c:pt>
                <c:pt idx="7">
                  <c:v>0.33333333333333331</c:v>
                </c:pt>
                <c:pt idx="8">
                  <c:v>0.33333333333333326</c:v>
                </c:pt>
              </c:numCache>
            </c:numRef>
          </c:val>
          <c:extLst>
            <c:ext xmlns:c16="http://schemas.microsoft.com/office/drawing/2014/chart" uri="{C3380CC4-5D6E-409C-BE32-E72D297353CC}">
              <c16:uniqueId val="{00000008-BEEE-4086-885A-D9EFE38766F0}"/>
            </c:ext>
          </c:extLst>
        </c:ser>
        <c:ser>
          <c:idx val="7"/>
          <c:order val="7"/>
          <c:tx>
            <c:strRef>
              <c:f>'Graphs 1'!$A$11</c:f>
              <c:strCache>
                <c:ptCount val="1"/>
                <c:pt idx="0">
                  <c:v>Solid Waste by Weight</c:v>
                </c:pt>
              </c:strCache>
            </c:strRef>
          </c:tx>
          <c:spPr>
            <a:solidFill>
              <a:schemeClr val="accent5">
                <a:lumMod val="60000"/>
                <a:lumOff val="40000"/>
              </a:schemeClr>
            </a:solidFill>
            <a:ln>
              <a:noFill/>
            </a:ln>
            <a:effectLst/>
          </c:spPr>
          <c:invertIfNegative val="0"/>
          <c:cat>
            <c:multiLvlStrRef>
              <c:f>'Graphs 1'!$B$2:$J$3</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1'!$B$11:$J$11</c:f>
              <c:numCache>
                <c:formatCode>0%</c:formatCode>
                <c:ptCount val="9"/>
                <c:pt idx="0">
                  <c:v>0</c:v>
                </c:pt>
                <c:pt idx="1">
                  <c:v>0</c:v>
                </c:pt>
                <c:pt idx="2">
                  <c:v>0</c:v>
                </c:pt>
                <c:pt idx="3">
                  <c:v>0.66666666666666663</c:v>
                </c:pt>
                <c:pt idx="4">
                  <c:v>0.66666666666666674</c:v>
                </c:pt>
                <c:pt idx="5">
                  <c:v>0.66666666666666663</c:v>
                </c:pt>
                <c:pt idx="6">
                  <c:v>0.33333333333333331</c:v>
                </c:pt>
                <c:pt idx="7">
                  <c:v>0.33333333333333337</c:v>
                </c:pt>
                <c:pt idx="8">
                  <c:v>0.33333333333333331</c:v>
                </c:pt>
              </c:numCache>
            </c:numRef>
          </c:val>
          <c:extLst>
            <c:ext xmlns:c16="http://schemas.microsoft.com/office/drawing/2014/chart" uri="{C3380CC4-5D6E-409C-BE32-E72D297353CC}">
              <c16:uniqueId val="{00000009-BEEE-4086-885A-D9EFE38766F0}"/>
            </c:ext>
          </c:extLst>
        </c:ser>
        <c:ser>
          <c:idx val="8"/>
          <c:order val="8"/>
          <c:tx>
            <c:strRef>
              <c:f>'Graphs 1'!$A$12</c:f>
              <c:strCache>
                <c:ptCount val="1"/>
                <c:pt idx="0">
                  <c:v>Water Consumption</c:v>
                </c:pt>
              </c:strCache>
            </c:strRef>
          </c:tx>
          <c:spPr>
            <a:solidFill>
              <a:schemeClr val="bg1">
                <a:lumMod val="75000"/>
              </a:schemeClr>
            </a:solidFill>
            <a:ln>
              <a:noFill/>
            </a:ln>
            <a:effectLst/>
          </c:spPr>
          <c:invertIfNegative val="0"/>
          <c:cat>
            <c:multiLvlStrRef>
              <c:f>'Graphs 1'!$B$2:$J$3</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1'!$B$12:$J$12</c:f>
              <c:numCache>
                <c:formatCode>0%</c:formatCode>
                <c:ptCount val="9"/>
                <c:pt idx="0">
                  <c:v>2.4108796124538497E-3</c:v>
                </c:pt>
                <c:pt idx="1">
                  <c:v>4.9798144088076231E-3</c:v>
                </c:pt>
                <c:pt idx="2">
                  <c:v>6.6330003698919305E-3</c:v>
                </c:pt>
                <c:pt idx="3">
                  <c:v>0.66425578705421273</c:v>
                </c:pt>
                <c:pt idx="4">
                  <c:v>0.66168685225785906</c:v>
                </c:pt>
                <c:pt idx="5">
                  <c:v>0.66003366629677462</c:v>
                </c:pt>
                <c:pt idx="6">
                  <c:v>0.33333333333333331</c:v>
                </c:pt>
                <c:pt idx="7">
                  <c:v>0.33333333333333331</c:v>
                </c:pt>
                <c:pt idx="8">
                  <c:v>0.33333333333333331</c:v>
                </c:pt>
              </c:numCache>
            </c:numRef>
          </c:val>
          <c:extLst>
            <c:ext xmlns:c16="http://schemas.microsoft.com/office/drawing/2014/chart" uri="{C3380CC4-5D6E-409C-BE32-E72D297353CC}">
              <c16:uniqueId val="{0000000A-BEEE-4086-885A-D9EFE38766F0}"/>
            </c:ext>
          </c:extLst>
        </c:ser>
        <c:dLbls>
          <c:showLegendKey val="0"/>
          <c:showVal val="0"/>
          <c:showCatName val="0"/>
          <c:showSerName val="0"/>
          <c:showPercent val="0"/>
          <c:showBubbleSize val="0"/>
        </c:dLbls>
        <c:gapWidth val="219"/>
        <c:axId val="678567104"/>
        <c:axId val="678569072"/>
      </c:barChart>
      <c:catAx>
        <c:axId val="67856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678569072"/>
        <c:crosses val="autoZero"/>
        <c:auto val="1"/>
        <c:lblAlgn val="ctr"/>
        <c:lblOffset val="100"/>
        <c:noMultiLvlLbl val="0"/>
      </c:catAx>
      <c:valAx>
        <c:axId val="6785690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US"/>
                  <a:t>Percent Contribution</a:t>
                </a:r>
              </a:p>
            </c:rich>
          </c:tx>
          <c:layout>
            <c:manualLayout>
              <c:xMode val="edge"/>
              <c:yMode val="edge"/>
              <c:x val="9.1761150760991065E-3"/>
              <c:y val="0.147509916523592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678567104"/>
        <c:crosses val="autoZero"/>
        <c:crossBetween val="between"/>
      </c:valAx>
      <c:spPr>
        <a:noFill/>
        <a:ln>
          <a:noFill/>
        </a:ln>
        <a:effectLst/>
      </c:spPr>
    </c:plotArea>
    <c:legend>
      <c:legendPos val="b"/>
      <c:layout>
        <c:manualLayout>
          <c:xMode val="edge"/>
          <c:yMode val="edge"/>
          <c:x val="2.4484053377883147E-2"/>
          <c:y val="0.79326090817595174"/>
          <c:w val="0.95744231659030143"/>
          <c:h val="0.18690811674856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866481588398"/>
          <c:y val="3.657522859517872E-2"/>
          <c:w val="0.87664041994750652"/>
          <c:h val="0.59280276997794223"/>
        </c:manualLayout>
      </c:layout>
      <c:barChart>
        <c:barDir val="col"/>
        <c:grouping val="clustered"/>
        <c:varyColors val="0"/>
        <c:ser>
          <c:idx val="0"/>
          <c:order val="0"/>
          <c:tx>
            <c:strRef>
              <c:f>'Graphs 1'!$A$16</c:f>
              <c:strCache>
                <c:ptCount val="1"/>
                <c:pt idx="0">
                  <c:v>Category</c:v>
                </c:pt>
              </c:strCache>
            </c:strRef>
          </c:tx>
          <c:spPr>
            <a:solidFill>
              <a:schemeClr val="accent1"/>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1'!$B$16:$J$16</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CEFA-41AD-A37D-6C7D2BA6602A}"/>
            </c:ext>
          </c:extLst>
        </c:ser>
        <c:ser>
          <c:idx val="1"/>
          <c:order val="1"/>
          <c:tx>
            <c:strRef>
              <c:f>'Graphs 1'!$A$17</c:f>
              <c:strCache>
                <c:ptCount val="1"/>
                <c:pt idx="0">
                  <c:v>Acidification Potential</c:v>
                </c:pt>
              </c:strCache>
            </c:strRef>
          </c:tx>
          <c:spPr>
            <a:solidFill>
              <a:srgbClr val="92D050"/>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1'!$B$17:$J$17</c:f>
              <c:numCache>
                <c:formatCode>0%</c:formatCode>
                <c:ptCount val="9"/>
                <c:pt idx="0">
                  <c:v>1.9679763862550151E-3</c:v>
                </c:pt>
                <c:pt idx="1">
                  <c:v>2.6850858664679489E-3</c:v>
                </c:pt>
                <c:pt idx="2">
                  <c:v>4.8434955309754092E-3</c:v>
                </c:pt>
                <c:pt idx="3">
                  <c:v>0.66469450103970085</c:v>
                </c:pt>
                <c:pt idx="4">
                  <c:v>0.66396335033587739</c:v>
                </c:pt>
                <c:pt idx="5">
                  <c:v>0.66179833579205882</c:v>
                </c:pt>
                <c:pt idx="6">
                  <c:v>0.33333333333333337</c:v>
                </c:pt>
                <c:pt idx="7">
                  <c:v>0.33333333333333337</c:v>
                </c:pt>
                <c:pt idx="8">
                  <c:v>0.33333333333333331</c:v>
                </c:pt>
              </c:numCache>
            </c:numRef>
          </c:val>
          <c:extLst>
            <c:ext xmlns:c16="http://schemas.microsoft.com/office/drawing/2014/chart" uri="{C3380CC4-5D6E-409C-BE32-E72D297353CC}">
              <c16:uniqueId val="{00000001-CEFA-41AD-A37D-6C7D2BA6602A}"/>
            </c:ext>
          </c:extLst>
        </c:ser>
        <c:ser>
          <c:idx val="2"/>
          <c:order val="2"/>
          <c:tx>
            <c:strRef>
              <c:f>'Graphs 1'!$A$18</c:f>
              <c:strCache>
                <c:ptCount val="1"/>
                <c:pt idx="0">
                  <c:v>Cumulative Energy Demand</c:v>
                </c:pt>
              </c:strCache>
            </c:strRef>
          </c:tx>
          <c:spPr>
            <a:solidFill>
              <a:srgbClr val="00B050"/>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1'!$B$18:$J$18</c:f>
              <c:numCache>
                <c:formatCode>0%</c:formatCode>
                <c:ptCount val="9"/>
                <c:pt idx="0">
                  <c:v>2.0187206814111188E-3</c:v>
                </c:pt>
                <c:pt idx="1">
                  <c:v>2.7103569119337977E-3</c:v>
                </c:pt>
                <c:pt idx="2">
                  <c:v>6.5405028104403651E-3</c:v>
                </c:pt>
                <c:pt idx="3">
                  <c:v>0.66464794158576246</c:v>
                </c:pt>
                <c:pt idx="4">
                  <c:v>0.66395629716594096</c:v>
                </c:pt>
                <c:pt idx="5">
                  <c:v>0.66012614675058623</c:v>
                </c:pt>
                <c:pt idx="6">
                  <c:v>0.33333333333333331</c:v>
                </c:pt>
                <c:pt idx="7">
                  <c:v>0.33333333333333331</c:v>
                </c:pt>
                <c:pt idx="8">
                  <c:v>0.33333333333333331</c:v>
                </c:pt>
              </c:numCache>
            </c:numRef>
          </c:val>
          <c:extLst>
            <c:ext xmlns:c16="http://schemas.microsoft.com/office/drawing/2014/chart" uri="{C3380CC4-5D6E-409C-BE32-E72D297353CC}">
              <c16:uniqueId val="{00000002-CEFA-41AD-A37D-6C7D2BA6602A}"/>
            </c:ext>
          </c:extLst>
        </c:ser>
        <c:ser>
          <c:idx val="3"/>
          <c:order val="3"/>
          <c:tx>
            <c:strRef>
              <c:f>'Graphs 1'!$A$19</c:f>
              <c:strCache>
                <c:ptCount val="1"/>
                <c:pt idx="0">
                  <c:v>Eutrophication Potential</c:v>
                </c:pt>
              </c:strCache>
            </c:strRef>
          </c:tx>
          <c:spPr>
            <a:solidFill>
              <a:srgbClr val="C00000"/>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1'!$B$19:$J$19</c:f>
              <c:numCache>
                <c:formatCode>0%</c:formatCode>
                <c:ptCount val="9"/>
                <c:pt idx="0">
                  <c:v>6.4066736635110866E-2</c:v>
                </c:pt>
                <c:pt idx="1">
                  <c:v>8.8295181906602627E-2</c:v>
                </c:pt>
                <c:pt idx="2">
                  <c:v>0.14185716415771285</c:v>
                </c:pt>
                <c:pt idx="3">
                  <c:v>0.60258564621935107</c:v>
                </c:pt>
                <c:pt idx="4">
                  <c:v>0.57831007709072146</c:v>
                </c:pt>
                <c:pt idx="5">
                  <c:v>0.52473335192467796</c:v>
                </c:pt>
                <c:pt idx="6">
                  <c:v>0.33333333333333331</c:v>
                </c:pt>
                <c:pt idx="7">
                  <c:v>0.33333333333333331</c:v>
                </c:pt>
                <c:pt idx="8">
                  <c:v>0.33333333333333331</c:v>
                </c:pt>
              </c:numCache>
            </c:numRef>
          </c:val>
          <c:extLst>
            <c:ext xmlns:c16="http://schemas.microsoft.com/office/drawing/2014/chart" uri="{C3380CC4-5D6E-409C-BE32-E72D297353CC}">
              <c16:uniqueId val="{00000003-CEFA-41AD-A37D-6C7D2BA6602A}"/>
            </c:ext>
          </c:extLst>
        </c:ser>
        <c:ser>
          <c:idx val="4"/>
          <c:order val="4"/>
          <c:tx>
            <c:strRef>
              <c:f>'Graphs 1'!$A$20</c:f>
              <c:strCache>
                <c:ptCount val="1"/>
                <c:pt idx="0">
                  <c:v>Fossil Depletion</c:v>
                </c:pt>
              </c:strCache>
            </c:strRef>
          </c:tx>
          <c:spPr>
            <a:solidFill>
              <a:srgbClr val="7030A0"/>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1'!$B$20:$J$20</c:f>
              <c:numCache>
                <c:formatCode>0%</c:formatCode>
                <c:ptCount val="9"/>
                <c:pt idx="0">
                  <c:v>1.9356449449236602E-3</c:v>
                </c:pt>
                <c:pt idx="1">
                  <c:v>2.5333313589074569E-3</c:v>
                </c:pt>
                <c:pt idx="2">
                  <c:v>6.3267020702537351E-3</c:v>
                </c:pt>
                <c:pt idx="3">
                  <c:v>0.66473101545664748</c:v>
                </c:pt>
                <c:pt idx="4">
                  <c:v>0.66413331937215925</c:v>
                </c:pt>
                <c:pt idx="5">
                  <c:v>0.66033994294215415</c:v>
                </c:pt>
                <c:pt idx="6">
                  <c:v>0.33333333333333331</c:v>
                </c:pt>
                <c:pt idx="7">
                  <c:v>0.33333333333333331</c:v>
                </c:pt>
                <c:pt idx="8">
                  <c:v>0.33333333333333331</c:v>
                </c:pt>
              </c:numCache>
            </c:numRef>
          </c:val>
          <c:extLst>
            <c:ext xmlns:c16="http://schemas.microsoft.com/office/drawing/2014/chart" uri="{C3380CC4-5D6E-409C-BE32-E72D297353CC}">
              <c16:uniqueId val="{00000004-CEFA-41AD-A37D-6C7D2BA6602A}"/>
            </c:ext>
          </c:extLst>
        </c:ser>
        <c:ser>
          <c:idx val="5"/>
          <c:order val="5"/>
          <c:tx>
            <c:strRef>
              <c:f>'Graphs 1'!$A$21</c:f>
              <c:strCache>
                <c:ptCount val="1"/>
                <c:pt idx="0">
                  <c:v>Global Warming Potential</c:v>
                </c:pt>
              </c:strCache>
            </c:strRef>
          </c:tx>
          <c:spPr>
            <a:solidFill>
              <a:srgbClr val="B199B0"/>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1'!$B$21:$J$21</c:f>
              <c:numCache>
                <c:formatCode>0%</c:formatCode>
                <c:ptCount val="9"/>
                <c:pt idx="0">
                  <c:v>3.4986340254888467E-3</c:v>
                </c:pt>
                <c:pt idx="1">
                  <c:v>4.197924708139341E-3</c:v>
                </c:pt>
                <c:pt idx="2">
                  <c:v>1.0450768761425576E-2</c:v>
                </c:pt>
                <c:pt idx="3">
                  <c:v>0.66316270871912064</c:v>
                </c:pt>
                <c:pt idx="4">
                  <c:v>0.66245441166085239</c:v>
                </c:pt>
                <c:pt idx="5">
                  <c:v>0.65619645671531146</c:v>
                </c:pt>
                <c:pt idx="6">
                  <c:v>0.33333333333333331</c:v>
                </c:pt>
                <c:pt idx="7">
                  <c:v>0.33333333333333331</c:v>
                </c:pt>
                <c:pt idx="8">
                  <c:v>0.33333333333333331</c:v>
                </c:pt>
              </c:numCache>
            </c:numRef>
          </c:val>
          <c:extLst>
            <c:ext xmlns:c16="http://schemas.microsoft.com/office/drawing/2014/chart" uri="{C3380CC4-5D6E-409C-BE32-E72D297353CC}">
              <c16:uniqueId val="{00000005-CEFA-41AD-A37D-6C7D2BA6602A}"/>
            </c:ext>
          </c:extLst>
        </c:ser>
        <c:ser>
          <c:idx val="6"/>
          <c:order val="6"/>
          <c:tx>
            <c:strRef>
              <c:f>'Graphs 1'!$A$22</c:f>
              <c:strCache>
                <c:ptCount val="1"/>
                <c:pt idx="0">
                  <c:v>Particulate Matter Formation Potential</c:v>
                </c:pt>
              </c:strCache>
            </c:strRef>
          </c:tx>
          <c:spPr>
            <a:solidFill>
              <a:srgbClr val="00B0F0"/>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1'!$B$22:$J$22</c:f>
              <c:numCache>
                <c:formatCode>0%</c:formatCode>
                <c:ptCount val="9"/>
                <c:pt idx="0">
                  <c:v>1.4009836116471455E-2</c:v>
                </c:pt>
                <c:pt idx="1">
                  <c:v>1.9591910395555644E-2</c:v>
                </c:pt>
                <c:pt idx="2">
                  <c:v>2.768460969520881E-2</c:v>
                </c:pt>
                <c:pt idx="3">
                  <c:v>0.65265541254375381</c:v>
                </c:pt>
                <c:pt idx="4">
                  <c:v>0.6470628027395271</c:v>
                </c:pt>
                <c:pt idx="5">
                  <c:v>0.63896592481876902</c:v>
                </c:pt>
                <c:pt idx="6">
                  <c:v>0.33333333333333331</c:v>
                </c:pt>
                <c:pt idx="7">
                  <c:v>0.33333333333333331</c:v>
                </c:pt>
                <c:pt idx="8">
                  <c:v>0.33333333333333331</c:v>
                </c:pt>
              </c:numCache>
            </c:numRef>
          </c:val>
          <c:extLst>
            <c:ext xmlns:c16="http://schemas.microsoft.com/office/drawing/2014/chart" uri="{C3380CC4-5D6E-409C-BE32-E72D297353CC}">
              <c16:uniqueId val="{00000006-CEFA-41AD-A37D-6C7D2BA6602A}"/>
            </c:ext>
          </c:extLst>
        </c:ser>
        <c:ser>
          <c:idx val="7"/>
          <c:order val="7"/>
          <c:tx>
            <c:strRef>
              <c:f>'Graphs 1'!$A$23</c:f>
              <c:strCache>
                <c:ptCount val="1"/>
                <c:pt idx="0">
                  <c:v>Smog Formation Potential</c:v>
                </c:pt>
              </c:strCache>
            </c:strRef>
          </c:tx>
          <c:spPr>
            <a:solidFill>
              <a:schemeClr val="accent1">
                <a:lumMod val="75000"/>
              </a:schemeClr>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1'!$B$23:$J$23</c:f>
              <c:numCache>
                <c:formatCode>0%</c:formatCode>
                <c:ptCount val="9"/>
                <c:pt idx="0">
                  <c:v>2.8415748279262236E-3</c:v>
                </c:pt>
                <c:pt idx="1">
                  <c:v>3.841470450890496E-3</c:v>
                </c:pt>
                <c:pt idx="2">
                  <c:v>7.30893713669076E-3</c:v>
                </c:pt>
                <c:pt idx="3">
                  <c:v>0.66380917305374509</c:v>
                </c:pt>
                <c:pt idx="4">
                  <c:v>0.66275479125905878</c:v>
                </c:pt>
                <c:pt idx="5">
                  <c:v>0.65926236342021638</c:v>
                </c:pt>
                <c:pt idx="6">
                  <c:v>0.33333333333333337</c:v>
                </c:pt>
                <c:pt idx="7">
                  <c:v>0.33333333333333337</c:v>
                </c:pt>
                <c:pt idx="8">
                  <c:v>0.33333333333333331</c:v>
                </c:pt>
              </c:numCache>
            </c:numRef>
          </c:val>
          <c:extLst>
            <c:ext xmlns:c16="http://schemas.microsoft.com/office/drawing/2014/chart" uri="{C3380CC4-5D6E-409C-BE32-E72D297353CC}">
              <c16:uniqueId val="{00000007-CEFA-41AD-A37D-6C7D2BA6602A}"/>
            </c:ext>
          </c:extLst>
        </c:ser>
        <c:ser>
          <c:idx val="8"/>
          <c:order val="8"/>
          <c:tx>
            <c:strRef>
              <c:f>'Graphs 1'!$A$24</c:f>
              <c:strCache>
                <c:ptCount val="1"/>
                <c:pt idx="0">
                  <c:v>Solid Waste by Weight</c:v>
                </c:pt>
              </c:strCache>
            </c:strRef>
          </c:tx>
          <c:spPr>
            <a:solidFill>
              <a:schemeClr val="accent5">
                <a:lumMod val="60000"/>
                <a:lumOff val="40000"/>
              </a:schemeClr>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1'!$B$24:$J$24</c:f>
              <c:numCache>
                <c:formatCode>0%</c:formatCode>
                <c:ptCount val="9"/>
                <c:pt idx="0">
                  <c:v>0</c:v>
                </c:pt>
                <c:pt idx="1">
                  <c:v>0</c:v>
                </c:pt>
                <c:pt idx="2">
                  <c:v>0</c:v>
                </c:pt>
                <c:pt idx="3">
                  <c:v>0.66666666666666663</c:v>
                </c:pt>
                <c:pt idx="4">
                  <c:v>0.66666666666666663</c:v>
                </c:pt>
                <c:pt idx="5">
                  <c:v>0.66666666666666663</c:v>
                </c:pt>
                <c:pt idx="6">
                  <c:v>0.33333333333333331</c:v>
                </c:pt>
                <c:pt idx="7">
                  <c:v>0.33333333333333331</c:v>
                </c:pt>
                <c:pt idx="8">
                  <c:v>0.33333333333333331</c:v>
                </c:pt>
              </c:numCache>
            </c:numRef>
          </c:val>
          <c:extLst>
            <c:ext xmlns:c16="http://schemas.microsoft.com/office/drawing/2014/chart" uri="{C3380CC4-5D6E-409C-BE32-E72D297353CC}">
              <c16:uniqueId val="{00000008-CEFA-41AD-A37D-6C7D2BA6602A}"/>
            </c:ext>
          </c:extLst>
        </c:ser>
        <c:ser>
          <c:idx val="9"/>
          <c:order val="9"/>
          <c:tx>
            <c:strRef>
              <c:f>'Graphs 1'!$A$25</c:f>
              <c:strCache>
                <c:ptCount val="1"/>
                <c:pt idx="0">
                  <c:v>Water Consumption</c:v>
                </c:pt>
              </c:strCache>
            </c:strRef>
          </c:tx>
          <c:spPr>
            <a:solidFill>
              <a:schemeClr val="bg1">
                <a:lumMod val="75000"/>
              </a:schemeClr>
            </a:solidFill>
            <a:ln>
              <a:noFill/>
            </a:ln>
            <a:effectLst/>
          </c:spPr>
          <c:invertIfNegative val="0"/>
          <c:cat>
            <c:multiLvlStrRef>
              <c:f>'Graphs 1'!$B$15:$K$16</c:f>
              <c:multiLvlStrCache>
                <c:ptCount val="9"/>
                <c:lvl>
                  <c:pt idx="0">
                    <c:v>Large Scale</c:v>
                  </c:pt>
                  <c:pt idx="1">
                    <c:v>Medium Scale</c:v>
                  </c:pt>
                  <c:pt idx="2">
                    <c:v>Home Office</c:v>
                  </c:pt>
                  <c:pt idx="3">
                    <c:v>Large Scale</c:v>
                  </c:pt>
                  <c:pt idx="4">
                    <c:v>Medium Scale</c:v>
                  </c:pt>
                  <c:pt idx="5">
                    <c:v>Home Office</c:v>
                  </c:pt>
                  <c:pt idx="6">
                    <c:v>Large Scale</c:v>
                  </c:pt>
                  <c:pt idx="7">
                    <c:v>Medium Scale</c:v>
                  </c:pt>
                  <c:pt idx="8">
                    <c:v>Home Office</c:v>
                  </c:pt>
                </c:lvl>
                <c:lvl>
                  <c:pt idx="0">
                    <c:v>Capital Equipment</c:v>
                  </c:pt>
                  <c:pt idx="3">
                    <c:v>Operation</c:v>
                  </c:pt>
                  <c:pt idx="6">
                    <c:v>Reusable Container Washing</c:v>
                  </c:pt>
                </c:lvl>
              </c:multiLvlStrCache>
            </c:multiLvlStrRef>
          </c:cat>
          <c:val>
            <c:numRef>
              <c:f>'Graphs 1'!$B$25:$J$25</c:f>
              <c:numCache>
                <c:formatCode>0%</c:formatCode>
                <c:ptCount val="9"/>
                <c:pt idx="0">
                  <c:v>1.4068668193120918E-3</c:v>
                </c:pt>
                <c:pt idx="1">
                  <c:v>1.9225941065034199E-3</c:v>
                </c:pt>
                <c:pt idx="2">
                  <c:v>3.4712367060950708E-3</c:v>
                </c:pt>
                <c:pt idx="3">
                  <c:v>0.6652597998473545</c:v>
                </c:pt>
                <c:pt idx="4">
                  <c:v>0.66474407256016321</c:v>
                </c:pt>
                <c:pt idx="5">
                  <c:v>0.66319542996057168</c:v>
                </c:pt>
                <c:pt idx="6">
                  <c:v>0.33333333333333331</c:v>
                </c:pt>
                <c:pt idx="7">
                  <c:v>0.33333333333333331</c:v>
                </c:pt>
                <c:pt idx="8">
                  <c:v>0.33333333333333337</c:v>
                </c:pt>
              </c:numCache>
            </c:numRef>
          </c:val>
          <c:extLst>
            <c:ext xmlns:c16="http://schemas.microsoft.com/office/drawing/2014/chart" uri="{C3380CC4-5D6E-409C-BE32-E72D297353CC}">
              <c16:uniqueId val="{00000009-CEFA-41AD-A37D-6C7D2BA6602A}"/>
            </c:ext>
          </c:extLst>
        </c:ser>
        <c:dLbls>
          <c:showLegendKey val="0"/>
          <c:showVal val="0"/>
          <c:showCatName val="0"/>
          <c:showSerName val="0"/>
          <c:showPercent val="0"/>
          <c:showBubbleSize val="0"/>
        </c:dLbls>
        <c:gapWidth val="219"/>
        <c:axId val="808873504"/>
        <c:axId val="808875800"/>
      </c:barChart>
      <c:catAx>
        <c:axId val="80887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808875800"/>
        <c:crosses val="autoZero"/>
        <c:auto val="1"/>
        <c:lblAlgn val="ctr"/>
        <c:lblOffset val="100"/>
        <c:noMultiLvlLbl val="0"/>
      </c:catAx>
      <c:valAx>
        <c:axId val="80887580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US"/>
                  <a:t>Percentage Contribution</a:t>
                </a:r>
              </a:p>
            </c:rich>
          </c:tx>
          <c:layout>
            <c:manualLayout>
              <c:xMode val="edge"/>
              <c:yMode val="edge"/>
              <c:x val="6.0955657518958354E-3"/>
              <c:y val="0.231564493591203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808873504"/>
        <c:crosses val="autoZero"/>
        <c:crossBetween val="between"/>
      </c:valAx>
      <c:spPr>
        <a:noFill/>
        <a:ln>
          <a:noFill/>
        </a:ln>
        <a:effectLst/>
      </c:spPr>
    </c:plotArea>
    <c:legend>
      <c:legendPos val="b"/>
      <c:legendEntry>
        <c:idx val="0"/>
        <c:delete val="1"/>
      </c:legendEntry>
      <c:layout>
        <c:manualLayout>
          <c:xMode val="edge"/>
          <c:yMode val="edge"/>
          <c:x val="1.870535293852698E-2"/>
          <c:y val="0.81421250024544933"/>
          <c:w val="0.97922979596349213"/>
          <c:h val="0.165837375066271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 3'!$A$25:$B$25</c:f>
              <c:strCache>
                <c:ptCount val="2"/>
                <c:pt idx="0">
                  <c:v>Cumulative Energy Demand</c:v>
                </c:pt>
              </c:strCache>
            </c:strRef>
          </c:tx>
          <c:spPr>
            <a:solidFill>
              <a:srgbClr val="92D050"/>
            </a:solidFill>
            <a:ln>
              <a:noFill/>
            </a:ln>
            <a:effectLst/>
          </c:spPr>
          <c:invertIfNegative val="0"/>
          <c:cat>
            <c:multiLvlStrRef>
              <c:f>'Graphs 3'!$C$22:$R$24</c:f>
              <c:multiLvlStrCache>
                <c:ptCount val="16"/>
                <c:lvl>
                  <c:pt idx="0">
                    <c:v>Average US</c:v>
                  </c:pt>
                  <c:pt idx="1">
                    <c:v>RFCW</c:v>
                  </c:pt>
                  <c:pt idx="2">
                    <c:v>FRCC</c:v>
                  </c:pt>
                  <c:pt idx="3">
                    <c:v>CAMX</c:v>
                  </c:pt>
                  <c:pt idx="4">
                    <c:v>Average US</c:v>
                  </c:pt>
                  <c:pt idx="5">
                    <c:v>RFCW</c:v>
                  </c:pt>
                  <c:pt idx="6">
                    <c:v>FRCC</c:v>
                  </c:pt>
                  <c:pt idx="7">
                    <c:v>CAMX</c:v>
                  </c:pt>
                  <c:pt idx="8">
                    <c:v>Average US</c:v>
                  </c:pt>
                  <c:pt idx="9">
                    <c:v>RFCW</c:v>
                  </c:pt>
                  <c:pt idx="10">
                    <c:v>FRCC</c:v>
                  </c:pt>
                  <c:pt idx="11">
                    <c:v>CAMX</c:v>
                  </c:pt>
                  <c:pt idx="12">
                    <c:v>Average US</c:v>
                  </c:pt>
                  <c:pt idx="13">
                    <c:v>RFCW</c:v>
                  </c:pt>
                  <c:pt idx="14">
                    <c:v>FRCC</c:v>
                  </c:pt>
                  <c:pt idx="15">
                    <c:v>CAMX</c:v>
                  </c:pt>
                </c:lvl>
                <c:lvl>
                  <c:pt idx="0">
                    <c:v>Large</c:v>
                  </c:pt>
                  <c:pt idx="4">
                    <c:v>Medium</c:v>
                  </c:pt>
                  <c:pt idx="8">
                    <c:v>Large</c:v>
                  </c:pt>
                  <c:pt idx="12">
                    <c:v>Medium</c:v>
                  </c:pt>
                </c:lvl>
                <c:lvl>
                  <c:pt idx="0">
                    <c:v>Watergen</c:v>
                  </c:pt>
                  <c:pt idx="8">
                    <c:v>Ecoloblue</c:v>
                  </c:pt>
                </c:lvl>
              </c:multiLvlStrCache>
            </c:multiLvlStrRef>
          </c:cat>
          <c:val>
            <c:numRef>
              <c:f>'Graphs 3'!$C$25:$R$25</c:f>
              <c:numCache>
                <c:formatCode>General</c:formatCode>
                <c:ptCount val="16"/>
                <c:pt idx="0">
                  <c:v>0.85365853658536583</c:v>
                </c:pt>
                <c:pt idx="1">
                  <c:v>0.9600020224898721</c:v>
                </c:pt>
                <c:pt idx="2">
                  <c:v>0.91283503124787013</c:v>
                </c:pt>
                <c:pt idx="3">
                  <c:v>0.79546887057394711</c:v>
                </c:pt>
                <c:pt idx="4">
                  <c:v>0.10731707317073171</c:v>
                </c:pt>
                <c:pt idx="5">
                  <c:v>0.12068596854158391</c:v>
                </c:pt>
                <c:pt idx="6">
                  <c:v>0.11475640392830368</c:v>
                </c:pt>
                <c:pt idx="7">
                  <c:v>0.10000180087215335</c:v>
                </c:pt>
                <c:pt idx="8">
                  <c:v>1.024390243902439</c:v>
                </c:pt>
                <c:pt idx="9">
                  <c:v>1.1520024269878466</c:v>
                </c:pt>
                <c:pt idx="10">
                  <c:v>1.0954020374974442</c:v>
                </c:pt>
                <c:pt idx="11">
                  <c:v>0.95456264468873664</c:v>
                </c:pt>
                <c:pt idx="12">
                  <c:v>0.2</c:v>
                </c:pt>
                <c:pt idx="13">
                  <c:v>0.22491475955476997</c:v>
                </c:pt>
                <c:pt idx="14">
                  <c:v>0.21386420732092962</c:v>
                </c:pt>
                <c:pt idx="15">
                  <c:v>0.18636699253446759</c:v>
                </c:pt>
              </c:numCache>
            </c:numRef>
          </c:val>
          <c:extLst>
            <c:ext xmlns:c16="http://schemas.microsoft.com/office/drawing/2014/chart" uri="{C3380CC4-5D6E-409C-BE32-E72D297353CC}">
              <c16:uniqueId val="{00000000-71A3-4905-9BC3-0055453E606D}"/>
            </c:ext>
          </c:extLst>
        </c:ser>
        <c:ser>
          <c:idx val="1"/>
          <c:order val="1"/>
          <c:tx>
            <c:strRef>
              <c:f>'Graphs 3'!$A$26:$B$26</c:f>
              <c:strCache>
                <c:ptCount val="2"/>
                <c:pt idx="0">
                  <c:v>Fossil Depletion</c:v>
                </c:pt>
              </c:strCache>
            </c:strRef>
          </c:tx>
          <c:spPr>
            <a:solidFill>
              <a:srgbClr val="00B050"/>
            </a:solidFill>
            <a:ln>
              <a:noFill/>
            </a:ln>
            <a:effectLst/>
          </c:spPr>
          <c:invertIfNegative val="0"/>
          <c:cat>
            <c:multiLvlStrRef>
              <c:f>'Graphs 3'!$C$22:$R$24</c:f>
              <c:multiLvlStrCache>
                <c:ptCount val="16"/>
                <c:lvl>
                  <c:pt idx="0">
                    <c:v>Average US</c:v>
                  </c:pt>
                  <c:pt idx="1">
                    <c:v>RFCW</c:v>
                  </c:pt>
                  <c:pt idx="2">
                    <c:v>FRCC</c:v>
                  </c:pt>
                  <c:pt idx="3">
                    <c:v>CAMX</c:v>
                  </c:pt>
                  <c:pt idx="4">
                    <c:v>Average US</c:v>
                  </c:pt>
                  <c:pt idx="5">
                    <c:v>RFCW</c:v>
                  </c:pt>
                  <c:pt idx="6">
                    <c:v>FRCC</c:v>
                  </c:pt>
                  <c:pt idx="7">
                    <c:v>CAMX</c:v>
                  </c:pt>
                  <c:pt idx="8">
                    <c:v>Average US</c:v>
                  </c:pt>
                  <c:pt idx="9">
                    <c:v>RFCW</c:v>
                  </c:pt>
                  <c:pt idx="10">
                    <c:v>FRCC</c:v>
                  </c:pt>
                  <c:pt idx="11">
                    <c:v>CAMX</c:v>
                  </c:pt>
                  <c:pt idx="12">
                    <c:v>Average US</c:v>
                  </c:pt>
                  <c:pt idx="13">
                    <c:v>RFCW</c:v>
                  </c:pt>
                  <c:pt idx="14">
                    <c:v>FRCC</c:v>
                  </c:pt>
                  <c:pt idx="15">
                    <c:v>CAMX</c:v>
                  </c:pt>
                </c:lvl>
                <c:lvl>
                  <c:pt idx="0">
                    <c:v>Large</c:v>
                  </c:pt>
                  <c:pt idx="4">
                    <c:v>Medium</c:v>
                  </c:pt>
                  <c:pt idx="8">
                    <c:v>Large</c:v>
                  </c:pt>
                  <c:pt idx="12">
                    <c:v>Medium</c:v>
                  </c:pt>
                </c:lvl>
                <c:lvl>
                  <c:pt idx="0">
                    <c:v>Watergen</c:v>
                  </c:pt>
                  <c:pt idx="8">
                    <c:v>Ecoloblue</c:v>
                  </c:pt>
                </c:lvl>
              </c:multiLvlStrCache>
            </c:multiLvlStrRef>
          </c:cat>
          <c:val>
            <c:numRef>
              <c:f>'Graphs 3'!$C$26:$R$26</c:f>
              <c:numCache>
                <c:formatCode>General</c:formatCode>
                <c:ptCount val="16"/>
                <c:pt idx="0">
                  <c:v>0.6385644646402564</c:v>
                </c:pt>
                <c:pt idx="1">
                  <c:v>0.79063175416081088</c:v>
                </c:pt>
                <c:pt idx="2">
                  <c:v>0.83333333333333337</c:v>
                </c:pt>
                <c:pt idx="3">
                  <c:v>0.55602876251001165</c:v>
                </c:pt>
                <c:pt idx="4">
                  <c:v>8.0276675554775065E-2</c:v>
                </c:pt>
                <c:pt idx="5">
                  <c:v>9.9393706237359089E-2</c:v>
                </c:pt>
                <c:pt idx="6">
                  <c:v>0.10476190476190476</c:v>
                </c:pt>
                <c:pt idx="7">
                  <c:v>6.9900758715544312E-2</c:v>
                </c:pt>
                <c:pt idx="8">
                  <c:v>0.76627735756830773</c:v>
                </c:pt>
                <c:pt idx="9">
                  <c:v>0.94875810499297308</c:v>
                </c:pt>
                <c:pt idx="10">
                  <c:v>1</c:v>
                </c:pt>
                <c:pt idx="11">
                  <c:v>0.66723451501201403</c:v>
                </c:pt>
                <c:pt idx="12">
                  <c:v>0.14960653171571717</c:v>
                </c:pt>
                <c:pt idx="13">
                  <c:v>0.18523372526053281</c:v>
                </c:pt>
                <c:pt idx="14">
                  <c:v>0.19523809523809521</c:v>
                </c:pt>
                <c:pt idx="15">
                  <c:v>0.13026959578805986</c:v>
                </c:pt>
              </c:numCache>
            </c:numRef>
          </c:val>
          <c:extLst>
            <c:ext xmlns:c16="http://schemas.microsoft.com/office/drawing/2014/chart" uri="{C3380CC4-5D6E-409C-BE32-E72D297353CC}">
              <c16:uniqueId val="{00000001-71A3-4905-9BC3-0055453E606D}"/>
            </c:ext>
          </c:extLst>
        </c:ser>
        <c:ser>
          <c:idx val="2"/>
          <c:order val="2"/>
          <c:tx>
            <c:strRef>
              <c:f>'Graphs 3'!$A$27:$B$27</c:f>
              <c:strCache>
                <c:ptCount val="2"/>
                <c:pt idx="0">
                  <c:v>Global Warming Potential</c:v>
                </c:pt>
              </c:strCache>
            </c:strRef>
          </c:tx>
          <c:spPr>
            <a:solidFill>
              <a:schemeClr val="accent2"/>
            </a:solidFill>
            <a:ln>
              <a:noFill/>
            </a:ln>
            <a:effectLst/>
          </c:spPr>
          <c:invertIfNegative val="0"/>
          <c:cat>
            <c:multiLvlStrRef>
              <c:f>'Graphs 3'!$C$22:$R$24</c:f>
              <c:multiLvlStrCache>
                <c:ptCount val="16"/>
                <c:lvl>
                  <c:pt idx="0">
                    <c:v>Average US</c:v>
                  </c:pt>
                  <c:pt idx="1">
                    <c:v>RFCW</c:v>
                  </c:pt>
                  <c:pt idx="2">
                    <c:v>FRCC</c:v>
                  </c:pt>
                  <c:pt idx="3">
                    <c:v>CAMX</c:v>
                  </c:pt>
                  <c:pt idx="4">
                    <c:v>Average US</c:v>
                  </c:pt>
                  <c:pt idx="5">
                    <c:v>RFCW</c:v>
                  </c:pt>
                  <c:pt idx="6">
                    <c:v>FRCC</c:v>
                  </c:pt>
                  <c:pt idx="7">
                    <c:v>CAMX</c:v>
                  </c:pt>
                  <c:pt idx="8">
                    <c:v>Average US</c:v>
                  </c:pt>
                  <c:pt idx="9">
                    <c:v>RFCW</c:v>
                  </c:pt>
                  <c:pt idx="10">
                    <c:v>FRCC</c:v>
                  </c:pt>
                  <c:pt idx="11">
                    <c:v>CAMX</c:v>
                  </c:pt>
                  <c:pt idx="12">
                    <c:v>Average US</c:v>
                  </c:pt>
                  <c:pt idx="13">
                    <c:v>RFCW</c:v>
                  </c:pt>
                  <c:pt idx="14">
                    <c:v>FRCC</c:v>
                  </c:pt>
                  <c:pt idx="15">
                    <c:v>CAMX</c:v>
                  </c:pt>
                </c:lvl>
                <c:lvl>
                  <c:pt idx="0">
                    <c:v>Large</c:v>
                  </c:pt>
                  <c:pt idx="4">
                    <c:v>Medium</c:v>
                  </c:pt>
                  <c:pt idx="8">
                    <c:v>Large</c:v>
                  </c:pt>
                  <c:pt idx="12">
                    <c:v>Medium</c:v>
                  </c:pt>
                </c:lvl>
                <c:lvl>
                  <c:pt idx="0">
                    <c:v>Watergen</c:v>
                  </c:pt>
                  <c:pt idx="8">
                    <c:v>Ecoloblue</c:v>
                  </c:pt>
                </c:lvl>
              </c:multiLvlStrCache>
            </c:multiLvlStrRef>
          </c:cat>
          <c:val>
            <c:numRef>
              <c:f>'Graphs 3'!$C$27:$R$27</c:f>
              <c:numCache>
                <c:formatCode>General</c:formatCode>
                <c:ptCount val="16"/>
                <c:pt idx="0">
                  <c:v>0.63133434447879044</c:v>
                </c:pt>
                <c:pt idx="1">
                  <c:v>0.83333333333333337</c:v>
                </c:pt>
                <c:pt idx="2">
                  <c:v>0.74418195057010705</c:v>
                </c:pt>
                <c:pt idx="3">
                  <c:v>0.47777426115617749</c:v>
                </c:pt>
                <c:pt idx="4">
                  <c:v>7.9367746163047939E-2</c:v>
                </c:pt>
                <c:pt idx="5">
                  <c:v>0.10476190476190476</c:v>
                </c:pt>
                <c:pt idx="6">
                  <c:v>9.3554302357384878E-2</c:v>
                </c:pt>
                <c:pt idx="7">
                  <c:v>6.0063049973919452E-2</c:v>
                </c:pt>
                <c:pt idx="8">
                  <c:v>0.75760121337454855</c:v>
                </c:pt>
                <c:pt idx="9">
                  <c:v>1</c:v>
                </c:pt>
                <c:pt idx="10">
                  <c:v>0.89301834068412844</c:v>
                </c:pt>
                <c:pt idx="11">
                  <c:v>0.57332911338741299</c:v>
                </c:pt>
                <c:pt idx="12">
                  <c:v>0.14791261784931659</c:v>
                </c:pt>
                <c:pt idx="13">
                  <c:v>0.19523809523809521</c:v>
                </c:pt>
                <c:pt idx="14">
                  <c:v>0.17435119984785363</c:v>
                </c:pt>
                <c:pt idx="15">
                  <c:v>0.11193568404230443</c:v>
                </c:pt>
              </c:numCache>
            </c:numRef>
          </c:val>
          <c:extLst>
            <c:ext xmlns:c16="http://schemas.microsoft.com/office/drawing/2014/chart" uri="{C3380CC4-5D6E-409C-BE32-E72D297353CC}">
              <c16:uniqueId val="{00000002-71A3-4905-9BC3-0055453E606D}"/>
            </c:ext>
          </c:extLst>
        </c:ser>
        <c:ser>
          <c:idx val="3"/>
          <c:order val="3"/>
          <c:tx>
            <c:strRef>
              <c:f>'Graphs 3'!$A$28:$B$28</c:f>
              <c:strCache>
                <c:ptCount val="2"/>
                <c:pt idx="0">
                  <c:v>Water Consumption</c:v>
                </c:pt>
              </c:strCache>
            </c:strRef>
          </c:tx>
          <c:spPr>
            <a:solidFill>
              <a:srgbClr val="7030A0"/>
            </a:solidFill>
            <a:ln>
              <a:noFill/>
            </a:ln>
            <a:effectLst/>
          </c:spPr>
          <c:invertIfNegative val="0"/>
          <c:cat>
            <c:multiLvlStrRef>
              <c:f>'Graphs 3'!$C$22:$R$24</c:f>
              <c:multiLvlStrCache>
                <c:ptCount val="16"/>
                <c:lvl>
                  <c:pt idx="0">
                    <c:v>Average US</c:v>
                  </c:pt>
                  <c:pt idx="1">
                    <c:v>RFCW</c:v>
                  </c:pt>
                  <c:pt idx="2">
                    <c:v>FRCC</c:v>
                  </c:pt>
                  <c:pt idx="3">
                    <c:v>CAMX</c:v>
                  </c:pt>
                  <c:pt idx="4">
                    <c:v>Average US</c:v>
                  </c:pt>
                  <c:pt idx="5">
                    <c:v>RFCW</c:v>
                  </c:pt>
                  <c:pt idx="6">
                    <c:v>FRCC</c:v>
                  </c:pt>
                  <c:pt idx="7">
                    <c:v>CAMX</c:v>
                  </c:pt>
                  <c:pt idx="8">
                    <c:v>Average US</c:v>
                  </c:pt>
                  <c:pt idx="9">
                    <c:v>RFCW</c:v>
                  </c:pt>
                  <c:pt idx="10">
                    <c:v>FRCC</c:v>
                  </c:pt>
                  <c:pt idx="11">
                    <c:v>CAMX</c:v>
                  </c:pt>
                  <c:pt idx="12">
                    <c:v>Average US</c:v>
                  </c:pt>
                  <c:pt idx="13">
                    <c:v>RFCW</c:v>
                  </c:pt>
                  <c:pt idx="14">
                    <c:v>FRCC</c:v>
                  </c:pt>
                  <c:pt idx="15">
                    <c:v>CAMX</c:v>
                  </c:pt>
                </c:lvl>
                <c:lvl>
                  <c:pt idx="0">
                    <c:v>Large</c:v>
                  </c:pt>
                  <c:pt idx="4">
                    <c:v>Medium</c:v>
                  </c:pt>
                  <c:pt idx="8">
                    <c:v>Large</c:v>
                  </c:pt>
                  <c:pt idx="12">
                    <c:v>Medium</c:v>
                  </c:pt>
                </c:lvl>
                <c:lvl>
                  <c:pt idx="0">
                    <c:v>Watergen</c:v>
                  </c:pt>
                  <c:pt idx="8">
                    <c:v>Ecoloblue</c:v>
                  </c:pt>
                </c:lvl>
              </c:multiLvlStrCache>
            </c:multiLvlStrRef>
          </c:cat>
          <c:val>
            <c:numRef>
              <c:f>'Graphs 3'!$C$28:$R$28</c:f>
              <c:numCache>
                <c:formatCode>General</c:formatCode>
                <c:ptCount val="16"/>
                <c:pt idx="0">
                  <c:v>0.82889363973843733</c:v>
                </c:pt>
                <c:pt idx="1">
                  <c:v>0.63372478543695931</c:v>
                </c:pt>
                <c:pt idx="2">
                  <c:v>0.40765075233294734</c:v>
                </c:pt>
                <c:pt idx="3">
                  <c:v>0.89009604250391672</c:v>
                </c:pt>
                <c:pt idx="4">
                  <c:v>0.10679863855777308</c:v>
                </c:pt>
                <c:pt idx="5">
                  <c:v>8.2263125445587254E-2</c:v>
                </c:pt>
                <c:pt idx="6">
                  <c:v>5.3842389855368614E-2</c:v>
                </c:pt>
                <c:pt idx="7">
                  <c:v>0.11449265490543332</c:v>
                </c:pt>
                <c:pt idx="8">
                  <c:v>0.92655711668142493</c:v>
                </c:pt>
                <c:pt idx="9">
                  <c:v>0.69235449151965123</c:v>
                </c:pt>
                <c:pt idx="10">
                  <c:v>0.42106565179483685</c:v>
                </c:pt>
                <c:pt idx="11">
                  <c:v>1</c:v>
                </c:pt>
                <c:pt idx="12">
                  <c:v>0.18252103828077101</c:v>
                </c:pt>
                <c:pt idx="13">
                  <c:v>0.13679576384442477</c:v>
                </c:pt>
                <c:pt idx="14">
                  <c:v>8.3829847517199088E-2</c:v>
                </c:pt>
                <c:pt idx="15">
                  <c:v>0.19685988692868331</c:v>
                </c:pt>
              </c:numCache>
            </c:numRef>
          </c:val>
          <c:extLst>
            <c:ext xmlns:c16="http://schemas.microsoft.com/office/drawing/2014/chart" uri="{C3380CC4-5D6E-409C-BE32-E72D297353CC}">
              <c16:uniqueId val="{00000003-71A3-4905-9BC3-0055453E606D}"/>
            </c:ext>
          </c:extLst>
        </c:ser>
        <c:dLbls>
          <c:showLegendKey val="0"/>
          <c:showVal val="0"/>
          <c:showCatName val="0"/>
          <c:showSerName val="0"/>
          <c:showPercent val="0"/>
          <c:showBubbleSize val="0"/>
        </c:dLbls>
        <c:gapWidth val="219"/>
        <c:overlap val="-27"/>
        <c:axId val="824758768"/>
        <c:axId val="824754832"/>
      </c:barChart>
      <c:catAx>
        <c:axId val="82475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24754832"/>
        <c:crosses val="autoZero"/>
        <c:auto val="1"/>
        <c:lblAlgn val="ctr"/>
        <c:lblOffset val="100"/>
        <c:noMultiLvlLbl val="0"/>
      </c:catAx>
      <c:valAx>
        <c:axId val="82475483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Percent of Maximum</a:t>
                </a:r>
              </a:p>
            </c:rich>
          </c:tx>
          <c:layout>
            <c:manualLayout>
              <c:xMode val="edge"/>
              <c:yMode val="edge"/>
              <c:x val="1.9683693384480783E-2"/>
              <c:y val="0.15370767630424151"/>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824758768"/>
        <c:crosses val="autoZero"/>
        <c:crossBetween val="between"/>
      </c:valAx>
      <c:spPr>
        <a:ln>
          <a:noFill/>
        </a:ln>
      </c:spPr>
    </c:plotArea>
    <c:legend>
      <c:legendPos val="b"/>
      <c:layout>
        <c:manualLayout>
          <c:xMode val="edge"/>
          <c:yMode val="edge"/>
          <c:x val="4.9999999999999989E-2"/>
          <c:y val="0.9326208101008735"/>
          <c:w val="0.9"/>
          <c:h val="6.737918989912646E-2"/>
        </c:manualLayout>
      </c:layout>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a:solidFill>
            <a:schemeClr val="tx1"/>
          </a:solidFill>
          <a:latin typeface="+mj-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 4'!$B$40</c:f>
              <c:strCache>
                <c:ptCount val="1"/>
                <c:pt idx="0">
                  <c:v>Watergen LS</c:v>
                </c:pt>
              </c:strCache>
            </c:strRef>
          </c:tx>
          <c:spPr>
            <a:solidFill>
              <a:srgbClr val="C0000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4602-4110-ACF4-AC6727C6C12A}"/>
              </c:ext>
            </c:extLst>
          </c:dPt>
          <c:dPt>
            <c:idx val="1"/>
            <c:invertIfNegative val="0"/>
            <c:bubble3D val="0"/>
            <c:spPr>
              <a:solidFill>
                <a:srgbClr val="C00000"/>
              </a:solidFill>
              <a:ln>
                <a:noFill/>
              </a:ln>
              <a:effectLst/>
            </c:spPr>
            <c:extLst>
              <c:ext xmlns:c16="http://schemas.microsoft.com/office/drawing/2014/chart" uri="{C3380CC4-5D6E-409C-BE32-E72D297353CC}">
                <c16:uniqueId val="{00000003-4602-4110-ACF4-AC6727C6C12A}"/>
              </c:ext>
            </c:extLst>
          </c:dPt>
          <c:dPt>
            <c:idx val="2"/>
            <c:invertIfNegative val="0"/>
            <c:bubble3D val="0"/>
            <c:spPr>
              <a:solidFill>
                <a:srgbClr val="C00000"/>
              </a:solidFill>
              <a:ln>
                <a:noFill/>
              </a:ln>
              <a:effectLst/>
            </c:spPr>
            <c:extLst>
              <c:ext xmlns:c16="http://schemas.microsoft.com/office/drawing/2014/chart" uri="{C3380CC4-5D6E-409C-BE32-E72D297353CC}">
                <c16:uniqueId val="{00000005-4602-4110-ACF4-AC6727C6C12A}"/>
              </c:ext>
            </c:extLst>
          </c:dPt>
          <c:dPt>
            <c:idx val="3"/>
            <c:invertIfNegative val="0"/>
            <c:bubble3D val="0"/>
            <c:spPr>
              <a:solidFill>
                <a:srgbClr val="C00000"/>
              </a:solidFill>
              <a:ln>
                <a:noFill/>
              </a:ln>
              <a:effectLst/>
            </c:spPr>
            <c:extLst>
              <c:ext xmlns:c16="http://schemas.microsoft.com/office/drawing/2014/chart" uri="{C3380CC4-5D6E-409C-BE32-E72D297353CC}">
                <c16:uniqueId val="{00000007-4602-4110-ACF4-AC6727C6C12A}"/>
              </c:ext>
            </c:extLst>
          </c:dPt>
          <c:dPt>
            <c:idx val="4"/>
            <c:invertIfNegative val="0"/>
            <c:bubble3D val="0"/>
            <c:spPr>
              <a:solidFill>
                <a:srgbClr val="C00000"/>
              </a:solidFill>
              <a:ln>
                <a:noFill/>
              </a:ln>
              <a:effectLst/>
            </c:spPr>
            <c:extLst>
              <c:ext xmlns:c16="http://schemas.microsoft.com/office/drawing/2014/chart" uri="{C3380CC4-5D6E-409C-BE32-E72D297353CC}">
                <c16:uniqueId val="{00000009-4602-4110-ACF4-AC6727C6C12A}"/>
              </c:ext>
            </c:extLst>
          </c:dPt>
          <c:dPt>
            <c:idx val="5"/>
            <c:invertIfNegative val="0"/>
            <c:bubble3D val="0"/>
            <c:spPr>
              <a:solidFill>
                <a:srgbClr val="C00000"/>
              </a:solidFill>
              <a:ln>
                <a:noFill/>
              </a:ln>
              <a:effectLst/>
            </c:spPr>
            <c:extLst>
              <c:ext xmlns:c16="http://schemas.microsoft.com/office/drawing/2014/chart" uri="{C3380CC4-5D6E-409C-BE32-E72D297353CC}">
                <c16:uniqueId val="{0000000B-4602-4110-ACF4-AC6727C6C12A}"/>
              </c:ext>
            </c:extLst>
          </c:dPt>
          <c:dPt>
            <c:idx val="6"/>
            <c:invertIfNegative val="0"/>
            <c:bubble3D val="0"/>
            <c:spPr>
              <a:solidFill>
                <a:srgbClr val="C00000"/>
              </a:solidFill>
              <a:ln>
                <a:noFill/>
              </a:ln>
              <a:effectLst/>
            </c:spPr>
            <c:extLst>
              <c:ext xmlns:c16="http://schemas.microsoft.com/office/drawing/2014/chart" uri="{C3380CC4-5D6E-409C-BE32-E72D297353CC}">
                <c16:uniqueId val="{0000000D-4602-4110-ACF4-AC6727C6C12A}"/>
              </c:ext>
            </c:extLst>
          </c:dPt>
          <c:dPt>
            <c:idx val="7"/>
            <c:invertIfNegative val="0"/>
            <c:bubble3D val="0"/>
            <c:spPr>
              <a:solidFill>
                <a:srgbClr val="C00000"/>
              </a:solidFill>
              <a:ln>
                <a:noFill/>
              </a:ln>
              <a:effectLst/>
            </c:spPr>
            <c:extLst>
              <c:ext xmlns:c16="http://schemas.microsoft.com/office/drawing/2014/chart" uri="{C3380CC4-5D6E-409C-BE32-E72D297353CC}">
                <c16:uniqueId val="{0000000F-4602-4110-ACF4-AC6727C6C12A}"/>
              </c:ext>
            </c:extLst>
          </c:dPt>
          <c:dPt>
            <c:idx val="8"/>
            <c:invertIfNegative val="0"/>
            <c:bubble3D val="0"/>
            <c:spPr>
              <a:solidFill>
                <a:srgbClr val="C00000"/>
              </a:solidFill>
              <a:ln>
                <a:noFill/>
              </a:ln>
              <a:effectLst/>
            </c:spPr>
            <c:extLst>
              <c:ext xmlns:c16="http://schemas.microsoft.com/office/drawing/2014/chart" uri="{C3380CC4-5D6E-409C-BE32-E72D297353CC}">
                <c16:uniqueId val="{00000011-4602-4110-ACF4-AC6727C6C12A}"/>
              </c:ext>
            </c:extLst>
          </c:dPt>
          <c:errBars>
            <c:errBarType val="both"/>
            <c:errValType val="cust"/>
            <c:noEndCap val="0"/>
            <c:plus>
              <c:numRef>
                <c:f>'Graphs 4'!$B$17:$B$25</c:f>
                <c:numCache>
                  <c:formatCode>General</c:formatCode>
                  <c:ptCount val="9"/>
                  <c:pt idx="0">
                    <c:v>2.2799999999999036E-6</c:v>
                  </c:pt>
                  <c:pt idx="1">
                    <c:v>5.925022000000002E-3</c:v>
                  </c:pt>
                  <c:pt idx="2">
                    <c:v>1.3120000000000003E-6</c:v>
                  </c:pt>
                  <c:pt idx="3">
                    <c:v>1.0571599999999182E-4</c:v>
                  </c:pt>
                  <c:pt idx="4">
                    <c:v>6.5646700000002167E-4</c:v>
                  </c:pt>
                  <c:pt idx="5">
                    <c:v>8.6400000000000393E-7</c:v>
                  </c:pt>
                  <c:pt idx="6">
                    <c:v>2.9166000000000608E-5</c:v>
                  </c:pt>
                  <c:pt idx="7">
                    <c:v>0</c:v>
                  </c:pt>
                  <c:pt idx="8">
                    <c:v>2.6500000000000412E-3</c:v>
                  </c:pt>
                </c:numCache>
              </c:numRef>
            </c:plus>
            <c:minus>
              <c:numRef>
                <c:f>'Graphs 4'!$B$17:$B$25</c:f>
                <c:numCache>
                  <c:formatCode>General</c:formatCode>
                  <c:ptCount val="9"/>
                  <c:pt idx="0">
                    <c:v>2.2799999999999036E-6</c:v>
                  </c:pt>
                  <c:pt idx="1">
                    <c:v>5.925022000000002E-3</c:v>
                  </c:pt>
                  <c:pt idx="2">
                    <c:v>1.3120000000000003E-6</c:v>
                  </c:pt>
                  <c:pt idx="3">
                    <c:v>1.0571599999999182E-4</c:v>
                  </c:pt>
                  <c:pt idx="4">
                    <c:v>6.5646700000002167E-4</c:v>
                  </c:pt>
                  <c:pt idx="5">
                    <c:v>8.6400000000000393E-7</c:v>
                  </c:pt>
                  <c:pt idx="6">
                    <c:v>2.9166000000000608E-5</c:v>
                  </c:pt>
                  <c:pt idx="7">
                    <c:v>0</c:v>
                  </c:pt>
                  <c:pt idx="8">
                    <c:v>2.6500000000000412E-3</c:v>
                  </c:pt>
                </c:numCache>
              </c:numRef>
            </c:minus>
            <c:spPr>
              <a:noFill/>
              <a:ln w="9525" cap="flat" cmpd="sng" algn="ctr">
                <a:solidFill>
                  <a:schemeClr val="tx1">
                    <a:lumMod val="65000"/>
                    <a:lumOff val="35000"/>
                  </a:schemeClr>
                </a:solidFill>
                <a:round/>
              </a:ln>
              <a:effectLst/>
            </c:spPr>
          </c:errBars>
          <c:cat>
            <c:strRef>
              <c:f>'Graphs 4'!$A$41:$A$49</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 4'!$B$41:$B$49</c:f>
              <c:numCache>
                <c:formatCode>0.00%</c:formatCode>
                <c:ptCount val="9"/>
                <c:pt idx="0">
                  <c:v>1.1687877849643309</c:v>
                </c:pt>
                <c:pt idx="1">
                  <c:v>1.1532676497378973</c:v>
                </c:pt>
                <c:pt idx="2">
                  <c:v>1.0310576512103169</c:v>
                </c:pt>
                <c:pt idx="3">
                  <c:v>1.1481784246942879</c:v>
                </c:pt>
                <c:pt idx="4">
                  <c:v>1.1547076576603925</c:v>
                </c:pt>
                <c:pt idx="5">
                  <c:v>1.1817547156167632</c:v>
                </c:pt>
                <c:pt idx="6">
                  <c:v>1.1691523418828353</c:v>
                </c:pt>
                <c:pt idx="7">
                  <c:v>1.1702588893095589</c:v>
                </c:pt>
                <c:pt idx="8">
                  <c:v>1.1419895856344078</c:v>
                </c:pt>
              </c:numCache>
            </c:numRef>
          </c:val>
          <c:extLst>
            <c:ext xmlns:c16="http://schemas.microsoft.com/office/drawing/2014/chart" uri="{C3380CC4-5D6E-409C-BE32-E72D297353CC}">
              <c16:uniqueId val="{00000012-4602-4110-ACF4-AC6727C6C12A}"/>
            </c:ext>
          </c:extLst>
        </c:ser>
        <c:ser>
          <c:idx val="1"/>
          <c:order val="1"/>
          <c:tx>
            <c:strRef>
              <c:f>'Graphs 4'!$C$40</c:f>
              <c:strCache>
                <c:ptCount val="1"/>
                <c:pt idx="0">
                  <c:v>Watergen MS</c:v>
                </c:pt>
              </c:strCache>
            </c:strRef>
          </c:tx>
          <c:spPr>
            <a:solidFill>
              <a:srgbClr val="7030A0"/>
            </a:solidFill>
            <a:ln>
              <a:noFill/>
            </a:ln>
            <a:effectLst/>
          </c:spPr>
          <c:invertIfNegative val="0"/>
          <c:errBars>
            <c:errBarType val="both"/>
            <c:errValType val="cust"/>
            <c:noEndCap val="0"/>
            <c:plus>
              <c:numRef>
                <c:f>'Graphs 4'!$C$17:$C$25</c:f>
                <c:numCache>
                  <c:formatCode>General</c:formatCode>
                  <c:ptCount val="9"/>
                  <c:pt idx="0">
                    <c:v>1.1488670071480587E-4</c:v>
                  </c:pt>
                  <c:pt idx="1">
                    <c:v>0.29495248379905714</c:v>
                  </c:pt>
                  <c:pt idx="2">
                    <c:v>6.8076310599162265E-5</c:v>
                  </c:pt>
                  <c:pt idx="3">
                    <c:v>5.2076355392687984E-3</c:v>
                  </c:pt>
                  <c:pt idx="4">
                    <c:v>2.9520524494627498E-2</c:v>
                  </c:pt>
                  <c:pt idx="5">
                    <c:v>4.5016037652522312E-5</c:v>
                  </c:pt>
                  <c:pt idx="6">
                    <c:v>1.4928428337279177E-3</c:v>
                  </c:pt>
                  <c:pt idx="7">
                    <c:v>0</c:v>
                  </c:pt>
                  <c:pt idx="8">
                    <c:v>0.1305499908941905</c:v>
                  </c:pt>
                </c:numCache>
              </c:numRef>
            </c:plus>
            <c:minus>
              <c:numRef>
                <c:f>'Graphs 4'!$C$17:$C$25</c:f>
                <c:numCache>
                  <c:formatCode>General</c:formatCode>
                  <c:ptCount val="9"/>
                  <c:pt idx="0">
                    <c:v>1.1488670071480587E-4</c:v>
                  </c:pt>
                  <c:pt idx="1">
                    <c:v>0.29495248379905714</c:v>
                  </c:pt>
                  <c:pt idx="2">
                    <c:v>6.8076310599162265E-5</c:v>
                  </c:pt>
                  <c:pt idx="3">
                    <c:v>5.2076355392687984E-3</c:v>
                  </c:pt>
                  <c:pt idx="4">
                    <c:v>2.9520524494627498E-2</c:v>
                  </c:pt>
                  <c:pt idx="5">
                    <c:v>4.5016037652522312E-5</c:v>
                  </c:pt>
                  <c:pt idx="6">
                    <c:v>1.4928428337279177E-3</c:v>
                  </c:pt>
                  <c:pt idx="7">
                    <c:v>0</c:v>
                  </c:pt>
                  <c:pt idx="8">
                    <c:v>0.1305499908941905</c:v>
                  </c:pt>
                </c:numCache>
              </c:numRef>
            </c:minus>
            <c:spPr>
              <a:noFill/>
              <a:ln w="9525" cap="flat" cmpd="sng" algn="ctr">
                <a:solidFill>
                  <a:schemeClr val="tx1">
                    <a:lumMod val="65000"/>
                    <a:lumOff val="35000"/>
                  </a:schemeClr>
                </a:solidFill>
                <a:round/>
              </a:ln>
              <a:effectLst/>
            </c:spPr>
          </c:errBars>
          <c:cat>
            <c:strRef>
              <c:f>'Graphs 4'!$A$41:$A$49</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 4'!$C$41:$C$49</c:f>
              <c:numCache>
                <c:formatCode>0.00%</c:formatCode>
                <c:ptCount val="9"/>
                <c:pt idx="0">
                  <c:v>1.1088264349627506</c:v>
                </c:pt>
                <c:pt idx="1">
                  <c:v>1.0939193908220906</c:v>
                </c:pt>
                <c:pt idx="2">
                  <c:v>1.1643919138143348</c:v>
                </c:pt>
                <c:pt idx="3">
                  <c:v>1.0886393300121273</c:v>
                </c:pt>
                <c:pt idx="4">
                  <c:v>1.0982790436363361</c:v>
                </c:pt>
                <c:pt idx="5">
                  <c:v>1.1655173052227301</c:v>
                </c:pt>
                <c:pt idx="6">
                  <c:v>1.112337476032015</c:v>
                </c:pt>
                <c:pt idx="7">
                  <c:v>1.1033869527775841</c:v>
                </c:pt>
                <c:pt idx="8">
                  <c:v>1.107830091269741</c:v>
                </c:pt>
              </c:numCache>
            </c:numRef>
          </c:val>
          <c:extLst>
            <c:ext xmlns:c16="http://schemas.microsoft.com/office/drawing/2014/chart" uri="{C3380CC4-5D6E-409C-BE32-E72D297353CC}">
              <c16:uniqueId val="{00000013-4602-4110-ACF4-AC6727C6C12A}"/>
            </c:ext>
          </c:extLst>
        </c:ser>
        <c:ser>
          <c:idx val="2"/>
          <c:order val="2"/>
          <c:tx>
            <c:strRef>
              <c:f>'Graphs 4'!$D$40</c:f>
              <c:strCache>
                <c:ptCount val="1"/>
                <c:pt idx="0">
                  <c:v>Watergen H/O</c:v>
                </c:pt>
              </c:strCache>
            </c:strRef>
          </c:tx>
          <c:spPr>
            <a:solidFill>
              <a:srgbClr val="B88BBF"/>
            </a:solidFill>
            <a:ln>
              <a:noFill/>
            </a:ln>
            <a:effectLst/>
          </c:spPr>
          <c:invertIfNegative val="0"/>
          <c:errBars>
            <c:errBarType val="both"/>
            <c:errValType val="cust"/>
            <c:noEndCap val="0"/>
            <c:plus>
              <c:numRef>
                <c:f>'Graphs 4'!$D$17:$D$25</c:f>
                <c:numCache>
                  <c:formatCode>General</c:formatCode>
                  <c:ptCount val="9"/>
                  <c:pt idx="0">
                    <c:v>8.4381800000000833E-6</c:v>
                  </c:pt>
                  <c:pt idx="1">
                    <c:v>2.270945280000003E-2</c:v>
                  </c:pt>
                  <c:pt idx="2">
                    <c:v>4.8024E-6</c:v>
                  </c:pt>
                  <c:pt idx="3">
                    <c:v>4.0760125600000641E-4</c:v>
                  </c:pt>
                  <c:pt idx="4">
                    <c:v>2.4140000000000272E-3</c:v>
                  </c:pt>
                  <c:pt idx="5">
                    <c:v>3.001642740000004E-6</c:v>
                  </c:pt>
                  <c:pt idx="6">
                    <c:v>1.083299999999985E-4</c:v>
                  </c:pt>
                  <c:pt idx="7">
                    <c:v>0</c:v>
                  </c:pt>
                  <c:pt idx="8">
                    <c:v>1.1199999999999877E-2</c:v>
                  </c:pt>
                </c:numCache>
              </c:numRef>
            </c:plus>
            <c:minus>
              <c:numRef>
                <c:f>'Graphs 4'!$D$17:$D$25</c:f>
                <c:numCache>
                  <c:formatCode>General</c:formatCode>
                  <c:ptCount val="9"/>
                  <c:pt idx="0">
                    <c:v>8.4381800000000833E-6</c:v>
                  </c:pt>
                  <c:pt idx="1">
                    <c:v>2.270945280000003E-2</c:v>
                  </c:pt>
                  <c:pt idx="2">
                    <c:v>4.8024E-6</c:v>
                  </c:pt>
                  <c:pt idx="3">
                    <c:v>4.0760125600000641E-4</c:v>
                  </c:pt>
                  <c:pt idx="4">
                    <c:v>2.4140000000000272E-3</c:v>
                  </c:pt>
                  <c:pt idx="5">
                    <c:v>3.001642740000004E-6</c:v>
                  </c:pt>
                  <c:pt idx="6">
                    <c:v>1.083299999999985E-4</c:v>
                  </c:pt>
                  <c:pt idx="7">
                    <c:v>0</c:v>
                  </c:pt>
                  <c:pt idx="8">
                    <c:v>1.1199999999999877E-2</c:v>
                  </c:pt>
                </c:numCache>
              </c:numRef>
            </c:minus>
            <c:spPr>
              <a:noFill/>
              <a:ln w="9525" cap="flat" cmpd="sng" algn="ctr">
                <a:solidFill>
                  <a:schemeClr val="tx1">
                    <a:lumMod val="65000"/>
                    <a:lumOff val="35000"/>
                  </a:schemeClr>
                </a:solidFill>
                <a:round/>
              </a:ln>
              <a:effectLst/>
            </c:spPr>
          </c:errBars>
          <c:cat>
            <c:strRef>
              <c:f>'Graphs 4'!$A$41:$A$49</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 4'!$D$41:$D$49</c:f>
              <c:numCache>
                <c:formatCode>0.00%</c:formatCode>
                <c:ptCount val="9"/>
                <c:pt idx="0">
                  <c:v>1.0102284998703761</c:v>
                </c:pt>
                <c:pt idx="1">
                  <c:v>0.99725191141530123</c:v>
                </c:pt>
                <c:pt idx="2">
                  <c:v>1.1042470889521225</c:v>
                </c:pt>
                <c:pt idx="3">
                  <c:v>0.99248736080908218</c:v>
                </c:pt>
                <c:pt idx="4">
                  <c:v>1.004296030981868</c:v>
                </c:pt>
                <c:pt idx="5">
                  <c:v>1.0664474293661905</c:v>
                </c:pt>
                <c:pt idx="6">
                  <c:v>1.0141634425603669</c:v>
                </c:pt>
                <c:pt idx="7">
                  <c:v>1.0030790479796219</c:v>
                </c:pt>
                <c:pt idx="8">
                  <c:v>1.0525701396414919</c:v>
                </c:pt>
              </c:numCache>
            </c:numRef>
          </c:val>
          <c:extLst>
            <c:ext xmlns:c16="http://schemas.microsoft.com/office/drawing/2014/chart" uri="{C3380CC4-5D6E-409C-BE32-E72D297353CC}">
              <c16:uniqueId val="{00000014-4602-4110-ACF4-AC6727C6C12A}"/>
            </c:ext>
          </c:extLst>
        </c:ser>
        <c:ser>
          <c:idx val="3"/>
          <c:order val="3"/>
          <c:tx>
            <c:strRef>
              <c:f>'Graphs 4'!$E$40</c:f>
              <c:strCache>
                <c:ptCount val="1"/>
                <c:pt idx="0">
                  <c:v>Ecoloblue LS</c:v>
                </c:pt>
              </c:strCache>
            </c:strRef>
          </c:tx>
          <c:spPr>
            <a:solidFill>
              <a:schemeClr val="accent1">
                <a:lumMod val="50000"/>
              </a:schemeClr>
            </a:solidFill>
            <a:ln>
              <a:noFill/>
            </a:ln>
            <a:effectLst/>
          </c:spPr>
          <c:invertIfNegative val="0"/>
          <c:errBars>
            <c:errBarType val="both"/>
            <c:errValType val="cust"/>
            <c:noEndCap val="0"/>
            <c:plus>
              <c:numRef>
                <c:f>'Graphs 4'!$E$17:$E$25</c:f>
                <c:numCache>
                  <c:formatCode>General</c:formatCode>
                  <c:ptCount val="9"/>
                  <c:pt idx="0">
                    <c:v>5.7055833052464767E-5</c:v>
                  </c:pt>
                  <c:pt idx="1">
                    <c:v>0.15254044777850151</c:v>
                  </c:pt>
                  <c:pt idx="2">
                    <c:v>3.2853718247857178E-5</c:v>
                  </c:pt>
                  <c:pt idx="3">
                    <c:v>2.7498301133697528E-3</c:v>
                  </c:pt>
                  <c:pt idx="4">
                    <c:v>1.6468662776772919E-2</c:v>
                  </c:pt>
                  <c:pt idx="5">
                    <c:v>2.1666300002275848E-5</c:v>
                  </c:pt>
                  <c:pt idx="6">
                    <c:v>7.4303102847735926E-4</c:v>
                  </c:pt>
                  <c:pt idx="7">
                    <c:v>0</c:v>
                  </c:pt>
                  <c:pt idx="8">
                    <c:v>6.4364946306244786E-2</c:v>
                  </c:pt>
                </c:numCache>
              </c:numRef>
            </c:plus>
            <c:minus>
              <c:numRef>
                <c:f>'Graphs 4'!$E$17:$E$25</c:f>
                <c:numCache>
                  <c:formatCode>General</c:formatCode>
                  <c:ptCount val="9"/>
                  <c:pt idx="0">
                    <c:v>5.7055833052464767E-5</c:v>
                  </c:pt>
                  <c:pt idx="1">
                    <c:v>0.15254044777850151</c:v>
                  </c:pt>
                  <c:pt idx="2">
                    <c:v>3.2853718247857178E-5</c:v>
                  </c:pt>
                  <c:pt idx="3">
                    <c:v>2.7498301133697528E-3</c:v>
                  </c:pt>
                  <c:pt idx="4">
                    <c:v>1.6468662776772919E-2</c:v>
                  </c:pt>
                  <c:pt idx="5">
                    <c:v>2.1666300002275848E-5</c:v>
                  </c:pt>
                  <c:pt idx="6">
                    <c:v>7.4303102847735926E-4</c:v>
                  </c:pt>
                  <c:pt idx="7">
                    <c:v>0</c:v>
                  </c:pt>
                  <c:pt idx="8">
                    <c:v>6.4364946306244786E-2</c:v>
                  </c:pt>
                </c:numCache>
              </c:numRef>
            </c:minus>
            <c:spPr>
              <a:noFill/>
              <a:ln w="9525" cap="flat" cmpd="sng" algn="ctr">
                <a:solidFill>
                  <a:schemeClr val="tx1">
                    <a:lumMod val="65000"/>
                    <a:lumOff val="35000"/>
                  </a:schemeClr>
                </a:solidFill>
                <a:round/>
              </a:ln>
              <a:effectLst/>
            </c:spPr>
          </c:errBars>
          <c:cat>
            <c:strRef>
              <c:f>'Graphs 4'!$A$41:$A$49</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 4'!$E$41:$E$49</c:f>
              <c:numCache>
                <c:formatCode>0.00%</c:formatCode>
                <c:ptCount val="9"/>
                <c:pt idx="0">
                  <c:v>1.3992825008573633</c:v>
                </c:pt>
                <c:pt idx="1">
                  <c:v>1.3808346351787002</c:v>
                </c:pt>
                <c:pt idx="2">
                  <c:v>1.1502489093236896</c:v>
                </c:pt>
                <c:pt idx="3">
                  <c:v>1.3749382742561735</c:v>
                </c:pt>
                <c:pt idx="4">
                  <c:v>1.3799643350494091</c:v>
                </c:pt>
                <c:pt idx="5">
                  <c:v>1.3951032764927171</c:v>
                </c:pt>
                <c:pt idx="6">
                  <c:v>1.3984480034132902</c:v>
                </c:pt>
                <c:pt idx="7">
                  <c:v>1.4043106671714707</c:v>
                </c:pt>
                <c:pt idx="8">
                  <c:v>1.2746166820895604</c:v>
                </c:pt>
              </c:numCache>
            </c:numRef>
          </c:val>
          <c:extLst>
            <c:ext xmlns:c16="http://schemas.microsoft.com/office/drawing/2014/chart" uri="{C3380CC4-5D6E-409C-BE32-E72D297353CC}">
              <c16:uniqueId val="{00000015-4602-4110-ACF4-AC6727C6C12A}"/>
            </c:ext>
          </c:extLst>
        </c:ser>
        <c:ser>
          <c:idx val="4"/>
          <c:order val="4"/>
          <c:tx>
            <c:strRef>
              <c:f>'Graphs 4'!$F$40</c:f>
              <c:strCache>
                <c:ptCount val="1"/>
                <c:pt idx="0">
                  <c:v>Ecoloblue MS</c:v>
                </c:pt>
              </c:strCache>
            </c:strRef>
          </c:tx>
          <c:spPr>
            <a:solidFill>
              <a:srgbClr val="00B0F0"/>
            </a:solidFill>
            <a:ln>
              <a:noFill/>
            </a:ln>
            <a:effectLst/>
          </c:spPr>
          <c:invertIfNegative val="0"/>
          <c:errBars>
            <c:errBarType val="both"/>
            <c:errValType val="cust"/>
            <c:noEndCap val="0"/>
            <c:plus>
              <c:numRef>
                <c:f>'Graphs 4'!$F$17:$F$25</c:f>
                <c:numCache>
                  <c:formatCode>General</c:formatCode>
                  <c:ptCount val="9"/>
                  <c:pt idx="0">
                    <c:v>5.8290593762993755E-5</c:v>
                  </c:pt>
                  <c:pt idx="1">
                    <c:v>0.1526354730598749</c:v>
                  </c:pt>
                  <c:pt idx="2">
                    <c:v>3.5141398727650717E-5</c:v>
                  </c:pt>
                  <c:pt idx="3">
                    <c:v>2.6818293057245812E-3</c:v>
                  </c:pt>
                  <c:pt idx="4">
                    <c:v>1.4755202494802472E-2</c:v>
                  </c:pt>
                  <c:pt idx="5">
                    <c:v>2.2764278941372131E-5</c:v>
                  </c:pt>
                  <c:pt idx="6">
                    <c:v>7.5851476091476182E-4</c:v>
                  </c:pt>
                  <c:pt idx="7">
                    <c:v>0</c:v>
                  </c:pt>
                  <c:pt idx="8">
                    <c:v>6.6124740124740011E-2</c:v>
                  </c:pt>
                </c:numCache>
              </c:numRef>
            </c:plus>
            <c:minus>
              <c:numRef>
                <c:f>'Graphs 4'!$F$17:$F$25</c:f>
                <c:numCache>
                  <c:formatCode>General</c:formatCode>
                  <c:ptCount val="9"/>
                  <c:pt idx="0">
                    <c:v>5.8290593762993755E-5</c:v>
                  </c:pt>
                  <c:pt idx="1">
                    <c:v>0.1526354730598749</c:v>
                  </c:pt>
                  <c:pt idx="2">
                    <c:v>3.5141398727650717E-5</c:v>
                  </c:pt>
                  <c:pt idx="3">
                    <c:v>2.6818293057245812E-3</c:v>
                  </c:pt>
                  <c:pt idx="4">
                    <c:v>1.4755202494802472E-2</c:v>
                  </c:pt>
                  <c:pt idx="5">
                    <c:v>2.2764278941372131E-5</c:v>
                  </c:pt>
                  <c:pt idx="6">
                    <c:v>7.5851476091476182E-4</c:v>
                  </c:pt>
                  <c:pt idx="7">
                    <c:v>0</c:v>
                  </c:pt>
                  <c:pt idx="8">
                    <c:v>6.6124740124740011E-2</c:v>
                  </c:pt>
                </c:numCache>
              </c:numRef>
            </c:minus>
            <c:spPr>
              <a:noFill/>
              <a:ln w="9525" cap="flat" cmpd="sng" algn="ctr">
                <a:solidFill>
                  <a:schemeClr val="tx1">
                    <a:lumMod val="65000"/>
                    <a:lumOff val="35000"/>
                  </a:schemeClr>
                </a:solidFill>
                <a:round/>
              </a:ln>
              <a:effectLst/>
            </c:spPr>
          </c:errBars>
          <c:cat>
            <c:strRef>
              <c:f>'Graphs 4'!$A$41:$A$49</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 4'!$F$41:$F$49</c:f>
              <c:numCache>
                <c:formatCode>0.00%</c:formatCode>
                <c:ptCount val="9"/>
                <c:pt idx="0">
                  <c:v>1.3674704410685241</c:v>
                </c:pt>
                <c:pt idx="1">
                  <c:v>1.3493617898329067</c:v>
                </c:pt>
                <c:pt idx="2">
                  <c:v>1.169996112960886</c:v>
                </c:pt>
                <c:pt idx="3">
                  <c:v>1.3434095818550249</c:v>
                </c:pt>
                <c:pt idx="4">
                  <c:v>1.3485483709050698</c:v>
                </c:pt>
                <c:pt idx="5">
                  <c:v>1.3736574139262598</c:v>
                </c:pt>
                <c:pt idx="6">
                  <c:v>1.3673234528010982</c:v>
                </c:pt>
                <c:pt idx="7">
                  <c:v>1.3708746989054832</c:v>
                </c:pt>
                <c:pt idx="8">
                  <c:v>1.2563977337175398</c:v>
                </c:pt>
              </c:numCache>
            </c:numRef>
          </c:val>
          <c:extLst>
            <c:ext xmlns:c16="http://schemas.microsoft.com/office/drawing/2014/chart" uri="{C3380CC4-5D6E-409C-BE32-E72D297353CC}">
              <c16:uniqueId val="{00000016-4602-4110-ACF4-AC6727C6C12A}"/>
            </c:ext>
          </c:extLst>
        </c:ser>
        <c:ser>
          <c:idx val="5"/>
          <c:order val="5"/>
          <c:tx>
            <c:strRef>
              <c:f>'Graphs 4'!$G$40</c:f>
              <c:strCache>
                <c:ptCount val="1"/>
                <c:pt idx="0">
                  <c:v>Ecoloblue H/O</c:v>
                </c:pt>
              </c:strCache>
            </c:strRef>
          </c:tx>
          <c:spPr>
            <a:solidFill>
              <a:schemeClr val="bg1">
                <a:lumMod val="75000"/>
              </a:schemeClr>
            </a:solidFill>
            <a:ln>
              <a:noFill/>
            </a:ln>
            <a:effectLst/>
          </c:spPr>
          <c:invertIfNegative val="0"/>
          <c:errBars>
            <c:errBarType val="both"/>
            <c:errValType val="cust"/>
            <c:noEndCap val="0"/>
            <c:plus>
              <c:numRef>
                <c:f>'Graphs 4'!$G$17:$G$25</c:f>
                <c:numCache>
                  <c:formatCode>General</c:formatCode>
                  <c:ptCount val="9"/>
                  <c:pt idx="0">
                    <c:v>3.386932375000094E-6</c:v>
                  </c:pt>
                  <c:pt idx="1">
                    <c:v>1.1914016496999746E-2</c:v>
                  </c:pt>
                  <c:pt idx="2">
                    <c:v>2.0007504625000023E-6</c:v>
                  </c:pt>
                  <c:pt idx="3">
                    <c:v>2.1662539254874852E-4</c:v>
                  </c:pt>
                  <c:pt idx="4">
                    <c:v>1.1907330687500051E-3</c:v>
                  </c:pt>
                  <c:pt idx="5">
                    <c:v>1.0475596100000006E-6</c:v>
                  </c:pt>
                  <c:pt idx="6">
                    <c:v>4.6415624999998975E-5</c:v>
                  </c:pt>
                  <c:pt idx="7">
                    <c:v>0</c:v>
                  </c:pt>
                  <c:pt idx="8">
                    <c:v>4.3750000000000178E-3</c:v>
                  </c:pt>
                </c:numCache>
              </c:numRef>
            </c:plus>
            <c:minus>
              <c:numRef>
                <c:f>'Graphs 4'!$G$17:$G$25</c:f>
                <c:numCache>
                  <c:formatCode>General</c:formatCode>
                  <c:ptCount val="9"/>
                  <c:pt idx="0">
                    <c:v>3.386932375000094E-6</c:v>
                  </c:pt>
                  <c:pt idx="1">
                    <c:v>1.1914016496999746E-2</c:v>
                  </c:pt>
                  <c:pt idx="2">
                    <c:v>2.0007504625000023E-6</c:v>
                  </c:pt>
                  <c:pt idx="3">
                    <c:v>2.1662539254874852E-4</c:v>
                  </c:pt>
                  <c:pt idx="4">
                    <c:v>1.1907330687500051E-3</c:v>
                  </c:pt>
                  <c:pt idx="5">
                    <c:v>1.0475596100000006E-6</c:v>
                  </c:pt>
                  <c:pt idx="6">
                    <c:v>4.6415624999998975E-5</c:v>
                  </c:pt>
                  <c:pt idx="7">
                    <c:v>0</c:v>
                  </c:pt>
                  <c:pt idx="8">
                    <c:v>4.3750000000000178E-3</c:v>
                  </c:pt>
                </c:numCache>
              </c:numRef>
            </c:minus>
            <c:spPr>
              <a:noFill/>
              <a:ln w="9525" cap="flat" cmpd="sng" algn="ctr">
                <a:solidFill>
                  <a:schemeClr val="tx1">
                    <a:lumMod val="65000"/>
                    <a:lumOff val="35000"/>
                  </a:schemeClr>
                </a:solidFill>
                <a:round/>
              </a:ln>
              <a:effectLst/>
            </c:spPr>
          </c:errBars>
          <c:cat>
            <c:strRef>
              <c:f>'Graphs 4'!$A$41:$A$49</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 4'!$G$41:$G$49</c:f>
              <c:numCache>
                <c:formatCode>0.00%</c:formatCode>
                <c:ptCount val="9"/>
                <c:pt idx="0">
                  <c:v>1.0038614629029869</c:v>
                </c:pt>
                <c:pt idx="1">
                  <c:v>0.99306657680882904</c:v>
                </c:pt>
                <c:pt idx="2">
                  <c:v>0.94350435293278057</c:v>
                </c:pt>
                <c:pt idx="3">
                  <c:v>0.98862944436546718</c:v>
                </c:pt>
                <c:pt idx="4">
                  <c:v>0.99615298894308435</c:v>
                </c:pt>
                <c:pt idx="5">
                  <c:v>1.0178518458987909</c:v>
                </c:pt>
                <c:pt idx="6">
                  <c:v>1.0057805990150817</c:v>
                </c:pt>
                <c:pt idx="7">
                  <c:v>1.0030790479796219</c:v>
                </c:pt>
                <c:pt idx="8">
                  <c:v>1.0475520441137316</c:v>
                </c:pt>
              </c:numCache>
            </c:numRef>
          </c:val>
          <c:extLst>
            <c:ext xmlns:c16="http://schemas.microsoft.com/office/drawing/2014/chart" uri="{C3380CC4-5D6E-409C-BE32-E72D297353CC}">
              <c16:uniqueId val="{00000017-4602-4110-ACF4-AC6727C6C12A}"/>
            </c:ext>
          </c:extLst>
        </c:ser>
        <c:dLbls>
          <c:showLegendKey val="0"/>
          <c:showVal val="0"/>
          <c:showCatName val="0"/>
          <c:showSerName val="0"/>
          <c:showPercent val="0"/>
          <c:showBubbleSize val="0"/>
        </c:dLbls>
        <c:gapWidth val="219"/>
        <c:overlap val="-27"/>
        <c:axId val="696039864"/>
        <c:axId val="696040192"/>
      </c:barChart>
      <c:catAx>
        <c:axId val="69603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696040192"/>
        <c:crosses val="autoZero"/>
        <c:auto val="1"/>
        <c:lblAlgn val="ctr"/>
        <c:lblOffset val="100"/>
        <c:noMultiLvlLbl val="0"/>
      </c:catAx>
      <c:valAx>
        <c:axId val="69604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j-lt"/>
                    <a:ea typeface="+mn-ea"/>
                    <a:cs typeface="+mn-cs"/>
                  </a:defRPr>
                </a:pPr>
                <a:r>
                  <a:rPr lang="en-US"/>
                  <a:t>Percent of Maximum Impacts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696039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91054830210208"/>
          <c:y val="0.12546904286002969"/>
          <c:w val="0.71371968890113868"/>
          <c:h val="0.73281891283717859"/>
        </c:manualLayout>
      </c:layout>
      <c:barChart>
        <c:barDir val="bar"/>
        <c:grouping val="clustered"/>
        <c:varyColors val="0"/>
        <c:ser>
          <c:idx val="0"/>
          <c:order val="0"/>
          <c:tx>
            <c:strRef>
              <c:f>Graphs2!$B$94</c:f>
              <c:strCache>
                <c:ptCount val="1"/>
                <c:pt idx="0">
                  <c:v>Minimum (10% RC)</c:v>
                </c:pt>
              </c:strCache>
            </c:strRef>
          </c:tx>
          <c:spPr>
            <a:solidFill>
              <a:srgbClr val="92D050"/>
            </a:solidFill>
            <a:ln>
              <a:noFill/>
            </a:ln>
            <a:effectLst/>
          </c:spPr>
          <c:invertIfNegative val="0"/>
          <c:cat>
            <c:strRef>
              <c:f>Graphs2!$A$95:$A$103</c:f>
              <c:strCache>
                <c:ptCount val="9"/>
                <c:pt idx="0">
                  <c:v>Acidification </c:v>
                </c:pt>
                <c:pt idx="1">
                  <c:v>Energy Demand</c:v>
                </c:pt>
                <c:pt idx="2">
                  <c:v>Eutrophication</c:v>
                </c:pt>
                <c:pt idx="3">
                  <c:v>Fossil Depletion</c:v>
                </c:pt>
                <c:pt idx="4">
                  <c:v>Global Warming </c:v>
                </c:pt>
                <c:pt idx="5">
                  <c:v>Particulate Matter Formation </c:v>
                </c:pt>
                <c:pt idx="6">
                  <c:v>Smog Formation </c:v>
                </c:pt>
                <c:pt idx="7">
                  <c:v>Solid Waste </c:v>
                </c:pt>
                <c:pt idx="8">
                  <c:v>Water Consumption</c:v>
                </c:pt>
              </c:strCache>
            </c:strRef>
          </c:cat>
          <c:val>
            <c:numRef>
              <c:f>Graphs2!$B$95:$B$103</c:f>
              <c:numCache>
                <c:formatCode>0%</c:formatCode>
                <c:ptCount val="9"/>
                <c:pt idx="0">
                  <c:v>-2.3343817907737173E-2</c:v>
                </c:pt>
                <c:pt idx="1">
                  <c:v>-4.0698647745988657E-2</c:v>
                </c:pt>
                <c:pt idx="2">
                  <c:v>-2.4288332195316356E-2</c:v>
                </c:pt>
                <c:pt idx="3">
                  <c:v>-4.5337631543311573E-2</c:v>
                </c:pt>
                <c:pt idx="4">
                  <c:v>-2.7824406499440558E-2</c:v>
                </c:pt>
                <c:pt idx="5">
                  <c:v>-3.0375615456362404E-2</c:v>
                </c:pt>
                <c:pt idx="6">
                  <c:v>-2.7430272981175185E-2</c:v>
                </c:pt>
                <c:pt idx="7">
                  <c:v>-6.3745516463323826E-3</c:v>
                </c:pt>
                <c:pt idx="8">
                  <c:v>-1.4788189453800802E-3</c:v>
                </c:pt>
              </c:numCache>
            </c:numRef>
          </c:val>
          <c:extLst>
            <c:ext xmlns:c16="http://schemas.microsoft.com/office/drawing/2014/chart" uri="{C3380CC4-5D6E-409C-BE32-E72D297353CC}">
              <c16:uniqueId val="{00000000-CF5F-4F04-B337-82170C7FD356}"/>
            </c:ext>
          </c:extLst>
        </c:ser>
        <c:ser>
          <c:idx val="1"/>
          <c:order val="1"/>
          <c:tx>
            <c:strRef>
              <c:f>Graphs2!$C$94</c:f>
              <c:strCache>
                <c:ptCount val="1"/>
                <c:pt idx="0">
                  <c:v>Maximum (0% RC)</c:v>
                </c:pt>
              </c:strCache>
            </c:strRef>
          </c:tx>
          <c:spPr>
            <a:solidFill>
              <a:srgbClr val="00B050"/>
            </a:solidFill>
            <a:ln>
              <a:noFill/>
            </a:ln>
            <a:effectLst/>
          </c:spPr>
          <c:invertIfNegative val="0"/>
          <c:cat>
            <c:strRef>
              <c:f>Graphs2!$A$95:$A$103</c:f>
              <c:strCache>
                <c:ptCount val="9"/>
                <c:pt idx="0">
                  <c:v>Acidification </c:v>
                </c:pt>
                <c:pt idx="1">
                  <c:v>Energy Demand</c:v>
                </c:pt>
                <c:pt idx="2">
                  <c:v>Eutrophication</c:v>
                </c:pt>
                <c:pt idx="3">
                  <c:v>Fossil Depletion</c:v>
                </c:pt>
                <c:pt idx="4">
                  <c:v>Global Warming </c:v>
                </c:pt>
                <c:pt idx="5">
                  <c:v>Particulate Matter Formation </c:v>
                </c:pt>
                <c:pt idx="6">
                  <c:v>Smog Formation </c:v>
                </c:pt>
                <c:pt idx="7">
                  <c:v>Solid Waste </c:v>
                </c:pt>
                <c:pt idx="8">
                  <c:v>Water Consumption</c:v>
                </c:pt>
              </c:strCache>
            </c:strRef>
          </c:cat>
          <c:val>
            <c:numRef>
              <c:f>Graphs2!$C$95:$C$103</c:f>
              <c:numCache>
                <c:formatCode>0%</c:formatCode>
                <c:ptCount val="9"/>
                <c:pt idx="0">
                  <c:v>0.1304626260480585</c:v>
                </c:pt>
                <c:pt idx="1">
                  <c:v>0.11522918567747367</c:v>
                </c:pt>
                <c:pt idx="2">
                  <c:v>0.12125588663506816</c:v>
                </c:pt>
                <c:pt idx="3">
                  <c:v>0.11469797723981941</c:v>
                </c:pt>
                <c:pt idx="4">
                  <c:v>0.1186263460455593</c:v>
                </c:pt>
                <c:pt idx="5">
                  <c:v>0.13133036949691548</c:v>
                </c:pt>
                <c:pt idx="6">
                  <c:v>0.11522611785649381</c:v>
                </c:pt>
                <c:pt idx="7">
                  <c:v>0.12656033350620785</c:v>
                </c:pt>
                <c:pt idx="8">
                  <c:v>3.6133065787940247E-2</c:v>
                </c:pt>
              </c:numCache>
            </c:numRef>
          </c:val>
          <c:extLst>
            <c:ext xmlns:c16="http://schemas.microsoft.com/office/drawing/2014/chart" uri="{C3380CC4-5D6E-409C-BE32-E72D297353CC}">
              <c16:uniqueId val="{00000001-CF5F-4F04-B337-82170C7FD356}"/>
            </c:ext>
          </c:extLst>
        </c:ser>
        <c:ser>
          <c:idx val="2"/>
          <c:order val="2"/>
          <c:tx>
            <c:strRef>
              <c:f>Graphs2!$D$94</c:f>
              <c:strCache>
                <c:ptCount val="1"/>
                <c:pt idx="0">
                  <c:v>Maximum (10% RC)</c:v>
                </c:pt>
              </c:strCache>
            </c:strRef>
          </c:tx>
          <c:spPr>
            <a:solidFill>
              <a:schemeClr val="accent2"/>
            </a:solidFill>
            <a:ln>
              <a:noFill/>
            </a:ln>
            <a:effectLst/>
          </c:spPr>
          <c:invertIfNegative val="0"/>
          <c:cat>
            <c:strRef>
              <c:f>Graphs2!$A$95:$A$103</c:f>
              <c:strCache>
                <c:ptCount val="9"/>
                <c:pt idx="0">
                  <c:v>Acidification </c:v>
                </c:pt>
                <c:pt idx="1">
                  <c:v>Energy Demand</c:v>
                </c:pt>
                <c:pt idx="2">
                  <c:v>Eutrophication</c:v>
                </c:pt>
                <c:pt idx="3">
                  <c:v>Fossil Depletion</c:v>
                </c:pt>
                <c:pt idx="4">
                  <c:v>Global Warming </c:v>
                </c:pt>
                <c:pt idx="5">
                  <c:v>Particulate Matter Formation </c:v>
                </c:pt>
                <c:pt idx="6">
                  <c:v>Smog Formation </c:v>
                </c:pt>
                <c:pt idx="7">
                  <c:v>Solid Waste </c:v>
                </c:pt>
                <c:pt idx="8">
                  <c:v>Water Consumption</c:v>
                </c:pt>
              </c:strCache>
            </c:strRef>
          </c:cat>
          <c:val>
            <c:numRef>
              <c:f>Graphs2!$D$95:$D$103</c:f>
              <c:numCache>
                <c:formatCode>0%</c:formatCode>
                <c:ptCount val="9"/>
                <c:pt idx="0">
                  <c:v>0.10156825447254582</c:v>
                </c:pt>
                <c:pt idx="1">
                  <c:v>6.7668556625475551E-2</c:v>
                </c:pt>
                <c:pt idx="2">
                  <c:v>9.248187146674311E-2</c:v>
                </c:pt>
                <c:pt idx="3">
                  <c:v>6.3730182302240132E-2</c:v>
                </c:pt>
                <c:pt idx="4">
                  <c:v>8.4756100763221376E-2</c:v>
                </c:pt>
                <c:pt idx="5">
                  <c:v>9.5389243923824252E-2</c:v>
                </c:pt>
                <c:pt idx="6">
                  <c:v>8.5002020775384185E-2</c:v>
                </c:pt>
                <c:pt idx="7">
                  <c:v>0.11930399949957571</c:v>
                </c:pt>
                <c:pt idx="8">
                  <c:v>3.4494041456810565E-2</c:v>
                </c:pt>
              </c:numCache>
            </c:numRef>
          </c:val>
          <c:extLst>
            <c:ext xmlns:c16="http://schemas.microsoft.com/office/drawing/2014/chart" uri="{C3380CC4-5D6E-409C-BE32-E72D297353CC}">
              <c16:uniqueId val="{00000002-CF5F-4F04-B337-82170C7FD356}"/>
            </c:ext>
          </c:extLst>
        </c:ser>
        <c:dLbls>
          <c:showLegendKey val="0"/>
          <c:showVal val="0"/>
          <c:showCatName val="0"/>
          <c:showSerName val="0"/>
          <c:showPercent val="0"/>
          <c:showBubbleSize val="0"/>
        </c:dLbls>
        <c:gapWidth val="75"/>
        <c:axId val="824758768"/>
        <c:axId val="824754832"/>
      </c:barChart>
      <c:catAx>
        <c:axId val="82475876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824754832"/>
        <c:crosses val="autoZero"/>
        <c:auto val="1"/>
        <c:lblAlgn val="ctr"/>
        <c:lblOffset val="100"/>
        <c:noMultiLvlLbl val="0"/>
      </c:catAx>
      <c:valAx>
        <c:axId val="824754832"/>
        <c:scaling>
          <c:orientation val="minMax"/>
          <c:max val="0.15000000000000002"/>
          <c:min val="-5.000000000000001E-2"/>
        </c:scaling>
        <c:delete val="0"/>
        <c:axPos val="t"/>
        <c:majorGridlines>
          <c:spPr>
            <a:ln w="9525" cap="flat" cmpd="sng" algn="ctr">
              <a:solidFill>
                <a:schemeClr val="tx1">
                  <a:lumMod val="15000"/>
                  <a:lumOff val="85000"/>
                </a:schemeClr>
              </a:solidFill>
              <a:round/>
            </a:ln>
            <a:effectLst/>
          </c:spPr>
        </c:majorGridlines>
        <c:title>
          <c:tx>
            <c:rich>
              <a:bodyPr/>
              <a:lstStyle/>
              <a:p>
                <a:pPr>
                  <a:defRPr/>
                </a:pPr>
                <a:r>
                  <a:rPr lang="en-US"/>
                  <a:t>Percent Change</a:t>
                </a:r>
              </a:p>
            </c:rich>
          </c:tx>
          <c:layout>
            <c:manualLayout>
              <c:xMode val="edge"/>
              <c:yMode val="edge"/>
              <c:x val="0.52914546739349888"/>
              <c:y val="1.4793694878196512E-2"/>
            </c:manualLayout>
          </c:layout>
          <c:overlay val="0"/>
        </c:title>
        <c:numFmt formatCode="0%" sourceLinked="1"/>
        <c:majorTickMark val="none"/>
        <c:minorTickMark val="none"/>
        <c:tickLblPos val="nextTo"/>
        <c:spPr>
          <a:noFill/>
          <a:ln>
            <a:noFill/>
          </a:ln>
          <a:effectLst/>
        </c:spPr>
        <c:txPr>
          <a:bodyPr rot="-60000000" vert="horz"/>
          <a:lstStyle/>
          <a:p>
            <a:pPr>
              <a:defRPr/>
            </a:pPr>
            <a:endParaRPr lang="en-US"/>
          </a:p>
        </c:txPr>
        <c:crossAx val="824758768"/>
        <c:crosses val="autoZero"/>
        <c:crossBetween val="between"/>
        <c:majorUnit val="2.0000000000000004E-2"/>
      </c:valAx>
    </c:plotArea>
    <c:legend>
      <c:legendPos val="b"/>
      <c:layout>
        <c:manualLayout>
          <c:xMode val="edge"/>
          <c:yMode val="edge"/>
          <c:x val="0.28666042268521824"/>
          <c:y val="0.92336950680944607"/>
          <c:w val="0.57432847425676203"/>
          <c:h val="4.7646621667321587E-2"/>
        </c:manualLayout>
      </c:layout>
      <c:overlay val="0"/>
      <c:spPr>
        <a:noFill/>
        <a:ln>
          <a:solidFill>
            <a:schemeClr val="tx1"/>
          </a:solidFill>
        </a:ln>
        <a:effectLst/>
      </c:spPr>
      <c:txPr>
        <a:bodyPr rot="0" vert="horz"/>
        <a:lstStyle/>
        <a:p>
          <a:pPr>
            <a:defRPr/>
          </a:pPr>
          <a:endParaRPr lang="en-US"/>
        </a:p>
      </c:txPr>
    </c:legend>
    <c:plotVisOnly val="1"/>
    <c:dispBlanksAs val="gap"/>
    <c:showDLblsOverMax val="0"/>
    <c:extLst/>
  </c:chart>
  <c:spPr>
    <a:ln>
      <a:noFill/>
    </a:ln>
  </c:spPr>
  <c:txPr>
    <a:bodyPr/>
    <a:lstStyle/>
    <a:p>
      <a:pPr>
        <a:defRPr>
          <a:solidFill>
            <a:schemeClr val="tx1"/>
          </a:solidFil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45240951215942"/>
          <c:y val="0.15052735615030666"/>
          <c:w val="0.64740577111119024"/>
          <c:h val="0.75193707614705818"/>
        </c:manualLayout>
      </c:layout>
      <c:barChart>
        <c:barDir val="bar"/>
        <c:grouping val="clustered"/>
        <c:varyColors val="0"/>
        <c:ser>
          <c:idx val="0"/>
          <c:order val="0"/>
          <c:tx>
            <c:strRef>
              <c:f>'Graphs 1'!$B$41</c:f>
              <c:strCache>
                <c:ptCount val="1"/>
                <c:pt idx="0">
                  <c:v>Low Transport (25 mi)</c:v>
                </c:pt>
              </c:strCache>
            </c:strRef>
          </c:tx>
          <c:spPr>
            <a:solidFill>
              <a:srgbClr val="92D050"/>
            </a:solidFill>
            <a:ln>
              <a:noFill/>
            </a:ln>
            <a:effectLst/>
          </c:spPr>
          <c:invertIfNegative val="0"/>
          <c:cat>
            <c:strRef>
              <c:f>'Graphs 1'!$A$42:$A$50</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 1'!$B$42:$B$50</c:f>
              <c:numCache>
                <c:formatCode>General</c:formatCode>
                <c:ptCount val="9"/>
                <c:pt idx="0">
                  <c:v>-0.37895494837678845</c:v>
                </c:pt>
                <c:pt idx="1">
                  <c:v>-0.37537546290385898</c:v>
                </c:pt>
                <c:pt idx="2">
                  <c:v>-0.38489009278081882</c:v>
                </c:pt>
                <c:pt idx="3">
                  <c:v>-0.39568356466776122</c:v>
                </c:pt>
                <c:pt idx="4">
                  <c:v>-0.40419687800502702</c:v>
                </c:pt>
                <c:pt idx="5">
                  <c:v>-0.28180489858700919</c:v>
                </c:pt>
                <c:pt idx="6">
                  <c:v>-0.5178475249611515</c:v>
                </c:pt>
                <c:pt idx="7">
                  <c:v>-0.21315805504556917</c:v>
                </c:pt>
                <c:pt idx="8">
                  <c:v>-2.0941370880756951E-2</c:v>
                </c:pt>
              </c:numCache>
            </c:numRef>
          </c:val>
          <c:extLst>
            <c:ext xmlns:c16="http://schemas.microsoft.com/office/drawing/2014/chart" uri="{C3380CC4-5D6E-409C-BE32-E72D297353CC}">
              <c16:uniqueId val="{00000000-7885-48A9-93B8-7DBCAA2E6450}"/>
            </c:ext>
          </c:extLst>
        </c:ser>
        <c:ser>
          <c:idx val="1"/>
          <c:order val="1"/>
          <c:tx>
            <c:strRef>
              <c:f>'Graphs 1'!$C$41</c:f>
              <c:strCache>
                <c:ptCount val="1"/>
                <c:pt idx="0">
                  <c:v>High Transport (125 mi)</c:v>
                </c:pt>
              </c:strCache>
            </c:strRef>
          </c:tx>
          <c:spPr>
            <a:solidFill>
              <a:srgbClr val="00B050"/>
            </a:solidFill>
            <a:ln>
              <a:noFill/>
            </a:ln>
            <a:effectLst/>
          </c:spPr>
          <c:invertIfNegative val="0"/>
          <c:cat>
            <c:strRef>
              <c:f>'Graphs 1'!$A$42:$A$50</c:f>
              <c:strCache>
                <c:ptCount val="9"/>
                <c:pt idx="0">
                  <c:v>Acidification Potential</c:v>
                </c:pt>
                <c:pt idx="1">
                  <c:v>Cumulative Energy Demand</c:v>
                </c:pt>
                <c:pt idx="2">
                  <c:v>Eutrophication Potential</c:v>
                </c:pt>
                <c:pt idx="3">
                  <c:v>Fossil Depletion</c:v>
                </c:pt>
                <c:pt idx="4">
                  <c:v>Global Warming Potential</c:v>
                </c:pt>
                <c:pt idx="5">
                  <c:v>Particulate Matter Formation Potential</c:v>
                </c:pt>
                <c:pt idx="6">
                  <c:v>Smog Formation Potential</c:v>
                </c:pt>
                <c:pt idx="7">
                  <c:v>Solid Waste by Weight</c:v>
                </c:pt>
                <c:pt idx="8">
                  <c:v>Water Consumption</c:v>
                </c:pt>
              </c:strCache>
            </c:strRef>
          </c:cat>
          <c:val>
            <c:numRef>
              <c:f>'Graphs 1'!$C$42:$C$50</c:f>
              <c:numCache>
                <c:formatCode>General</c:formatCode>
                <c:ptCount val="9"/>
                <c:pt idx="0">
                  <c:v>0.37801342940748356</c:v>
                </c:pt>
                <c:pt idx="1">
                  <c:v>0.37444283947174761</c:v>
                </c:pt>
                <c:pt idx="2">
                  <c:v>0.38393385406534586</c:v>
                </c:pt>
                <c:pt idx="3">
                  <c:v>0.39470046822066424</c:v>
                </c:pt>
                <c:pt idx="4">
                  <c:v>0.40319268254710722</c:v>
                </c:pt>
                <c:pt idx="5">
                  <c:v>0.28110476665560558</c:v>
                </c:pt>
                <c:pt idx="6">
                  <c:v>0.51656095465053364</c:v>
                </c:pt>
                <c:pt idx="7">
                  <c:v>0.21262846234615618</c:v>
                </c:pt>
                <c:pt idx="8">
                  <c:v>2.0889342634786676E-2</c:v>
                </c:pt>
              </c:numCache>
            </c:numRef>
          </c:val>
          <c:extLst>
            <c:ext xmlns:c16="http://schemas.microsoft.com/office/drawing/2014/chart" uri="{C3380CC4-5D6E-409C-BE32-E72D297353CC}">
              <c16:uniqueId val="{00000001-7885-48A9-93B8-7DBCAA2E6450}"/>
            </c:ext>
          </c:extLst>
        </c:ser>
        <c:dLbls>
          <c:showLegendKey val="0"/>
          <c:showVal val="0"/>
          <c:showCatName val="0"/>
          <c:showSerName val="0"/>
          <c:showPercent val="0"/>
          <c:showBubbleSize val="0"/>
        </c:dLbls>
        <c:gapWidth val="75"/>
        <c:axId val="824758768"/>
        <c:axId val="824754832"/>
      </c:barChart>
      <c:catAx>
        <c:axId val="82475876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900">
                <a:latin typeface="+mj-lt"/>
              </a:defRPr>
            </a:pPr>
            <a:endParaRPr lang="en-US"/>
          </a:p>
        </c:txPr>
        <c:crossAx val="824754832"/>
        <c:crosses val="autoZero"/>
        <c:auto val="1"/>
        <c:lblAlgn val="ctr"/>
        <c:lblOffset val="100"/>
        <c:noMultiLvlLbl val="0"/>
      </c:catAx>
      <c:valAx>
        <c:axId val="824754832"/>
        <c:scaling>
          <c:orientation val="minMax"/>
          <c:max val="0.60000000000000009"/>
          <c:min val="-0.60000000000000009"/>
        </c:scaling>
        <c:delete val="0"/>
        <c:axPos val="t"/>
        <c:majorGridlines>
          <c:spPr>
            <a:ln w="9525" cap="flat" cmpd="sng" algn="ctr">
              <a:solidFill>
                <a:schemeClr val="tx1">
                  <a:lumMod val="15000"/>
                  <a:lumOff val="85000"/>
                </a:schemeClr>
              </a:solidFill>
              <a:round/>
            </a:ln>
            <a:effectLst/>
          </c:spPr>
        </c:majorGridlines>
        <c:title>
          <c:tx>
            <c:rich>
              <a:bodyPr/>
              <a:lstStyle/>
              <a:p>
                <a:pPr>
                  <a:defRPr b="0">
                    <a:latin typeface="+mj-lt"/>
                  </a:defRPr>
                </a:pPr>
                <a:r>
                  <a:rPr lang="en-US" b="0">
                    <a:latin typeface="+mj-lt"/>
                  </a:rPr>
                  <a:t>Percent Change</a:t>
                </a:r>
              </a:p>
            </c:rich>
          </c:tx>
          <c:layout>
            <c:manualLayout>
              <c:xMode val="edge"/>
              <c:yMode val="edge"/>
              <c:x val="0.55190920139507449"/>
              <c:y val="2.2399643934782467E-2"/>
            </c:manualLayout>
          </c:layout>
          <c:overlay val="0"/>
        </c:title>
        <c:numFmt formatCode="0%" sourceLinked="0"/>
        <c:majorTickMark val="none"/>
        <c:minorTickMark val="none"/>
        <c:tickLblPos val="nextTo"/>
        <c:spPr>
          <a:noFill/>
          <a:ln>
            <a:noFill/>
          </a:ln>
          <a:effectLst/>
        </c:spPr>
        <c:txPr>
          <a:bodyPr rot="-60000000" vert="horz"/>
          <a:lstStyle/>
          <a:p>
            <a:pPr>
              <a:defRPr sz="900">
                <a:latin typeface="+mj-lt"/>
              </a:defRPr>
            </a:pPr>
            <a:endParaRPr lang="en-US"/>
          </a:p>
        </c:txPr>
        <c:crossAx val="824758768"/>
        <c:crosses val="autoZero"/>
        <c:crossBetween val="between"/>
        <c:majorUnit val="0.1"/>
      </c:valAx>
    </c:plotArea>
    <c:legend>
      <c:legendPos val="b"/>
      <c:layout>
        <c:manualLayout>
          <c:xMode val="edge"/>
          <c:yMode val="edge"/>
          <c:x val="0.32737014208065623"/>
          <c:y val="0.92173660337345609"/>
          <c:w val="0.50970004315071471"/>
          <c:h val="4.8661946388860344E-2"/>
        </c:manualLayout>
      </c:layout>
      <c:overlay val="0"/>
      <c:spPr>
        <a:noFill/>
        <a:ln>
          <a:solidFill>
            <a:schemeClr val="tx1"/>
          </a:solidFill>
        </a:ln>
        <a:effectLst/>
      </c:spPr>
      <c:txPr>
        <a:bodyPr rot="0" vert="horz"/>
        <a:lstStyle/>
        <a:p>
          <a:pPr>
            <a:defRPr>
              <a:latin typeface="+mj-lt"/>
            </a:defRPr>
          </a:pPr>
          <a:endParaRPr lang="en-US"/>
        </a:p>
      </c:txPr>
    </c:legend>
    <c:plotVisOnly val="1"/>
    <c:dispBlanksAs val="gap"/>
    <c:showDLblsOverMax val="0"/>
    <c:extLst/>
  </c:chart>
  <c:spPr>
    <a:ln>
      <a:noFill/>
    </a:ln>
  </c:spPr>
  <c:txPr>
    <a:bodyPr/>
    <a:lstStyle/>
    <a:p>
      <a:pPr>
        <a:defRPr>
          <a:solidFill>
            <a:schemeClr val="tx1"/>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b:Source>
    <b:Tag>Fol10</b:Tag>
    <b:SourceType>JournalArticle</b:SourceType>
    <b:Guid>{81268D66-B059-45A3-8085-7211C404876A}</b:Guid>
    <b:Title>Comprehensive life cycle inventories of alternative wastewater treatment</b:Title>
    <b:Year>2010</b:Year>
    <b:Author>
      <b:Author>
        <b:NameList>
          <b:Person>
            <b:Last>Foley</b:Last>
            <b:First>J.,</b:First>
            <b:Middle>de Haas, D., Hartley, K., and Lant, P</b:Middle>
          </b:Person>
        </b:NameList>
      </b:Author>
    </b:Author>
    <b:JournalName>Water Res</b:JournalName>
    <b:Pages>1654-1666</b:Pages>
    <b:RefOrder>1</b:RefOrder>
  </b:Source>
</b:Sources>
</file>

<file path=customXml/itemProps1.xml><?xml version="1.0" encoding="utf-8"?>
<ds:datastoreItem xmlns:ds="http://schemas.openxmlformats.org/officeDocument/2006/customXml" ds:itemID="{997EDDED-08A8-4E55-B611-27B016CA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15311</Words>
  <Characters>87278</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October 7, 2005</vt:lpstr>
    </vt:vector>
  </TitlesOfParts>
  <Company>ERG</Company>
  <LinksUpToDate>false</LinksUpToDate>
  <CharactersWithSpaces>102385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AWG LCA 2018</dc:title>
  <dc:subject/>
  <dc:creator>Sarah.Cashman@erg.com</dc:creator>
  <cp:keywords/>
  <dc:description/>
  <cp:lastModifiedBy>Ma, Cissy</cp:lastModifiedBy>
  <cp:revision>2</cp:revision>
  <cp:lastPrinted>2018-03-05T22:20:00Z</cp:lastPrinted>
  <dcterms:created xsi:type="dcterms:W3CDTF">2019-01-29T20:53:00Z</dcterms:created>
  <dcterms:modified xsi:type="dcterms:W3CDTF">2019-01-29T20:53:00Z</dcterms:modified>
</cp:coreProperties>
</file>