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890D" w14:textId="043317DB" w:rsidR="00AE2682" w:rsidRPr="008160F4" w:rsidRDefault="00AE2682" w:rsidP="00AE2682">
      <w:pPr>
        <w:jc w:val="center"/>
        <w:rPr>
          <w:rFonts w:ascii="Calibri" w:hAnsi="Calibri" w:cs="Calibri"/>
          <w:b/>
          <w:color w:val="1F497D"/>
          <w:sz w:val="32"/>
          <w:szCs w:val="32"/>
        </w:rPr>
      </w:pPr>
      <w:r w:rsidRPr="008160F4">
        <w:rPr>
          <w:rFonts w:ascii="Calibri" w:hAnsi="Calibri" w:cs="Calibri"/>
          <w:b/>
          <w:color w:val="1F497D"/>
          <w:sz w:val="32"/>
          <w:szCs w:val="32"/>
        </w:rPr>
        <w:t xml:space="preserve">Quality Assurance (QA) Summary </w:t>
      </w:r>
      <w:r w:rsidR="0034328D" w:rsidRPr="008160F4">
        <w:rPr>
          <w:rFonts w:ascii="Calibri" w:hAnsi="Calibri" w:cs="Calibri"/>
          <w:b/>
          <w:color w:val="1F497D"/>
          <w:sz w:val="32"/>
          <w:szCs w:val="32"/>
        </w:rPr>
        <w:t>Template</w:t>
      </w:r>
      <w:r w:rsidR="000C2668" w:rsidRPr="008160F4">
        <w:rPr>
          <w:rFonts w:ascii="Calibri" w:hAnsi="Calibri" w:cs="Calibri"/>
          <w:b/>
          <w:color w:val="1F497D"/>
          <w:sz w:val="32"/>
          <w:szCs w:val="32"/>
        </w:rPr>
        <w:t xml:space="preserve"> for</w:t>
      </w:r>
    </w:p>
    <w:p w14:paraId="116C067F" w14:textId="54752ABF" w:rsidR="000C2668" w:rsidRDefault="008B1C4C" w:rsidP="00AE2682">
      <w:pPr>
        <w:jc w:val="center"/>
        <w:rPr>
          <w:rFonts w:ascii="Calibri" w:hAnsi="Calibri" w:cs="Calibri"/>
          <w:b/>
          <w:color w:val="1F497D"/>
          <w:sz w:val="32"/>
          <w:szCs w:val="32"/>
        </w:rPr>
      </w:pPr>
      <w:r w:rsidRPr="008B1C4C">
        <w:rPr>
          <w:rFonts w:ascii="Calibri" w:hAnsi="Calibri" w:cs="Calibri"/>
          <w:b/>
          <w:color w:val="1F497D"/>
          <w:sz w:val="32"/>
          <w:szCs w:val="32"/>
        </w:rPr>
        <w:t>A-9kdj</w:t>
      </w:r>
      <w:r w:rsidRPr="008160F4">
        <w:rPr>
          <w:rFonts w:ascii="Calibri" w:hAnsi="Calibri" w:cs="Calibri"/>
          <w:b/>
          <w:color w:val="1F497D"/>
          <w:sz w:val="32"/>
          <w:szCs w:val="32"/>
        </w:rPr>
        <w:t xml:space="preserve"> </w:t>
      </w:r>
      <w:r w:rsidR="000C2668" w:rsidRPr="008160F4">
        <w:rPr>
          <w:rFonts w:ascii="Calibri" w:hAnsi="Calibri" w:cs="Calibri"/>
          <w:b/>
          <w:color w:val="1F497D"/>
          <w:sz w:val="32"/>
          <w:szCs w:val="32"/>
        </w:rPr>
        <w:t>Dataset</w:t>
      </w:r>
      <w:bookmarkStart w:id="0" w:name="_GoBack"/>
      <w:bookmarkEnd w:id="0"/>
    </w:p>
    <w:p w14:paraId="3C42C216" w14:textId="77777777" w:rsidR="00AE2682" w:rsidRDefault="00AE2682" w:rsidP="00955471">
      <w:pPr>
        <w:rPr>
          <w:rFonts w:ascii="Calibri" w:hAnsi="Calibri" w:cs="Calibri"/>
          <w:color w:val="1F497D"/>
          <w:sz w:val="22"/>
          <w:szCs w:val="22"/>
        </w:rPr>
      </w:pPr>
    </w:p>
    <w:p w14:paraId="7A2C35E4" w14:textId="77777777" w:rsidR="00955471" w:rsidRDefault="00955471" w:rsidP="00955471">
      <w:pPr>
        <w:rPr>
          <w:rFonts w:ascii="Calibri" w:hAnsi="Calibri" w:cs="Calibri"/>
          <w:color w:val="1F497D"/>
          <w:sz w:val="22"/>
          <w:szCs w:val="22"/>
        </w:rPr>
      </w:pPr>
    </w:p>
    <w:tbl>
      <w:tblPr>
        <w:tblStyle w:val="TableGrid"/>
        <w:tblW w:w="0" w:type="auto"/>
        <w:tblLook w:val="04A0" w:firstRow="1" w:lastRow="0" w:firstColumn="1" w:lastColumn="0" w:noHBand="0" w:noVBand="1"/>
      </w:tblPr>
      <w:tblGrid>
        <w:gridCol w:w="9468"/>
      </w:tblGrid>
      <w:tr w:rsidR="000C2668" w14:paraId="3149F81B" w14:textId="77777777" w:rsidTr="000C2668">
        <w:tc>
          <w:tcPr>
            <w:tcW w:w="94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501533" w14:textId="16FE44D0" w:rsidR="000C2668" w:rsidRPr="008160F4" w:rsidRDefault="000C2668" w:rsidP="008511D9">
            <w:pPr>
              <w:autoSpaceDE w:val="0"/>
              <w:autoSpaceDN w:val="0"/>
              <w:adjustRightInd w:val="0"/>
              <w:rPr>
                <w:rFonts w:asciiTheme="minorHAnsi" w:hAnsiTheme="minorHAnsi"/>
                <w:b/>
                <w:color w:val="auto"/>
              </w:rPr>
            </w:pPr>
            <w:r w:rsidRPr="008160F4">
              <w:rPr>
                <w:rFonts w:asciiTheme="minorHAnsi" w:hAnsiTheme="minorHAnsi"/>
                <w:b/>
              </w:rPr>
              <w:t>Research Effort Title</w:t>
            </w:r>
            <w:r w:rsidR="008160F4">
              <w:rPr>
                <w:rFonts w:asciiTheme="minorHAnsi" w:hAnsiTheme="minorHAnsi"/>
                <w:b/>
              </w:rPr>
              <w:t>:</w:t>
            </w:r>
            <w:r w:rsidR="00793407">
              <w:rPr>
                <w:b/>
              </w:rPr>
              <w:t xml:space="preserve"> </w:t>
            </w:r>
            <w:r w:rsidR="008511D9" w:rsidRPr="008511D9">
              <w:rPr>
                <w:b/>
              </w:rPr>
              <w:t xml:space="preserve">Development and Application of Analytical Method for Decontamination Testing of </w:t>
            </w:r>
            <w:proofErr w:type="spellStart"/>
            <w:r w:rsidR="008511D9" w:rsidRPr="008511D9">
              <w:rPr>
                <w:b/>
              </w:rPr>
              <w:t>Virucidal</w:t>
            </w:r>
            <w:proofErr w:type="spellEnd"/>
            <w:r w:rsidR="008511D9" w:rsidRPr="008511D9">
              <w:rPr>
                <w:b/>
              </w:rPr>
              <w:t xml:space="preserve"> Chemicals on Porous and Heavily Soiled Surfaces</w:t>
            </w:r>
          </w:p>
        </w:tc>
      </w:tr>
      <w:tr w:rsidR="000C2668" w14:paraId="37671E43" w14:textId="77777777" w:rsidTr="000C2668">
        <w:tc>
          <w:tcPr>
            <w:tcW w:w="9468" w:type="dxa"/>
            <w:tcBorders>
              <w:top w:val="single" w:sz="4" w:space="0" w:color="auto"/>
              <w:left w:val="single" w:sz="4" w:space="0" w:color="auto"/>
              <w:bottom w:val="single" w:sz="4" w:space="0" w:color="auto"/>
              <w:right w:val="single" w:sz="4" w:space="0" w:color="auto"/>
            </w:tcBorders>
          </w:tcPr>
          <w:p w14:paraId="7DBFEE95" w14:textId="39F78079" w:rsidR="000C2668" w:rsidRPr="008160F4" w:rsidRDefault="00793407">
            <w:pPr>
              <w:rPr>
                <w:rFonts w:asciiTheme="minorHAnsi" w:hAnsiTheme="minorHAnsi"/>
                <w:b/>
              </w:rPr>
            </w:pPr>
            <w:r>
              <w:rPr>
                <w:rFonts w:asciiTheme="minorHAnsi" w:hAnsiTheme="minorHAnsi"/>
                <w:b/>
              </w:rPr>
              <w:t>Date:</w:t>
            </w:r>
            <w:r>
              <w:rPr>
                <w:rFonts w:asciiTheme="minorHAnsi" w:hAnsiTheme="minorHAnsi"/>
                <w:b/>
              </w:rPr>
              <w:tab/>
            </w:r>
            <w:r w:rsidR="00396382">
              <w:rPr>
                <w:rFonts w:asciiTheme="minorHAnsi" w:hAnsiTheme="minorHAnsi"/>
                <w:b/>
              </w:rPr>
              <w:t xml:space="preserve">September </w:t>
            </w:r>
            <w:r w:rsidR="008835B2">
              <w:rPr>
                <w:rFonts w:asciiTheme="minorHAnsi" w:hAnsiTheme="minorHAnsi"/>
                <w:b/>
              </w:rPr>
              <w:t xml:space="preserve">11, </w:t>
            </w:r>
            <w:r w:rsidR="00396382">
              <w:rPr>
                <w:rFonts w:asciiTheme="minorHAnsi" w:hAnsiTheme="minorHAnsi"/>
                <w:b/>
              </w:rPr>
              <w:t>2018</w:t>
            </w:r>
          </w:p>
          <w:p w14:paraId="4730D4F9" w14:textId="77777777" w:rsidR="000C2668" w:rsidRPr="008160F4" w:rsidRDefault="000C2668">
            <w:pPr>
              <w:rPr>
                <w:rFonts w:asciiTheme="minorHAnsi" w:hAnsiTheme="minorHAnsi"/>
                <w:b/>
              </w:rPr>
            </w:pPr>
          </w:p>
        </w:tc>
      </w:tr>
      <w:tr w:rsidR="000C2668" w14:paraId="6139B0C6" w14:textId="77777777" w:rsidTr="000C2668">
        <w:tc>
          <w:tcPr>
            <w:tcW w:w="9468" w:type="dxa"/>
            <w:tcBorders>
              <w:top w:val="single" w:sz="4" w:space="0" w:color="auto"/>
              <w:left w:val="single" w:sz="4" w:space="0" w:color="auto"/>
              <w:bottom w:val="single" w:sz="4" w:space="0" w:color="auto"/>
              <w:right w:val="single" w:sz="4" w:space="0" w:color="auto"/>
            </w:tcBorders>
          </w:tcPr>
          <w:p w14:paraId="4AAC358D" w14:textId="6F1784E4" w:rsidR="000C2668" w:rsidRDefault="000C2668" w:rsidP="007229CA">
            <w:pPr>
              <w:rPr>
                <w:rFonts w:asciiTheme="minorHAnsi" w:hAnsiTheme="minorHAnsi"/>
                <w:b/>
              </w:rPr>
            </w:pPr>
            <w:r w:rsidRPr="008160F4">
              <w:rPr>
                <w:rFonts w:asciiTheme="minorHAnsi" w:hAnsiTheme="minorHAnsi"/>
                <w:b/>
              </w:rPr>
              <w:t>QAPP Title/Version #/Approval Date</w:t>
            </w:r>
          </w:p>
          <w:p w14:paraId="5295F8A2" w14:textId="77777777" w:rsidR="008511D9" w:rsidRDefault="008511D9" w:rsidP="007229CA">
            <w:pPr>
              <w:rPr>
                <w:rFonts w:asciiTheme="minorHAnsi" w:hAnsiTheme="minorHAnsi"/>
                <w:b/>
              </w:rPr>
            </w:pPr>
            <w:r w:rsidRPr="008511D9">
              <w:rPr>
                <w:rFonts w:asciiTheme="minorHAnsi" w:hAnsiTheme="minorHAnsi"/>
                <w:b/>
              </w:rPr>
              <w:t>Decontamination of Heavily Soiled Surfaces Phase 2: Decontamination Study</w:t>
            </w:r>
          </w:p>
          <w:p w14:paraId="0574DB8E" w14:textId="46698184" w:rsidR="009827FB" w:rsidRDefault="009827FB" w:rsidP="007229CA">
            <w:pPr>
              <w:rPr>
                <w:rFonts w:asciiTheme="minorHAnsi" w:hAnsiTheme="minorHAnsi"/>
                <w:b/>
              </w:rPr>
            </w:pPr>
            <w:r>
              <w:rPr>
                <w:rFonts w:asciiTheme="minorHAnsi" w:hAnsiTheme="minorHAnsi"/>
                <w:b/>
              </w:rPr>
              <w:t>Revision 0</w:t>
            </w:r>
            <w:r w:rsidR="008511D9">
              <w:rPr>
                <w:rFonts w:asciiTheme="minorHAnsi" w:hAnsiTheme="minorHAnsi"/>
                <w:b/>
              </w:rPr>
              <w:t xml:space="preserve"> and Amendments</w:t>
            </w:r>
          </w:p>
          <w:p w14:paraId="0DE9E66E" w14:textId="19A824BE" w:rsidR="009827FB" w:rsidRPr="008160F4" w:rsidRDefault="008511D9" w:rsidP="007229CA">
            <w:pPr>
              <w:rPr>
                <w:rFonts w:asciiTheme="minorHAnsi" w:hAnsiTheme="minorHAnsi"/>
                <w:b/>
              </w:rPr>
            </w:pPr>
            <w:r>
              <w:rPr>
                <w:rFonts w:asciiTheme="minorHAnsi" w:hAnsiTheme="minorHAnsi"/>
                <w:b/>
              </w:rPr>
              <w:t>November</w:t>
            </w:r>
            <w:r w:rsidR="009827FB">
              <w:rPr>
                <w:rFonts w:asciiTheme="minorHAnsi" w:hAnsiTheme="minorHAnsi"/>
                <w:b/>
              </w:rPr>
              <w:t>, 2014</w:t>
            </w:r>
          </w:p>
        </w:tc>
      </w:tr>
      <w:tr w:rsidR="000C2668" w14:paraId="7E3577B0" w14:textId="77777777" w:rsidTr="000C2668">
        <w:tc>
          <w:tcPr>
            <w:tcW w:w="9468" w:type="dxa"/>
            <w:tcBorders>
              <w:top w:val="single" w:sz="4" w:space="0" w:color="auto"/>
              <w:left w:val="single" w:sz="4" w:space="0" w:color="auto"/>
              <w:bottom w:val="single" w:sz="4" w:space="0" w:color="auto"/>
              <w:right w:val="single" w:sz="4" w:space="0" w:color="auto"/>
            </w:tcBorders>
          </w:tcPr>
          <w:p w14:paraId="0A00C6F6" w14:textId="77777777" w:rsidR="000C2668" w:rsidRPr="008160F4" w:rsidRDefault="000C2668">
            <w:pPr>
              <w:rPr>
                <w:rFonts w:asciiTheme="minorHAnsi" w:hAnsiTheme="minorHAnsi"/>
                <w:b/>
              </w:rPr>
            </w:pPr>
            <w:r w:rsidRPr="008160F4">
              <w:rPr>
                <w:rFonts w:asciiTheme="minorHAnsi" w:hAnsiTheme="minorHAnsi"/>
                <w:b/>
              </w:rPr>
              <w:t>Research Effort Lead:</w:t>
            </w:r>
          </w:p>
          <w:p w14:paraId="5ADD7DF1" w14:textId="7555BAA7" w:rsidR="000C2668" w:rsidRPr="008160F4" w:rsidRDefault="007229CA">
            <w:pPr>
              <w:rPr>
                <w:rFonts w:asciiTheme="minorHAnsi" w:hAnsiTheme="minorHAnsi"/>
                <w:b/>
              </w:rPr>
            </w:pPr>
            <w:r>
              <w:rPr>
                <w:rFonts w:asciiTheme="minorHAnsi" w:hAnsiTheme="minorHAnsi"/>
                <w:b/>
              </w:rPr>
              <w:t>Michael Worth Calfee</w:t>
            </w:r>
          </w:p>
        </w:tc>
      </w:tr>
      <w:tr w:rsidR="000C2668" w14:paraId="24AA8C7C" w14:textId="77777777" w:rsidTr="000C2668">
        <w:tc>
          <w:tcPr>
            <w:tcW w:w="9468" w:type="dxa"/>
            <w:tcBorders>
              <w:top w:val="single" w:sz="4" w:space="0" w:color="auto"/>
              <w:left w:val="single" w:sz="4" w:space="0" w:color="auto"/>
              <w:bottom w:val="single" w:sz="4" w:space="0" w:color="auto"/>
              <w:right w:val="single" w:sz="4" w:space="0" w:color="auto"/>
            </w:tcBorders>
          </w:tcPr>
          <w:p w14:paraId="643DA5C7" w14:textId="77777777" w:rsidR="000C2668" w:rsidRPr="008160F4" w:rsidRDefault="000C2668">
            <w:pPr>
              <w:rPr>
                <w:rFonts w:asciiTheme="minorHAnsi" w:hAnsiTheme="minorHAnsi"/>
                <w:b/>
              </w:rPr>
            </w:pPr>
            <w:r w:rsidRPr="008160F4">
              <w:rPr>
                <w:rFonts w:asciiTheme="minorHAnsi" w:hAnsiTheme="minorHAnsi"/>
                <w:b/>
              </w:rPr>
              <w:t>Supervisor:</w:t>
            </w:r>
          </w:p>
          <w:p w14:paraId="2C0DB376" w14:textId="795A87B4" w:rsidR="000C2668" w:rsidRPr="008160F4" w:rsidRDefault="00E76B42">
            <w:pPr>
              <w:rPr>
                <w:rFonts w:asciiTheme="minorHAnsi" w:hAnsiTheme="minorHAnsi"/>
                <w:b/>
              </w:rPr>
            </w:pPr>
            <w:r>
              <w:rPr>
                <w:rFonts w:asciiTheme="minorHAnsi" w:hAnsiTheme="minorHAnsi"/>
                <w:b/>
              </w:rPr>
              <w:t>Paul Lemieux</w:t>
            </w:r>
          </w:p>
        </w:tc>
      </w:tr>
      <w:tr w:rsidR="000C2668" w14:paraId="2E24F96B" w14:textId="77777777" w:rsidTr="000C2668">
        <w:tc>
          <w:tcPr>
            <w:tcW w:w="9468" w:type="dxa"/>
            <w:tcBorders>
              <w:top w:val="single" w:sz="4" w:space="0" w:color="auto"/>
              <w:left w:val="single" w:sz="4" w:space="0" w:color="auto"/>
              <w:bottom w:val="single" w:sz="4" w:space="0" w:color="auto"/>
              <w:right w:val="single" w:sz="4" w:space="0" w:color="auto"/>
            </w:tcBorders>
          </w:tcPr>
          <w:p w14:paraId="3DDC49FD" w14:textId="77777777" w:rsidR="000C2668" w:rsidRPr="008160F4" w:rsidRDefault="000C2668">
            <w:pPr>
              <w:rPr>
                <w:rFonts w:asciiTheme="minorHAnsi" w:hAnsiTheme="minorHAnsi"/>
                <w:b/>
              </w:rPr>
            </w:pPr>
            <w:r w:rsidRPr="008160F4">
              <w:rPr>
                <w:rFonts w:asciiTheme="minorHAnsi" w:hAnsiTheme="minorHAnsi"/>
                <w:b/>
              </w:rPr>
              <w:t xml:space="preserve">SDM Manager:  </w:t>
            </w:r>
          </w:p>
          <w:p w14:paraId="470F39B0" w14:textId="5DE4C44D" w:rsidR="000C2668" w:rsidRPr="008160F4" w:rsidRDefault="00793407">
            <w:pPr>
              <w:rPr>
                <w:rFonts w:asciiTheme="minorHAnsi" w:hAnsiTheme="minorHAnsi"/>
                <w:b/>
              </w:rPr>
            </w:pPr>
            <w:r>
              <w:rPr>
                <w:rFonts w:asciiTheme="minorHAnsi" w:hAnsiTheme="minorHAnsi"/>
                <w:b/>
              </w:rPr>
              <w:t>Eletha Roberts</w:t>
            </w:r>
          </w:p>
        </w:tc>
      </w:tr>
      <w:tr w:rsidR="000C2668" w14:paraId="0DCADA48" w14:textId="77777777" w:rsidTr="000C2668">
        <w:tc>
          <w:tcPr>
            <w:tcW w:w="9468" w:type="dxa"/>
            <w:tcBorders>
              <w:top w:val="single" w:sz="4" w:space="0" w:color="auto"/>
              <w:left w:val="single" w:sz="4" w:space="0" w:color="auto"/>
              <w:bottom w:val="single" w:sz="4" w:space="0" w:color="auto"/>
              <w:right w:val="single" w:sz="4" w:space="0" w:color="auto"/>
            </w:tcBorders>
          </w:tcPr>
          <w:p w14:paraId="5B814799" w14:textId="77777777" w:rsidR="000C2668" w:rsidRPr="008160F4" w:rsidRDefault="000C2668">
            <w:pPr>
              <w:rPr>
                <w:rFonts w:asciiTheme="minorHAnsi" w:hAnsiTheme="minorHAnsi"/>
                <w:b/>
              </w:rPr>
            </w:pPr>
            <w:r w:rsidRPr="008160F4">
              <w:rPr>
                <w:rFonts w:asciiTheme="minorHAnsi" w:hAnsiTheme="minorHAnsi"/>
                <w:b/>
              </w:rPr>
              <w:t xml:space="preserve">QA Manager:  </w:t>
            </w:r>
          </w:p>
          <w:p w14:paraId="09A4AE99" w14:textId="2C4B9C89" w:rsidR="000C2668" w:rsidRPr="008160F4" w:rsidRDefault="00793407">
            <w:pPr>
              <w:rPr>
                <w:rFonts w:asciiTheme="minorHAnsi" w:hAnsiTheme="minorHAnsi"/>
                <w:b/>
              </w:rPr>
            </w:pPr>
            <w:r>
              <w:rPr>
                <w:rFonts w:asciiTheme="minorHAnsi" w:hAnsiTheme="minorHAnsi"/>
                <w:b/>
              </w:rPr>
              <w:t>Eletha Roberts</w:t>
            </w:r>
          </w:p>
        </w:tc>
      </w:tr>
    </w:tbl>
    <w:p w14:paraId="430CFDA1" w14:textId="77777777" w:rsidR="000C2668" w:rsidRDefault="000C2668" w:rsidP="00955471">
      <w:pPr>
        <w:rPr>
          <w:rFonts w:ascii="Calibri" w:hAnsi="Calibri" w:cs="Calibri"/>
          <w:color w:val="1F497D"/>
          <w:sz w:val="22"/>
          <w:szCs w:val="22"/>
        </w:rPr>
      </w:pPr>
    </w:p>
    <w:p w14:paraId="646AEB58" w14:textId="77777777" w:rsidR="000C2668" w:rsidRDefault="000C2668" w:rsidP="00955471">
      <w:pPr>
        <w:rPr>
          <w:rFonts w:ascii="Calibri" w:hAnsi="Calibri" w:cs="Calibri"/>
          <w:color w:val="1F497D"/>
          <w:sz w:val="22"/>
          <w:szCs w:val="22"/>
        </w:rPr>
      </w:pPr>
    </w:p>
    <w:p w14:paraId="140DB142" w14:textId="77A1A124" w:rsidR="00AE2682" w:rsidRDefault="000C2668" w:rsidP="00530F55">
      <w:pPr>
        <w:pStyle w:val="ListParagraph"/>
        <w:numPr>
          <w:ilvl w:val="0"/>
          <w:numId w:val="6"/>
        </w:numPr>
        <w:rPr>
          <w:rFonts w:ascii="Calibri" w:hAnsi="Calibri" w:cs="Calibri"/>
          <w:color w:val="1F497D"/>
          <w:sz w:val="22"/>
          <w:szCs w:val="22"/>
        </w:rPr>
      </w:pPr>
      <w:r>
        <w:rPr>
          <w:rFonts w:ascii="Calibri" w:hAnsi="Calibri" w:cs="Calibri"/>
          <w:color w:val="1F497D"/>
          <w:sz w:val="22"/>
          <w:szCs w:val="22"/>
        </w:rPr>
        <w:t>Did the Research Effort Lead (or designee) verify the dataset?</w:t>
      </w:r>
    </w:p>
    <w:tbl>
      <w:tblPr>
        <w:tblStyle w:val="TableGrid"/>
        <w:tblW w:w="0" w:type="auto"/>
        <w:tblInd w:w="720" w:type="dxa"/>
        <w:tblLook w:val="04A0" w:firstRow="1" w:lastRow="0" w:firstColumn="1" w:lastColumn="0" w:noHBand="0" w:noVBand="1"/>
      </w:tblPr>
      <w:tblGrid>
        <w:gridCol w:w="1165"/>
        <w:gridCol w:w="1170"/>
      </w:tblGrid>
      <w:tr w:rsidR="00AE2682" w14:paraId="6D5AE09E" w14:textId="77777777" w:rsidTr="008160F4">
        <w:tc>
          <w:tcPr>
            <w:tcW w:w="1165" w:type="dxa"/>
            <w:tcBorders>
              <w:bottom w:val="single" w:sz="4" w:space="0" w:color="auto"/>
            </w:tcBorders>
          </w:tcPr>
          <w:p w14:paraId="4917D256" w14:textId="64AFCAA0" w:rsidR="00AE2682" w:rsidRDefault="00AE2682" w:rsidP="00D632C6">
            <w:pPr>
              <w:pStyle w:val="ListParagraph"/>
              <w:ind w:left="0"/>
              <w:jc w:val="center"/>
              <w:rPr>
                <w:rFonts w:ascii="Calibri" w:hAnsi="Calibri" w:cs="Calibri"/>
                <w:color w:val="1F497D"/>
                <w:sz w:val="22"/>
                <w:szCs w:val="22"/>
              </w:rPr>
            </w:pPr>
            <w:r>
              <w:rPr>
                <w:rFonts w:ascii="Calibri" w:hAnsi="Calibri" w:cs="Calibri"/>
                <w:color w:val="1F497D"/>
                <w:sz w:val="22"/>
                <w:szCs w:val="22"/>
              </w:rPr>
              <w:t>Yes</w:t>
            </w:r>
          </w:p>
        </w:tc>
        <w:tc>
          <w:tcPr>
            <w:tcW w:w="1170" w:type="dxa"/>
            <w:tcBorders>
              <w:bottom w:val="single" w:sz="4" w:space="0" w:color="auto"/>
            </w:tcBorders>
          </w:tcPr>
          <w:p w14:paraId="31ED080E" w14:textId="6BC0F016" w:rsidR="00AE2682" w:rsidRDefault="00793407" w:rsidP="00D632C6">
            <w:pPr>
              <w:pStyle w:val="ListParagraph"/>
              <w:ind w:left="0"/>
              <w:jc w:val="center"/>
              <w:rPr>
                <w:rFonts w:ascii="Calibri" w:hAnsi="Calibri" w:cs="Calibri"/>
                <w:color w:val="1F497D"/>
                <w:sz w:val="22"/>
                <w:szCs w:val="22"/>
              </w:rPr>
            </w:pPr>
            <w:r>
              <w:rPr>
                <w:rFonts w:ascii="Calibri" w:hAnsi="Calibri" w:cs="Calibri"/>
                <w:color w:val="1F497D"/>
                <w:sz w:val="22"/>
                <w:szCs w:val="22"/>
              </w:rPr>
              <w:t>X</w:t>
            </w:r>
          </w:p>
        </w:tc>
      </w:tr>
      <w:tr w:rsidR="00AE2682" w14:paraId="7C013961" w14:textId="77777777" w:rsidTr="00AE2682">
        <w:tc>
          <w:tcPr>
            <w:tcW w:w="1165" w:type="dxa"/>
          </w:tcPr>
          <w:p w14:paraId="5267FDF1" w14:textId="46FD4327" w:rsidR="00AE2682" w:rsidRDefault="00AE2682" w:rsidP="00D632C6">
            <w:pPr>
              <w:pStyle w:val="ListParagraph"/>
              <w:ind w:left="0"/>
              <w:jc w:val="center"/>
              <w:rPr>
                <w:rFonts w:ascii="Calibri" w:hAnsi="Calibri" w:cs="Calibri"/>
                <w:color w:val="1F497D"/>
                <w:sz w:val="22"/>
                <w:szCs w:val="22"/>
              </w:rPr>
            </w:pPr>
            <w:r>
              <w:rPr>
                <w:rFonts w:ascii="Calibri" w:hAnsi="Calibri" w:cs="Calibri"/>
                <w:color w:val="1F497D"/>
                <w:sz w:val="22"/>
                <w:szCs w:val="22"/>
              </w:rPr>
              <w:t>No</w:t>
            </w:r>
          </w:p>
        </w:tc>
        <w:tc>
          <w:tcPr>
            <w:tcW w:w="1170" w:type="dxa"/>
          </w:tcPr>
          <w:p w14:paraId="7A85D9CB" w14:textId="77777777" w:rsidR="00AE2682" w:rsidRDefault="00AE2682" w:rsidP="00D632C6">
            <w:pPr>
              <w:pStyle w:val="ListParagraph"/>
              <w:ind w:left="0"/>
              <w:jc w:val="center"/>
              <w:rPr>
                <w:rFonts w:ascii="Calibri" w:hAnsi="Calibri" w:cs="Calibri"/>
                <w:color w:val="1F497D"/>
                <w:sz w:val="22"/>
                <w:szCs w:val="22"/>
              </w:rPr>
            </w:pPr>
          </w:p>
        </w:tc>
      </w:tr>
    </w:tbl>
    <w:p w14:paraId="039A5938" w14:textId="77777777" w:rsidR="00AE2682" w:rsidRDefault="00AE2682" w:rsidP="00E36C20">
      <w:pPr>
        <w:pStyle w:val="ListParagraph"/>
        <w:rPr>
          <w:rFonts w:ascii="Calibri" w:hAnsi="Calibri" w:cs="Calibri"/>
          <w:color w:val="1F497D"/>
          <w:sz w:val="22"/>
          <w:szCs w:val="22"/>
        </w:rPr>
      </w:pPr>
    </w:p>
    <w:p w14:paraId="35B15F2D" w14:textId="77777777" w:rsidR="00751341" w:rsidRDefault="00751341" w:rsidP="00955471">
      <w:pPr>
        <w:rPr>
          <w:rFonts w:ascii="Calibri" w:hAnsi="Calibri" w:cs="Calibri"/>
          <w:color w:val="1F497D"/>
          <w:sz w:val="22"/>
          <w:szCs w:val="22"/>
        </w:rPr>
      </w:pPr>
    </w:p>
    <w:p w14:paraId="2D8C6A81" w14:textId="46F2E633" w:rsidR="000C2668" w:rsidRPr="000C2668" w:rsidRDefault="000C2668" w:rsidP="00DE3AE7">
      <w:pPr>
        <w:pStyle w:val="ListParagraph"/>
        <w:numPr>
          <w:ilvl w:val="0"/>
          <w:numId w:val="6"/>
        </w:numPr>
        <w:rPr>
          <w:rFonts w:ascii="Calibri" w:hAnsi="Calibri" w:cs="Calibri"/>
          <w:color w:val="1F497D"/>
          <w:sz w:val="22"/>
          <w:szCs w:val="22"/>
        </w:rPr>
      </w:pPr>
      <w:r>
        <w:rPr>
          <w:rFonts w:ascii="Calibri" w:hAnsi="Calibri"/>
          <w:color w:val="1F497D"/>
          <w:sz w:val="22"/>
          <w:szCs w:val="22"/>
        </w:rPr>
        <w:t>Were there deviations from the approved QAPP, or other planning documents, that impacted the dataset?   </w:t>
      </w:r>
    </w:p>
    <w:tbl>
      <w:tblPr>
        <w:tblStyle w:val="TableGrid"/>
        <w:tblW w:w="0" w:type="auto"/>
        <w:tblInd w:w="720" w:type="dxa"/>
        <w:tblLook w:val="04A0" w:firstRow="1" w:lastRow="0" w:firstColumn="1" w:lastColumn="0" w:noHBand="0" w:noVBand="1"/>
      </w:tblPr>
      <w:tblGrid>
        <w:gridCol w:w="1165"/>
        <w:gridCol w:w="1170"/>
      </w:tblGrid>
      <w:tr w:rsidR="000C2668" w14:paraId="77A9EF0B" w14:textId="77777777" w:rsidTr="00263932">
        <w:tc>
          <w:tcPr>
            <w:tcW w:w="1165" w:type="dxa"/>
          </w:tcPr>
          <w:p w14:paraId="7146A6FC" w14:textId="77777777" w:rsidR="000C2668" w:rsidRDefault="000C2668" w:rsidP="00263932">
            <w:pPr>
              <w:pStyle w:val="ListParagraph"/>
              <w:ind w:left="0"/>
              <w:jc w:val="center"/>
              <w:rPr>
                <w:rFonts w:ascii="Calibri" w:hAnsi="Calibri" w:cs="Calibri"/>
                <w:color w:val="1F497D"/>
                <w:sz w:val="22"/>
                <w:szCs w:val="22"/>
              </w:rPr>
            </w:pPr>
            <w:r>
              <w:rPr>
                <w:rFonts w:ascii="Calibri" w:hAnsi="Calibri" w:cs="Calibri"/>
                <w:color w:val="1F497D"/>
                <w:sz w:val="22"/>
                <w:szCs w:val="22"/>
              </w:rPr>
              <w:t>Yes</w:t>
            </w:r>
          </w:p>
        </w:tc>
        <w:tc>
          <w:tcPr>
            <w:tcW w:w="1170" w:type="dxa"/>
          </w:tcPr>
          <w:p w14:paraId="3E810BAE" w14:textId="77777777" w:rsidR="000C2668" w:rsidRDefault="000C2668" w:rsidP="00263932">
            <w:pPr>
              <w:pStyle w:val="ListParagraph"/>
              <w:ind w:left="0"/>
              <w:jc w:val="center"/>
              <w:rPr>
                <w:rFonts w:ascii="Calibri" w:hAnsi="Calibri" w:cs="Calibri"/>
                <w:color w:val="1F497D"/>
                <w:sz w:val="22"/>
                <w:szCs w:val="22"/>
              </w:rPr>
            </w:pPr>
          </w:p>
        </w:tc>
      </w:tr>
      <w:tr w:rsidR="000C2668" w14:paraId="1B9247B5" w14:textId="77777777" w:rsidTr="00263932">
        <w:tc>
          <w:tcPr>
            <w:tcW w:w="1165" w:type="dxa"/>
          </w:tcPr>
          <w:p w14:paraId="4D447B39" w14:textId="77777777" w:rsidR="000C2668" w:rsidRDefault="000C2668" w:rsidP="00263932">
            <w:pPr>
              <w:pStyle w:val="ListParagraph"/>
              <w:ind w:left="0"/>
              <w:jc w:val="center"/>
              <w:rPr>
                <w:rFonts w:ascii="Calibri" w:hAnsi="Calibri" w:cs="Calibri"/>
                <w:color w:val="1F497D"/>
                <w:sz w:val="22"/>
                <w:szCs w:val="22"/>
              </w:rPr>
            </w:pPr>
            <w:r>
              <w:rPr>
                <w:rFonts w:ascii="Calibri" w:hAnsi="Calibri" w:cs="Calibri"/>
                <w:color w:val="1F497D"/>
                <w:sz w:val="22"/>
                <w:szCs w:val="22"/>
              </w:rPr>
              <w:t>No</w:t>
            </w:r>
          </w:p>
        </w:tc>
        <w:tc>
          <w:tcPr>
            <w:tcW w:w="1170" w:type="dxa"/>
          </w:tcPr>
          <w:p w14:paraId="573807DB" w14:textId="63C75E4C" w:rsidR="000C2668" w:rsidRDefault="00793407" w:rsidP="00263932">
            <w:pPr>
              <w:pStyle w:val="ListParagraph"/>
              <w:ind w:left="0"/>
              <w:jc w:val="center"/>
              <w:rPr>
                <w:rFonts w:ascii="Calibri" w:hAnsi="Calibri" w:cs="Calibri"/>
                <w:color w:val="1F497D"/>
                <w:sz w:val="22"/>
                <w:szCs w:val="22"/>
              </w:rPr>
            </w:pPr>
            <w:r>
              <w:rPr>
                <w:rFonts w:ascii="Calibri" w:hAnsi="Calibri" w:cs="Calibri"/>
                <w:color w:val="1F497D"/>
                <w:sz w:val="22"/>
                <w:szCs w:val="22"/>
              </w:rPr>
              <w:t>X</w:t>
            </w:r>
          </w:p>
        </w:tc>
      </w:tr>
    </w:tbl>
    <w:p w14:paraId="6F75FBA8" w14:textId="77777777" w:rsidR="000C2668" w:rsidRDefault="000C2668" w:rsidP="000C2668">
      <w:pPr>
        <w:rPr>
          <w:rFonts w:ascii="Calibri" w:hAnsi="Calibri" w:cs="Calibri"/>
          <w:color w:val="1F497D"/>
          <w:sz w:val="22"/>
          <w:szCs w:val="22"/>
        </w:rPr>
      </w:pPr>
    </w:p>
    <w:p w14:paraId="55D5BADA" w14:textId="036E1DB5" w:rsidR="000C2668" w:rsidRDefault="000C2668" w:rsidP="000C2668">
      <w:pPr>
        <w:ind w:left="720"/>
        <w:rPr>
          <w:rFonts w:ascii="Calibri" w:hAnsi="Calibri" w:cs="Calibri"/>
          <w:color w:val="1F497D"/>
          <w:sz w:val="22"/>
          <w:szCs w:val="22"/>
        </w:rPr>
      </w:pPr>
      <w:r>
        <w:rPr>
          <w:rFonts w:ascii="Calibri" w:hAnsi="Calibri" w:cs="Calibri"/>
          <w:color w:val="1F497D"/>
          <w:sz w:val="22"/>
          <w:szCs w:val="22"/>
        </w:rPr>
        <w:t>If yes, describe:</w:t>
      </w:r>
    </w:p>
    <w:p w14:paraId="1E879E4F" w14:textId="77777777" w:rsidR="000C2668" w:rsidRDefault="000C2668" w:rsidP="000C2668">
      <w:pPr>
        <w:rPr>
          <w:rFonts w:ascii="Calibri" w:hAnsi="Calibri" w:cs="Calibri"/>
          <w:color w:val="1F497D"/>
          <w:sz w:val="22"/>
          <w:szCs w:val="22"/>
        </w:rPr>
      </w:pPr>
    </w:p>
    <w:p w14:paraId="53D0F15F" w14:textId="77777777" w:rsidR="000C2668" w:rsidRPr="000C2668" w:rsidRDefault="000C2668" w:rsidP="000C2668">
      <w:pPr>
        <w:rPr>
          <w:rFonts w:ascii="Calibri" w:hAnsi="Calibri" w:cs="Calibri"/>
          <w:color w:val="1F497D"/>
          <w:sz w:val="22"/>
          <w:szCs w:val="22"/>
        </w:rPr>
      </w:pPr>
    </w:p>
    <w:p w14:paraId="4BE6543C" w14:textId="77777777" w:rsidR="000C2668" w:rsidRDefault="000C2668" w:rsidP="000C2668">
      <w:pPr>
        <w:pStyle w:val="ListParagraph"/>
        <w:numPr>
          <w:ilvl w:val="0"/>
          <w:numId w:val="6"/>
        </w:numPr>
        <w:rPr>
          <w:rFonts w:ascii="Calibri" w:hAnsi="Calibri"/>
          <w:color w:val="1F497D"/>
          <w:sz w:val="22"/>
          <w:szCs w:val="22"/>
        </w:rPr>
      </w:pPr>
      <w:r w:rsidRPr="000C2668">
        <w:rPr>
          <w:rFonts w:ascii="Calibri" w:hAnsi="Calibri"/>
          <w:color w:val="1F497D"/>
          <w:sz w:val="22"/>
          <w:szCs w:val="22"/>
        </w:rPr>
        <w:t>Were all QA/QC verification checks performed as specified in the QAPP or SOP?</w:t>
      </w:r>
    </w:p>
    <w:tbl>
      <w:tblPr>
        <w:tblStyle w:val="TableGrid"/>
        <w:tblW w:w="0" w:type="auto"/>
        <w:tblInd w:w="720" w:type="dxa"/>
        <w:tblLook w:val="04A0" w:firstRow="1" w:lastRow="0" w:firstColumn="1" w:lastColumn="0" w:noHBand="0" w:noVBand="1"/>
      </w:tblPr>
      <w:tblGrid>
        <w:gridCol w:w="1165"/>
        <w:gridCol w:w="1170"/>
      </w:tblGrid>
      <w:tr w:rsidR="000C2668" w14:paraId="2E4B4A74" w14:textId="77777777" w:rsidTr="00263932">
        <w:tc>
          <w:tcPr>
            <w:tcW w:w="1165" w:type="dxa"/>
          </w:tcPr>
          <w:p w14:paraId="0C88F8AC" w14:textId="77777777" w:rsidR="000C2668" w:rsidRDefault="000C2668" w:rsidP="00263932">
            <w:pPr>
              <w:pStyle w:val="ListParagraph"/>
              <w:ind w:left="0"/>
              <w:jc w:val="center"/>
              <w:rPr>
                <w:rFonts w:ascii="Calibri" w:hAnsi="Calibri" w:cs="Calibri"/>
                <w:color w:val="1F497D"/>
                <w:sz w:val="22"/>
                <w:szCs w:val="22"/>
              </w:rPr>
            </w:pPr>
            <w:r>
              <w:rPr>
                <w:rFonts w:ascii="Calibri" w:hAnsi="Calibri" w:cs="Calibri"/>
                <w:color w:val="1F497D"/>
                <w:sz w:val="22"/>
                <w:szCs w:val="22"/>
              </w:rPr>
              <w:t>Yes</w:t>
            </w:r>
          </w:p>
        </w:tc>
        <w:tc>
          <w:tcPr>
            <w:tcW w:w="1170" w:type="dxa"/>
          </w:tcPr>
          <w:p w14:paraId="7DB89C26" w14:textId="72796F6F" w:rsidR="000C2668" w:rsidRDefault="00793407" w:rsidP="00263932">
            <w:pPr>
              <w:pStyle w:val="ListParagraph"/>
              <w:ind w:left="0"/>
              <w:jc w:val="center"/>
              <w:rPr>
                <w:rFonts w:ascii="Calibri" w:hAnsi="Calibri" w:cs="Calibri"/>
                <w:color w:val="1F497D"/>
                <w:sz w:val="22"/>
                <w:szCs w:val="22"/>
              </w:rPr>
            </w:pPr>
            <w:r>
              <w:rPr>
                <w:rFonts w:ascii="Calibri" w:hAnsi="Calibri" w:cs="Calibri"/>
                <w:color w:val="1F497D"/>
                <w:sz w:val="22"/>
                <w:szCs w:val="22"/>
              </w:rPr>
              <w:t>X</w:t>
            </w:r>
          </w:p>
        </w:tc>
      </w:tr>
      <w:tr w:rsidR="000C2668" w14:paraId="327CB080" w14:textId="77777777" w:rsidTr="00263932">
        <w:tc>
          <w:tcPr>
            <w:tcW w:w="1165" w:type="dxa"/>
          </w:tcPr>
          <w:p w14:paraId="1974064E" w14:textId="77777777" w:rsidR="000C2668" w:rsidRDefault="000C2668" w:rsidP="00263932">
            <w:pPr>
              <w:pStyle w:val="ListParagraph"/>
              <w:ind w:left="0"/>
              <w:jc w:val="center"/>
              <w:rPr>
                <w:rFonts w:ascii="Calibri" w:hAnsi="Calibri" w:cs="Calibri"/>
                <w:color w:val="1F497D"/>
                <w:sz w:val="22"/>
                <w:szCs w:val="22"/>
              </w:rPr>
            </w:pPr>
            <w:r>
              <w:rPr>
                <w:rFonts w:ascii="Calibri" w:hAnsi="Calibri" w:cs="Calibri"/>
                <w:color w:val="1F497D"/>
                <w:sz w:val="22"/>
                <w:szCs w:val="22"/>
              </w:rPr>
              <w:t>No</w:t>
            </w:r>
          </w:p>
        </w:tc>
        <w:tc>
          <w:tcPr>
            <w:tcW w:w="1170" w:type="dxa"/>
          </w:tcPr>
          <w:p w14:paraId="1322A0BA" w14:textId="77777777" w:rsidR="000C2668" w:rsidRDefault="000C2668" w:rsidP="00263932">
            <w:pPr>
              <w:pStyle w:val="ListParagraph"/>
              <w:ind w:left="0"/>
              <w:jc w:val="center"/>
              <w:rPr>
                <w:rFonts w:ascii="Calibri" w:hAnsi="Calibri" w:cs="Calibri"/>
                <w:color w:val="1F497D"/>
                <w:sz w:val="22"/>
                <w:szCs w:val="22"/>
              </w:rPr>
            </w:pPr>
          </w:p>
        </w:tc>
      </w:tr>
    </w:tbl>
    <w:p w14:paraId="71DB915B" w14:textId="5E3A5976" w:rsidR="000C2668" w:rsidRPr="000C2668" w:rsidRDefault="000C2668" w:rsidP="000C2668">
      <w:pPr>
        <w:rPr>
          <w:rFonts w:ascii="Calibri" w:hAnsi="Calibri"/>
          <w:color w:val="1F497D"/>
          <w:sz w:val="22"/>
          <w:szCs w:val="22"/>
        </w:rPr>
      </w:pPr>
      <w:r w:rsidRPr="000C2668">
        <w:rPr>
          <w:rFonts w:ascii="Calibri" w:hAnsi="Calibri"/>
          <w:color w:val="1F497D"/>
          <w:sz w:val="22"/>
          <w:szCs w:val="22"/>
        </w:rPr>
        <w:t xml:space="preserve"> </w:t>
      </w:r>
    </w:p>
    <w:p w14:paraId="0F643969" w14:textId="713F7403" w:rsidR="000C2668" w:rsidRDefault="000C2668" w:rsidP="000C2668">
      <w:pPr>
        <w:pStyle w:val="ListParagraph"/>
        <w:rPr>
          <w:rFonts w:ascii="Calibri" w:hAnsi="Calibri"/>
          <w:color w:val="1F497D"/>
          <w:sz w:val="22"/>
          <w:szCs w:val="22"/>
        </w:rPr>
      </w:pPr>
      <w:r w:rsidRPr="000C2668">
        <w:rPr>
          <w:rFonts w:ascii="Calibri" w:hAnsi="Calibri"/>
          <w:color w:val="1F497D"/>
          <w:sz w:val="22"/>
          <w:szCs w:val="22"/>
        </w:rPr>
        <w:t>Discuss the impact to the reported dataset due to any unacceptable QA/QC results or deviations from the approved Q</w:t>
      </w:r>
      <w:r>
        <w:rPr>
          <w:rFonts w:ascii="Calibri" w:hAnsi="Calibri"/>
          <w:color w:val="1F497D"/>
          <w:sz w:val="22"/>
          <w:szCs w:val="22"/>
        </w:rPr>
        <w:t>APP or other planning documents:</w:t>
      </w:r>
    </w:p>
    <w:p w14:paraId="3686ED04" w14:textId="77777777" w:rsidR="000C2668" w:rsidRPr="000C2668" w:rsidRDefault="000C2668" w:rsidP="000C2668">
      <w:pPr>
        <w:pStyle w:val="ListParagraph"/>
        <w:rPr>
          <w:rFonts w:ascii="Calibri" w:hAnsi="Calibri"/>
          <w:color w:val="1F497D"/>
          <w:sz w:val="22"/>
          <w:szCs w:val="22"/>
        </w:rPr>
      </w:pPr>
    </w:p>
    <w:p w14:paraId="01781837" w14:textId="77777777" w:rsidR="000C2668" w:rsidRDefault="000C2668" w:rsidP="000C2668">
      <w:pPr>
        <w:pStyle w:val="ListParagraph"/>
        <w:rPr>
          <w:rFonts w:ascii="Calibri" w:hAnsi="Calibri" w:cs="Calibri"/>
          <w:color w:val="1F497D"/>
          <w:sz w:val="22"/>
          <w:szCs w:val="22"/>
        </w:rPr>
      </w:pPr>
    </w:p>
    <w:p w14:paraId="6CF55C16" w14:textId="194F89C6" w:rsidR="00AE2682" w:rsidRDefault="001A1097" w:rsidP="00DE3AE7">
      <w:pPr>
        <w:pStyle w:val="ListParagraph"/>
        <w:numPr>
          <w:ilvl w:val="0"/>
          <w:numId w:val="6"/>
        </w:numPr>
        <w:rPr>
          <w:rFonts w:ascii="Calibri" w:hAnsi="Calibri" w:cs="Calibri"/>
          <w:color w:val="1F497D"/>
          <w:sz w:val="22"/>
          <w:szCs w:val="22"/>
        </w:rPr>
      </w:pPr>
      <w:r w:rsidRPr="00DE3AE7">
        <w:rPr>
          <w:rFonts w:ascii="Calibri" w:hAnsi="Calibri" w:cs="Calibri"/>
          <w:color w:val="1F497D"/>
          <w:sz w:val="22"/>
          <w:szCs w:val="22"/>
        </w:rPr>
        <w:t xml:space="preserve">Were </w:t>
      </w:r>
      <w:r w:rsidR="000C2668">
        <w:rPr>
          <w:rFonts w:ascii="Calibri" w:hAnsi="Calibri" w:cs="Calibri"/>
          <w:color w:val="1F497D"/>
          <w:sz w:val="22"/>
          <w:szCs w:val="22"/>
        </w:rPr>
        <w:t>any QA oversight activities performed (e.g., audit or technical review)?</w:t>
      </w:r>
      <w:r w:rsidR="00DE3AE7" w:rsidRPr="00DE3AE7">
        <w:rPr>
          <w:rFonts w:ascii="Calibri" w:hAnsi="Calibri" w:cs="Calibri"/>
          <w:color w:val="1F497D"/>
          <w:sz w:val="22"/>
          <w:szCs w:val="22"/>
        </w:rPr>
        <w:t xml:space="preserve">  </w:t>
      </w:r>
    </w:p>
    <w:tbl>
      <w:tblPr>
        <w:tblStyle w:val="TableGrid"/>
        <w:tblW w:w="0" w:type="auto"/>
        <w:tblInd w:w="720" w:type="dxa"/>
        <w:tblLook w:val="04A0" w:firstRow="1" w:lastRow="0" w:firstColumn="1" w:lastColumn="0" w:noHBand="0" w:noVBand="1"/>
      </w:tblPr>
      <w:tblGrid>
        <w:gridCol w:w="1165"/>
        <w:gridCol w:w="1170"/>
      </w:tblGrid>
      <w:tr w:rsidR="00AE2682" w14:paraId="073EF4F1" w14:textId="77777777" w:rsidTr="00404757">
        <w:tc>
          <w:tcPr>
            <w:tcW w:w="1165" w:type="dxa"/>
          </w:tcPr>
          <w:p w14:paraId="164A9A4D" w14:textId="77777777" w:rsidR="00AE2682" w:rsidRDefault="00AE2682" w:rsidP="00D632C6">
            <w:pPr>
              <w:pStyle w:val="ListParagraph"/>
              <w:ind w:left="0"/>
              <w:jc w:val="center"/>
              <w:rPr>
                <w:rFonts w:ascii="Calibri" w:hAnsi="Calibri" w:cs="Calibri"/>
                <w:color w:val="1F497D"/>
                <w:sz w:val="22"/>
                <w:szCs w:val="22"/>
              </w:rPr>
            </w:pPr>
            <w:r>
              <w:rPr>
                <w:rFonts w:ascii="Calibri" w:hAnsi="Calibri" w:cs="Calibri"/>
                <w:color w:val="1F497D"/>
                <w:sz w:val="22"/>
                <w:szCs w:val="22"/>
              </w:rPr>
              <w:t>Yes</w:t>
            </w:r>
          </w:p>
        </w:tc>
        <w:tc>
          <w:tcPr>
            <w:tcW w:w="1170" w:type="dxa"/>
          </w:tcPr>
          <w:p w14:paraId="470E361E" w14:textId="37B4EFC2" w:rsidR="00AE2682" w:rsidRDefault="00793407" w:rsidP="00D632C6">
            <w:pPr>
              <w:pStyle w:val="ListParagraph"/>
              <w:ind w:left="0"/>
              <w:jc w:val="center"/>
              <w:rPr>
                <w:rFonts w:ascii="Calibri" w:hAnsi="Calibri" w:cs="Calibri"/>
                <w:color w:val="1F497D"/>
                <w:sz w:val="22"/>
                <w:szCs w:val="22"/>
              </w:rPr>
            </w:pPr>
            <w:r>
              <w:rPr>
                <w:rFonts w:ascii="Calibri" w:hAnsi="Calibri" w:cs="Calibri"/>
                <w:color w:val="1F497D"/>
                <w:sz w:val="22"/>
                <w:szCs w:val="22"/>
              </w:rPr>
              <w:t>X</w:t>
            </w:r>
          </w:p>
        </w:tc>
      </w:tr>
      <w:tr w:rsidR="00AE2682" w14:paraId="15CB306E" w14:textId="77777777" w:rsidTr="00404757">
        <w:tc>
          <w:tcPr>
            <w:tcW w:w="1165" w:type="dxa"/>
          </w:tcPr>
          <w:p w14:paraId="15478570" w14:textId="77777777" w:rsidR="00AE2682" w:rsidRDefault="00AE2682" w:rsidP="00D632C6">
            <w:pPr>
              <w:pStyle w:val="ListParagraph"/>
              <w:ind w:left="0"/>
              <w:jc w:val="center"/>
              <w:rPr>
                <w:rFonts w:ascii="Calibri" w:hAnsi="Calibri" w:cs="Calibri"/>
                <w:color w:val="1F497D"/>
                <w:sz w:val="22"/>
                <w:szCs w:val="22"/>
              </w:rPr>
            </w:pPr>
            <w:r>
              <w:rPr>
                <w:rFonts w:ascii="Calibri" w:hAnsi="Calibri" w:cs="Calibri"/>
                <w:color w:val="1F497D"/>
                <w:sz w:val="22"/>
                <w:szCs w:val="22"/>
              </w:rPr>
              <w:t>No</w:t>
            </w:r>
          </w:p>
        </w:tc>
        <w:tc>
          <w:tcPr>
            <w:tcW w:w="1170" w:type="dxa"/>
          </w:tcPr>
          <w:p w14:paraId="73D6E2E4" w14:textId="77777777" w:rsidR="00AE2682" w:rsidRDefault="00AE2682" w:rsidP="00D632C6">
            <w:pPr>
              <w:pStyle w:val="ListParagraph"/>
              <w:ind w:left="0"/>
              <w:jc w:val="center"/>
              <w:rPr>
                <w:rFonts w:ascii="Calibri" w:hAnsi="Calibri" w:cs="Calibri"/>
                <w:color w:val="1F497D"/>
                <w:sz w:val="22"/>
                <w:szCs w:val="22"/>
              </w:rPr>
            </w:pPr>
          </w:p>
        </w:tc>
      </w:tr>
    </w:tbl>
    <w:p w14:paraId="535D6AF2" w14:textId="77777777" w:rsidR="00AE2682" w:rsidRDefault="00AE2682" w:rsidP="00481223">
      <w:pPr>
        <w:ind w:firstLine="720"/>
        <w:rPr>
          <w:rFonts w:ascii="Calibri" w:hAnsi="Calibri" w:cs="Calibri"/>
          <w:color w:val="1F497D"/>
          <w:sz w:val="22"/>
          <w:szCs w:val="22"/>
        </w:rPr>
      </w:pPr>
    </w:p>
    <w:p w14:paraId="619A4185" w14:textId="3D240E56" w:rsidR="003A17CD" w:rsidRDefault="000C2668" w:rsidP="00481223">
      <w:pPr>
        <w:ind w:firstLine="720"/>
        <w:rPr>
          <w:rFonts w:ascii="Calibri" w:hAnsi="Calibri" w:cs="Calibri"/>
          <w:color w:val="1F497D"/>
          <w:sz w:val="22"/>
          <w:szCs w:val="22"/>
        </w:rPr>
      </w:pPr>
      <w:r>
        <w:rPr>
          <w:rFonts w:ascii="Calibri" w:hAnsi="Calibri" w:cs="Calibri"/>
          <w:color w:val="1F497D"/>
          <w:sz w:val="22"/>
          <w:szCs w:val="22"/>
        </w:rPr>
        <w:lastRenderedPageBreak/>
        <w:t>If yes, indicate the type of activity and date performed:</w:t>
      </w:r>
    </w:p>
    <w:p w14:paraId="54AD632E" w14:textId="335EB7D3" w:rsidR="00751341" w:rsidRDefault="00793407" w:rsidP="00955471">
      <w:pPr>
        <w:rPr>
          <w:rFonts w:ascii="Calibri" w:hAnsi="Calibri" w:cs="Calibri"/>
          <w:color w:val="1F497D"/>
          <w:sz w:val="22"/>
          <w:szCs w:val="22"/>
        </w:rPr>
      </w:pPr>
      <w:r>
        <w:rPr>
          <w:rFonts w:ascii="Calibri" w:hAnsi="Calibri" w:cs="Calibri"/>
          <w:color w:val="1F497D"/>
          <w:sz w:val="22"/>
          <w:szCs w:val="22"/>
        </w:rPr>
        <w:t>Data quality audits</w:t>
      </w:r>
    </w:p>
    <w:p w14:paraId="00B4E5E9" w14:textId="72579E79" w:rsidR="000D781A" w:rsidRDefault="000D781A" w:rsidP="000D781A"/>
    <w:p w14:paraId="26678BC2" w14:textId="6D69586E" w:rsidR="008835B2" w:rsidRDefault="008835B2" w:rsidP="000D781A"/>
    <w:p w14:paraId="00408796" w14:textId="77777777" w:rsidR="008835B2" w:rsidRPr="008835B2" w:rsidRDefault="008835B2" w:rsidP="008835B2">
      <w:pPr>
        <w:pStyle w:val="Heading1"/>
        <w:rPr>
          <w:rFonts w:ascii="Times New Roman" w:hAnsi="Times New Roman" w:cs="Times New Roman"/>
          <w:sz w:val="24"/>
          <w:szCs w:val="24"/>
        </w:rPr>
      </w:pPr>
      <w:bookmarkStart w:id="1" w:name="_Toc458159072"/>
      <w:bookmarkStart w:id="2" w:name="_Toc437935408"/>
      <w:r w:rsidRPr="008835B2">
        <w:rPr>
          <w:rFonts w:ascii="Times New Roman" w:hAnsi="Times New Roman" w:cs="Times New Roman"/>
          <w:b w:val="0"/>
          <w:bCs w:val="0"/>
          <w:sz w:val="24"/>
          <w:szCs w:val="24"/>
        </w:rPr>
        <w:t>Quality Assurance and Quality Control</w:t>
      </w:r>
      <w:bookmarkEnd w:id="1"/>
      <w:r w:rsidRPr="008835B2">
        <w:rPr>
          <w:rFonts w:ascii="Times New Roman" w:hAnsi="Times New Roman" w:cs="Times New Roman"/>
          <w:b w:val="0"/>
          <w:bCs w:val="0"/>
          <w:sz w:val="24"/>
          <w:szCs w:val="24"/>
        </w:rPr>
        <w:t xml:space="preserve"> </w:t>
      </w:r>
      <w:bookmarkEnd w:id="2"/>
    </w:p>
    <w:p w14:paraId="469E3BF7" w14:textId="77777777" w:rsidR="008835B2" w:rsidRPr="008835B2" w:rsidRDefault="008835B2" w:rsidP="008835B2">
      <w:pPr>
        <w:spacing w:before="100" w:beforeAutospacing="1" w:after="100" w:afterAutospacing="1"/>
        <w:rPr>
          <w:rFonts w:ascii="Times New Roman" w:hAnsi="Times New Roman"/>
        </w:rPr>
      </w:pPr>
      <w:r w:rsidRPr="008835B2">
        <w:rPr>
          <w:rFonts w:ascii="Times New Roman" w:hAnsi="Times New Roman"/>
        </w:rPr>
        <w:t>All test activities were documented via narratives in laboratory notebooks and the use of digital photography. The documentation included, but was not limited to, a record for each decontamination procedure, any deviations from the QAPP, and physical impacts on materials. All tests were conducted in accordance with established EPA Decontamination Technologies Research Laboratory (DTRL) and NHSRC RTP Microbiology Laboratory procedures to ensure repeatability and adherence to the data quality validation criteria set for this project</w:t>
      </w:r>
    </w:p>
    <w:p w14:paraId="3F6F4E98" w14:textId="77777777" w:rsidR="008835B2" w:rsidRPr="008835B2" w:rsidRDefault="008835B2" w:rsidP="008835B2">
      <w:pPr>
        <w:pStyle w:val="ListParagraph"/>
        <w:keepNext/>
        <w:numPr>
          <w:ilvl w:val="0"/>
          <w:numId w:val="10"/>
        </w:numPr>
        <w:suppressAutoHyphens/>
        <w:spacing w:before="120" w:after="120" w:line="240" w:lineRule="atLeast"/>
        <w:outlineLvl w:val="1"/>
        <w:rPr>
          <w:rFonts w:ascii="Times New Roman" w:eastAsia="Times New Roman" w:hAnsi="Times New Roman"/>
          <w:b/>
          <w:bCs/>
          <w:iCs/>
          <w:vanish/>
        </w:rPr>
      </w:pPr>
      <w:bookmarkStart w:id="3" w:name="_Toc422141106"/>
      <w:bookmarkStart w:id="4" w:name="_Toc446404497"/>
      <w:bookmarkStart w:id="5" w:name="_Toc452563115"/>
    </w:p>
    <w:p w14:paraId="2C26F99B" w14:textId="77777777" w:rsidR="008835B2" w:rsidRPr="008835B2" w:rsidRDefault="008835B2" w:rsidP="008835B2">
      <w:pPr>
        <w:pStyle w:val="Heading2"/>
        <w:keepLines w:val="0"/>
        <w:suppressAutoHyphens/>
        <w:spacing w:before="120" w:after="120" w:line="240" w:lineRule="atLeast"/>
        <w:ind w:left="756" w:hanging="576"/>
        <w:rPr>
          <w:rFonts w:ascii="Times New Roman" w:eastAsia="Times New Roman" w:hAnsi="Times New Roman" w:cs="Times New Roman"/>
          <w:iCs/>
          <w:sz w:val="24"/>
          <w:szCs w:val="24"/>
        </w:rPr>
      </w:pPr>
      <w:bookmarkStart w:id="6" w:name="_Toc458159073"/>
      <w:r w:rsidRPr="008835B2">
        <w:rPr>
          <w:rFonts w:ascii="Times New Roman" w:hAnsi="Times New Roman" w:cs="Times New Roman"/>
          <w:sz w:val="24"/>
          <w:szCs w:val="24"/>
        </w:rPr>
        <w:t>Criteria for Critical Measurements/Parameters</w:t>
      </w:r>
      <w:bookmarkEnd w:id="3"/>
      <w:bookmarkEnd w:id="4"/>
      <w:bookmarkEnd w:id="5"/>
      <w:bookmarkEnd w:id="6"/>
    </w:p>
    <w:p w14:paraId="6E4287B9" w14:textId="77777777" w:rsidR="008835B2" w:rsidRPr="008835B2" w:rsidRDefault="008835B2" w:rsidP="008835B2">
      <w:pPr>
        <w:spacing w:before="100" w:beforeAutospacing="1" w:after="100" w:afterAutospacing="1"/>
        <w:rPr>
          <w:rFonts w:ascii="Times New Roman" w:hAnsi="Times New Roman"/>
        </w:rPr>
      </w:pPr>
      <w:r w:rsidRPr="008835B2">
        <w:rPr>
          <w:rFonts w:ascii="Times New Roman" w:hAnsi="Times New Roman"/>
        </w:rPr>
        <w:t xml:space="preserve">The data quality objectives (DQOs) are used to determine the critical measurements needed to address the stated objectives and specify tolerable levels of potential errors associated with simulating the prescribed decontamination environments. The following measurements were deemed critical to accomplish part or </w:t>
      </w:r>
      <w:proofErr w:type="gramStart"/>
      <w:r w:rsidRPr="008835B2">
        <w:rPr>
          <w:rFonts w:ascii="Times New Roman" w:hAnsi="Times New Roman"/>
        </w:rPr>
        <w:t>all of</w:t>
      </w:r>
      <w:proofErr w:type="gramEnd"/>
      <w:r w:rsidRPr="008835B2">
        <w:rPr>
          <w:rFonts w:ascii="Times New Roman" w:hAnsi="Times New Roman"/>
        </w:rPr>
        <w:t xml:space="preserve"> the project objectives:</w:t>
      </w:r>
    </w:p>
    <w:p w14:paraId="095DAAF0"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 xml:space="preserve">pH and temperature of the </w:t>
      </w:r>
      <w:proofErr w:type="spellStart"/>
      <w:r w:rsidRPr="008835B2">
        <w:rPr>
          <w:rFonts w:ascii="Times New Roman" w:hAnsi="Times New Roman"/>
        </w:rPr>
        <w:t>pAB</w:t>
      </w:r>
      <w:proofErr w:type="spellEnd"/>
      <w:r w:rsidRPr="008835B2">
        <w:rPr>
          <w:rFonts w:ascii="Times New Roman" w:hAnsi="Times New Roman"/>
        </w:rPr>
        <w:t xml:space="preserve"> solution</w:t>
      </w:r>
    </w:p>
    <w:p w14:paraId="69736DDC"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 xml:space="preserve">Sodium hypochlorite concentration (FAC) of the </w:t>
      </w:r>
      <w:proofErr w:type="spellStart"/>
      <w:r w:rsidRPr="008835B2">
        <w:rPr>
          <w:rFonts w:ascii="Times New Roman" w:hAnsi="Times New Roman"/>
        </w:rPr>
        <w:t>pAB</w:t>
      </w:r>
      <w:proofErr w:type="spellEnd"/>
      <w:r w:rsidRPr="008835B2">
        <w:rPr>
          <w:rFonts w:ascii="Times New Roman" w:hAnsi="Times New Roman"/>
        </w:rPr>
        <w:t xml:space="preserve"> decontamination solution</w:t>
      </w:r>
    </w:p>
    <w:p w14:paraId="0C4A855D"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Citric acid concentration of the 2% citric acid decontamination solution</w:t>
      </w:r>
    </w:p>
    <w:p w14:paraId="21EAFE9A"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Temperature of incubation</w:t>
      </w:r>
    </w:p>
    <w:p w14:paraId="4F362E2A"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CFU or PFU abundance per plate</w:t>
      </w:r>
    </w:p>
    <w:p w14:paraId="6C95E163"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Neutralizer volume</w:t>
      </w:r>
    </w:p>
    <w:p w14:paraId="4CF494E4"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 xml:space="preserve">Mass of grime applied onto test coupons </w:t>
      </w:r>
    </w:p>
    <w:p w14:paraId="5E00C777"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Backpack sprayer spray diameter at one foot</w:t>
      </w:r>
    </w:p>
    <w:p w14:paraId="5EF11BDC"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Chemical sprayer spray diameter at three feet</w:t>
      </w:r>
    </w:p>
    <w:p w14:paraId="62C6BBE2"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Flow rate of backpack sprayer, chemical sprayer, and water hose</w:t>
      </w:r>
    </w:p>
    <w:p w14:paraId="7D22BBB1"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Pressure of backpack sprayer and garden hose.</w:t>
      </w:r>
    </w:p>
    <w:p w14:paraId="38877966" w14:textId="77777777" w:rsidR="008835B2" w:rsidRPr="008835B2" w:rsidRDefault="008835B2" w:rsidP="008835B2">
      <w:pPr>
        <w:spacing w:before="100" w:beforeAutospacing="1" w:after="100" w:afterAutospacing="1"/>
        <w:rPr>
          <w:rFonts w:ascii="Times New Roman" w:hAnsi="Times New Roman"/>
        </w:rPr>
      </w:pPr>
      <w:r w:rsidRPr="008835B2">
        <w:rPr>
          <w:rFonts w:ascii="Times New Roman" w:hAnsi="Times New Roman"/>
        </w:rPr>
        <w:t xml:space="preserve">The following measurements were non-critical, but were monitored and recorded throughout the entire testing schedule: </w:t>
      </w:r>
    </w:p>
    <w:p w14:paraId="404920E3"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Temperature and pH of the Spor-Klenz</w:t>
      </w:r>
      <w:r w:rsidRPr="008835B2">
        <w:rPr>
          <w:rFonts w:ascii="Times New Roman" w:hAnsi="Times New Roman"/>
          <w:vertAlign w:val="superscript"/>
        </w:rPr>
        <w:t>®</w:t>
      </w:r>
      <w:r w:rsidRPr="008835B2">
        <w:rPr>
          <w:rFonts w:ascii="Times New Roman" w:hAnsi="Times New Roman"/>
        </w:rPr>
        <w:t xml:space="preserve"> RTU and citric acid liquid sporicide solutions and of the rinse water</w:t>
      </w:r>
    </w:p>
    <w:p w14:paraId="507F6E58" w14:textId="77777777" w:rsidR="008835B2" w:rsidRPr="008835B2" w:rsidRDefault="008835B2" w:rsidP="008835B2">
      <w:pPr>
        <w:numPr>
          <w:ilvl w:val="0"/>
          <w:numId w:val="11"/>
        </w:numPr>
        <w:suppressAutoHyphens/>
        <w:spacing w:before="100" w:beforeAutospacing="1" w:after="120" w:line="280" w:lineRule="atLeast"/>
        <w:ind w:left="907"/>
        <w:rPr>
          <w:rFonts w:ascii="Times New Roman" w:hAnsi="Times New Roman"/>
        </w:rPr>
      </w:pPr>
      <w:r w:rsidRPr="008835B2">
        <w:rPr>
          <w:rFonts w:ascii="Times New Roman" w:hAnsi="Times New Roman"/>
        </w:rPr>
        <w:t>Head pressure for the rinse water.</w:t>
      </w:r>
    </w:p>
    <w:p w14:paraId="43B9038E" w14:textId="77777777" w:rsidR="008835B2" w:rsidRPr="008835B2" w:rsidRDefault="008835B2" w:rsidP="008835B2">
      <w:pPr>
        <w:spacing w:before="100" w:beforeAutospacing="1" w:after="120"/>
        <w:rPr>
          <w:rFonts w:ascii="Times New Roman" w:hAnsi="Times New Roman"/>
        </w:rPr>
      </w:pPr>
    </w:p>
    <w:p w14:paraId="2BCA3368" w14:textId="77777777" w:rsidR="008835B2" w:rsidRPr="008835B2" w:rsidRDefault="008835B2" w:rsidP="008835B2">
      <w:pPr>
        <w:pStyle w:val="Heading2"/>
        <w:keepLines w:val="0"/>
        <w:suppressAutoHyphens/>
        <w:spacing w:before="120" w:after="120" w:line="240" w:lineRule="atLeast"/>
        <w:ind w:left="756" w:hanging="576"/>
        <w:rPr>
          <w:rFonts w:ascii="Times New Roman" w:hAnsi="Times New Roman" w:cs="Times New Roman"/>
          <w:b/>
          <w:bCs/>
          <w:sz w:val="24"/>
          <w:szCs w:val="24"/>
        </w:rPr>
      </w:pPr>
      <w:bookmarkStart w:id="7" w:name="_Toc458159074"/>
      <w:bookmarkStart w:id="8" w:name="_Toc437935410"/>
      <w:r w:rsidRPr="008835B2">
        <w:rPr>
          <w:rFonts w:ascii="Times New Roman" w:hAnsi="Times New Roman" w:cs="Times New Roman"/>
          <w:sz w:val="24"/>
          <w:szCs w:val="24"/>
        </w:rPr>
        <w:lastRenderedPageBreak/>
        <w:t>Data Quality Indicators</w:t>
      </w:r>
      <w:bookmarkEnd w:id="7"/>
      <w:r w:rsidRPr="008835B2">
        <w:rPr>
          <w:rFonts w:ascii="Times New Roman" w:hAnsi="Times New Roman" w:cs="Times New Roman"/>
          <w:sz w:val="24"/>
          <w:szCs w:val="24"/>
        </w:rPr>
        <w:t xml:space="preserve"> </w:t>
      </w:r>
      <w:bookmarkEnd w:id="8"/>
    </w:p>
    <w:p w14:paraId="0722E7F0" w14:textId="77777777" w:rsidR="008835B2" w:rsidRPr="008835B2" w:rsidRDefault="008835B2" w:rsidP="008835B2">
      <w:pPr>
        <w:spacing w:before="100" w:beforeAutospacing="1" w:after="100" w:afterAutospacing="1"/>
        <w:rPr>
          <w:rFonts w:ascii="Times New Roman" w:hAnsi="Times New Roman"/>
        </w:rPr>
      </w:pPr>
      <w:r w:rsidRPr="008835B2">
        <w:rPr>
          <w:rFonts w:ascii="Times New Roman" w:hAnsi="Times New Roman"/>
        </w:rPr>
        <w:t>The data quality indicators (DQIs) for the critical measurements listed in Table 9.2-1 were used to determine if the collected data met the quality assurance objectives. If a measurement method or device resulted in data that did not meet these goals, the data derived from the critical measurement were rejected. Decisions to accept or reject test results were based on engineering judgment used to assess the likely impact of the failed criterion on the conclusions drawn from the data. The acceptance criteria were set at the most stringent levels that can routinely be achieved.  All the DQIs were within the target acceptance criteria set for this project as shown in Table - 9.2-1.</w:t>
      </w:r>
    </w:p>
    <w:p w14:paraId="61289CC8" w14:textId="77777777" w:rsidR="008835B2" w:rsidRDefault="008835B2" w:rsidP="008835B2">
      <w:pPr>
        <w:pStyle w:val="TableCaption"/>
      </w:pPr>
      <w:bookmarkStart w:id="9" w:name="_Toc362440354"/>
      <w:bookmarkStart w:id="10" w:name="_Toc458157357"/>
      <w:bookmarkStart w:id="11" w:name="_Toc436648080"/>
      <w:bookmarkStart w:id="12" w:name="_Toc437935439"/>
      <w:r>
        <w:t>Table 9.2-1. DQIs for Critical Measurements</w:t>
      </w:r>
      <w:bookmarkEnd w:id="9"/>
      <w:bookmarkEnd w:id="10"/>
      <w:r>
        <w:t xml:space="preserve"> </w:t>
      </w:r>
      <w:bookmarkEnd w:id="11"/>
      <w:bookmarkEnd w:id="12"/>
    </w:p>
    <w:tbl>
      <w:tblPr>
        <w:tblW w:w="10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2235"/>
        <w:gridCol w:w="2880"/>
        <w:gridCol w:w="1440"/>
        <w:gridCol w:w="2070"/>
        <w:gridCol w:w="2070"/>
      </w:tblGrid>
      <w:tr w:rsidR="008835B2" w14:paraId="76B25E47" w14:textId="77777777" w:rsidTr="008835B2">
        <w:trPr>
          <w:tblHeader/>
          <w:jc w:val="center"/>
        </w:trPr>
        <w:tc>
          <w:tcPr>
            <w:tcW w:w="2235" w:type="dxa"/>
            <w:tcBorders>
              <w:top w:val="single" w:sz="12" w:space="0" w:color="auto"/>
              <w:left w:val="single" w:sz="12" w:space="0" w:color="auto"/>
              <w:bottom w:val="single" w:sz="12" w:space="0" w:color="auto"/>
              <w:right w:val="single" w:sz="6" w:space="0" w:color="auto"/>
            </w:tcBorders>
            <w:shd w:val="clear" w:color="auto" w:fill="0070B9"/>
            <w:hideMark/>
          </w:tcPr>
          <w:p w14:paraId="6E138024" w14:textId="77777777" w:rsidR="008835B2" w:rsidRDefault="008835B2">
            <w:pPr>
              <w:overflowPunct w:val="0"/>
              <w:autoSpaceDE w:val="0"/>
              <w:textAlignment w:val="baseline"/>
              <w:rPr>
                <w:rFonts w:cs="Arial"/>
                <w:b/>
                <w:color w:val="FFFFFF" w:themeColor="background1"/>
                <w:spacing w:val="-3"/>
                <w:sz w:val="16"/>
                <w:szCs w:val="16"/>
              </w:rPr>
            </w:pPr>
            <w:r>
              <w:rPr>
                <w:rFonts w:cs="Arial"/>
                <w:b/>
                <w:color w:val="FFFFFF" w:themeColor="background1"/>
                <w:spacing w:val="-3"/>
                <w:sz w:val="16"/>
                <w:szCs w:val="16"/>
              </w:rPr>
              <w:t>Measurement Parameter</w:t>
            </w:r>
          </w:p>
        </w:tc>
        <w:tc>
          <w:tcPr>
            <w:tcW w:w="2880" w:type="dxa"/>
            <w:tcBorders>
              <w:top w:val="single" w:sz="12" w:space="0" w:color="auto"/>
              <w:left w:val="single" w:sz="6" w:space="0" w:color="auto"/>
              <w:bottom w:val="single" w:sz="12" w:space="0" w:color="auto"/>
              <w:right w:val="single" w:sz="6" w:space="0" w:color="auto"/>
            </w:tcBorders>
            <w:shd w:val="clear" w:color="auto" w:fill="0070B9"/>
            <w:hideMark/>
          </w:tcPr>
          <w:p w14:paraId="7D27DCF6" w14:textId="77777777" w:rsidR="008835B2" w:rsidRDefault="008835B2">
            <w:pPr>
              <w:overflowPunct w:val="0"/>
              <w:autoSpaceDE w:val="0"/>
              <w:textAlignment w:val="baseline"/>
              <w:rPr>
                <w:rFonts w:cs="Arial"/>
                <w:b/>
                <w:color w:val="FFFFFF" w:themeColor="background1"/>
                <w:spacing w:val="-3"/>
                <w:sz w:val="16"/>
                <w:szCs w:val="16"/>
              </w:rPr>
            </w:pPr>
            <w:r>
              <w:rPr>
                <w:rFonts w:cs="Arial"/>
                <w:b/>
                <w:color w:val="FFFFFF" w:themeColor="background1"/>
                <w:spacing w:val="-3"/>
                <w:sz w:val="16"/>
                <w:szCs w:val="16"/>
              </w:rPr>
              <w:t>Analysis Method</w:t>
            </w:r>
          </w:p>
        </w:tc>
        <w:tc>
          <w:tcPr>
            <w:tcW w:w="1440" w:type="dxa"/>
            <w:tcBorders>
              <w:top w:val="single" w:sz="12" w:space="0" w:color="auto"/>
              <w:left w:val="single" w:sz="6" w:space="0" w:color="auto"/>
              <w:bottom w:val="single" w:sz="12" w:space="0" w:color="auto"/>
              <w:right w:val="single" w:sz="6" w:space="0" w:color="auto"/>
            </w:tcBorders>
            <w:shd w:val="clear" w:color="auto" w:fill="0070B9"/>
            <w:hideMark/>
          </w:tcPr>
          <w:p w14:paraId="7D54BB2E" w14:textId="77777777" w:rsidR="008835B2" w:rsidRDefault="008835B2">
            <w:pPr>
              <w:overflowPunct w:val="0"/>
              <w:autoSpaceDE w:val="0"/>
              <w:textAlignment w:val="baseline"/>
              <w:rPr>
                <w:rFonts w:cs="Arial"/>
                <w:b/>
                <w:color w:val="FFFFFF" w:themeColor="background1"/>
                <w:spacing w:val="-3"/>
                <w:sz w:val="16"/>
                <w:szCs w:val="16"/>
              </w:rPr>
            </w:pPr>
            <w:r>
              <w:rPr>
                <w:rFonts w:cs="Arial"/>
                <w:b/>
                <w:color w:val="FFFFFF" w:themeColor="background1"/>
                <w:spacing w:val="-3"/>
                <w:sz w:val="16"/>
                <w:szCs w:val="16"/>
              </w:rPr>
              <w:t>Accuracy</w:t>
            </w:r>
          </w:p>
        </w:tc>
        <w:tc>
          <w:tcPr>
            <w:tcW w:w="2070" w:type="dxa"/>
            <w:tcBorders>
              <w:top w:val="single" w:sz="12" w:space="0" w:color="auto"/>
              <w:left w:val="single" w:sz="6" w:space="0" w:color="auto"/>
              <w:bottom w:val="single" w:sz="12" w:space="0" w:color="auto"/>
              <w:right w:val="single" w:sz="6" w:space="0" w:color="auto"/>
            </w:tcBorders>
            <w:shd w:val="clear" w:color="auto" w:fill="0070B9"/>
            <w:hideMark/>
          </w:tcPr>
          <w:p w14:paraId="369DD09E" w14:textId="77777777" w:rsidR="008835B2" w:rsidRDefault="008835B2">
            <w:pPr>
              <w:overflowPunct w:val="0"/>
              <w:autoSpaceDE w:val="0"/>
              <w:textAlignment w:val="baseline"/>
              <w:rPr>
                <w:rFonts w:cs="Arial"/>
                <w:b/>
                <w:bCs/>
                <w:color w:val="FFFFFF" w:themeColor="background1"/>
                <w:spacing w:val="-3"/>
                <w:sz w:val="16"/>
                <w:szCs w:val="16"/>
              </w:rPr>
            </w:pPr>
            <w:r>
              <w:rPr>
                <w:rFonts w:cs="Arial"/>
                <w:b/>
                <w:color w:val="FFFFFF" w:themeColor="background1"/>
                <w:spacing w:val="-3"/>
                <w:sz w:val="16"/>
                <w:szCs w:val="16"/>
              </w:rPr>
              <w:t>Acceptance Criteria</w:t>
            </w:r>
          </w:p>
        </w:tc>
        <w:tc>
          <w:tcPr>
            <w:tcW w:w="2070" w:type="dxa"/>
            <w:tcBorders>
              <w:top w:val="single" w:sz="12" w:space="0" w:color="auto"/>
              <w:left w:val="nil"/>
              <w:bottom w:val="single" w:sz="12" w:space="0" w:color="auto"/>
              <w:right w:val="single" w:sz="12" w:space="0" w:color="auto"/>
            </w:tcBorders>
            <w:shd w:val="clear" w:color="auto" w:fill="0070B9"/>
            <w:hideMark/>
          </w:tcPr>
          <w:p w14:paraId="5F590F71" w14:textId="77777777" w:rsidR="008835B2" w:rsidRDefault="008835B2">
            <w:pPr>
              <w:overflowPunct w:val="0"/>
              <w:autoSpaceDE w:val="0"/>
              <w:textAlignment w:val="baseline"/>
              <w:rPr>
                <w:rFonts w:cs="Arial"/>
                <w:b/>
                <w:color w:val="FFFFFF" w:themeColor="background1"/>
                <w:spacing w:val="-3"/>
                <w:sz w:val="16"/>
                <w:szCs w:val="16"/>
              </w:rPr>
            </w:pPr>
            <w:r>
              <w:rPr>
                <w:b/>
                <w:bCs/>
                <w:color w:val="FFFFFF"/>
                <w:spacing w:val="-3"/>
                <w:sz w:val="16"/>
                <w:szCs w:val="16"/>
              </w:rPr>
              <w:t>Mean Value / Pass or Fail Test</w:t>
            </w:r>
          </w:p>
        </w:tc>
      </w:tr>
      <w:tr w:rsidR="008835B2" w14:paraId="0E93942D" w14:textId="77777777" w:rsidTr="008835B2">
        <w:trPr>
          <w:jc w:val="center"/>
        </w:trPr>
        <w:tc>
          <w:tcPr>
            <w:tcW w:w="2235" w:type="dxa"/>
            <w:tcBorders>
              <w:top w:val="single" w:sz="12" w:space="0" w:color="auto"/>
              <w:left w:val="single" w:sz="12" w:space="0" w:color="auto"/>
              <w:bottom w:val="single" w:sz="6" w:space="0" w:color="auto"/>
              <w:right w:val="single" w:sz="6" w:space="0" w:color="auto"/>
            </w:tcBorders>
            <w:vAlign w:val="center"/>
            <w:hideMark/>
          </w:tcPr>
          <w:p w14:paraId="33D7D024" w14:textId="77777777" w:rsidR="008835B2" w:rsidRDefault="008835B2">
            <w:pPr>
              <w:overflowPunct w:val="0"/>
              <w:autoSpaceDE w:val="0"/>
              <w:textAlignment w:val="baseline"/>
              <w:rPr>
                <w:rFonts w:cs="Arial"/>
                <w:color w:val="auto"/>
                <w:spacing w:val="-3"/>
                <w:sz w:val="16"/>
                <w:szCs w:val="16"/>
              </w:rPr>
            </w:pPr>
            <w:r>
              <w:rPr>
                <w:rFonts w:cs="Arial"/>
                <w:spacing w:val="-3"/>
                <w:sz w:val="16"/>
                <w:szCs w:val="16"/>
              </w:rPr>
              <w:t>Mass of grime</w:t>
            </w:r>
          </w:p>
        </w:tc>
        <w:tc>
          <w:tcPr>
            <w:tcW w:w="2880" w:type="dxa"/>
            <w:tcBorders>
              <w:top w:val="single" w:sz="12" w:space="0" w:color="auto"/>
              <w:left w:val="single" w:sz="6" w:space="0" w:color="auto"/>
              <w:bottom w:val="single" w:sz="6" w:space="0" w:color="auto"/>
              <w:right w:val="single" w:sz="6" w:space="0" w:color="auto"/>
            </w:tcBorders>
            <w:vAlign w:val="center"/>
            <w:hideMark/>
          </w:tcPr>
          <w:p w14:paraId="7958C2C7"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Gravimetric</w:t>
            </w:r>
          </w:p>
        </w:tc>
        <w:tc>
          <w:tcPr>
            <w:tcW w:w="1440" w:type="dxa"/>
            <w:tcBorders>
              <w:top w:val="single" w:sz="12" w:space="0" w:color="auto"/>
              <w:left w:val="single" w:sz="6" w:space="0" w:color="auto"/>
              <w:bottom w:val="single" w:sz="6" w:space="0" w:color="auto"/>
              <w:right w:val="single" w:sz="6" w:space="0" w:color="auto"/>
            </w:tcBorders>
            <w:vAlign w:val="center"/>
            <w:hideMark/>
          </w:tcPr>
          <w:p w14:paraId="5D3533FE"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0.1 g</w:t>
            </w:r>
          </w:p>
        </w:tc>
        <w:tc>
          <w:tcPr>
            <w:tcW w:w="2070" w:type="dxa"/>
            <w:tcBorders>
              <w:top w:val="single" w:sz="12" w:space="0" w:color="auto"/>
              <w:left w:val="single" w:sz="6" w:space="0" w:color="auto"/>
              <w:bottom w:val="single" w:sz="6" w:space="0" w:color="auto"/>
              <w:right w:val="single" w:sz="6" w:space="0" w:color="auto"/>
            </w:tcBorders>
            <w:vAlign w:val="center"/>
            <w:hideMark/>
          </w:tcPr>
          <w:p w14:paraId="5D188019"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10% of target value</w:t>
            </w:r>
          </w:p>
          <w:p w14:paraId="0FF71D58" w14:textId="77777777" w:rsidR="008835B2" w:rsidRDefault="008835B2">
            <w:pPr>
              <w:overflowPunct w:val="0"/>
              <w:autoSpaceDE w:val="0"/>
              <w:jc w:val="center"/>
              <w:textAlignment w:val="baseline"/>
              <w:rPr>
                <w:rFonts w:cs="Arial"/>
                <w:bCs/>
                <w:spacing w:val="-3"/>
                <w:sz w:val="16"/>
                <w:szCs w:val="16"/>
              </w:rPr>
            </w:pPr>
            <w:r>
              <w:rPr>
                <w:rFonts w:cs="Arial"/>
                <w:spacing w:val="-3"/>
                <w:sz w:val="16"/>
                <w:szCs w:val="16"/>
              </w:rPr>
              <w:t>30% RSD between test set</w:t>
            </w:r>
          </w:p>
        </w:tc>
        <w:tc>
          <w:tcPr>
            <w:tcW w:w="2070" w:type="dxa"/>
            <w:tcBorders>
              <w:top w:val="nil"/>
              <w:left w:val="nil"/>
              <w:bottom w:val="single" w:sz="8" w:space="0" w:color="auto"/>
              <w:right w:val="single" w:sz="12" w:space="0" w:color="auto"/>
            </w:tcBorders>
            <w:vAlign w:val="center"/>
            <w:hideMark/>
          </w:tcPr>
          <w:p w14:paraId="162D7FC7" w14:textId="77777777" w:rsidR="008835B2" w:rsidRDefault="008835B2">
            <w:pPr>
              <w:overflowPunct w:val="0"/>
              <w:autoSpaceDE w:val="0"/>
              <w:jc w:val="center"/>
              <w:textAlignment w:val="baseline"/>
              <w:rPr>
                <w:spacing w:val="-3"/>
                <w:sz w:val="16"/>
                <w:szCs w:val="16"/>
              </w:rPr>
            </w:pPr>
            <w:r>
              <w:rPr>
                <w:spacing w:val="-3"/>
                <w:sz w:val="16"/>
                <w:szCs w:val="16"/>
              </w:rPr>
              <w:t xml:space="preserve">56.5 g </w:t>
            </w:r>
          </w:p>
          <w:p w14:paraId="6A8BC1B8"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2D79EA2A" w14:textId="77777777" w:rsidTr="008835B2">
        <w:trPr>
          <w:trHeight w:val="631"/>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4EA83E24" w14:textId="77777777" w:rsidR="008835B2" w:rsidRDefault="008835B2">
            <w:pPr>
              <w:overflowPunct w:val="0"/>
              <w:autoSpaceDE w:val="0"/>
              <w:textAlignment w:val="baseline"/>
              <w:rPr>
                <w:rFonts w:cs="Arial"/>
                <w:color w:val="000000"/>
                <w:spacing w:val="-3"/>
                <w:sz w:val="16"/>
                <w:szCs w:val="16"/>
              </w:rPr>
            </w:pPr>
            <w:r>
              <w:rPr>
                <w:rFonts w:cs="Arial"/>
                <w:spacing w:val="-3"/>
                <w:sz w:val="16"/>
                <w:szCs w:val="16"/>
              </w:rPr>
              <w:t xml:space="preserve">FAC and pH in </w:t>
            </w:r>
            <w:proofErr w:type="spellStart"/>
            <w:r>
              <w:rPr>
                <w:rFonts w:cs="Arial"/>
                <w:spacing w:val="-3"/>
                <w:sz w:val="16"/>
                <w:szCs w:val="16"/>
              </w:rPr>
              <w:t>pAB</w:t>
            </w:r>
            <w:proofErr w:type="spellEnd"/>
            <w:r>
              <w:rPr>
                <w:rFonts w:cs="Arial"/>
                <w:spacing w:val="-3"/>
                <w:sz w:val="16"/>
                <w:szCs w:val="16"/>
              </w:rPr>
              <w:t xml:space="preserve"> solution</w:t>
            </w:r>
          </w:p>
        </w:tc>
        <w:tc>
          <w:tcPr>
            <w:tcW w:w="2880" w:type="dxa"/>
            <w:tcBorders>
              <w:top w:val="single" w:sz="6" w:space="0" w:color="auto"/>
              <w:left w:val="single" w:sz="6" w:space="0" w:color="auto"/>
              <w:bottom w:val="single" w:sz="6" w:space="0" w:color="auto"/>
              <w:right w:val="single" w:sz="6" w:space="0" w:color="auto"/>
            </w:tcBorders>
            <w:vAlign w:val="center"/>
            <w:hideMark/>
          </w:tcPr>
          <w:p w14:paraId="2764C2F9" w14:textId="77777777" w:rsidR="008835B2" w:rsidRDefault="008835B2">
            <w:pPr>
              <w:overflowPunct w:val="0"/>
              <w:autoSpaceDE w:val="0"/>
              <w:jc w:val="center"/>
              <w:textAlignment w:val="baseline"/>
              <w:rPr>
                <w:rFonts w:cs="Arial"/>
                <w:color w:val="auto"/>
                <w:spacing w:val="-3"/>
                <w:sz w:val="16"/>
                <w:szCs w:val="16"/>
              </w:rPr>
            </w:pPr>
            <w:r>
              <w:rPr>
                <w:rFonts w:cs="Arial"/>
                <w:spacing w:val="-3"/>
                <w:sz w:val="16"/>
                <w:szCs w:val="16"/>
              </w:rPr>
              <w:t>Na</w:t>
            </w:r>
            <w:r>
              <w:rPr>
                <w:rFonts w:cs="Arial"/>
                <w:spacing w:val="-3"/>
                <w:sz w:val="16"/>
                <w:szCs w:val="16"/>
                <w:vertAlign w:val="subscript"/>
              </w:rPr>
              <w:t>2</w:t>
            </w:r>
            <w:r>
              <w:rPr>
                <w:rFonts w:cs="Arial"/>
                <w:spacing w:val="-3"/>
                <w:sz w:val="16"/>
                <w:szCs w:val="16"/>
              </w:rPr>
              <w:t>S</w:t>
            </w:r>
            <w:r>
              <w:rPr>
                <w:rFonts w:cs="Arial"/>
                <w:spacing w:val="-3"/>
                <w:sz w:val="16"/>
                <w:szCs w:val="16"/>
                <w:vertAlign w:val="subscript"/>
              </w:rPr>
              <w:t>2</w:t>
            </w:r>
            <w:r>
              <w:rPr>
                <w:rFonts w:cs="Arial"/>
                <w:spacing w:val="-3"/>
                <w:sz w:val="16"/>
                <w:szCs w:val="16"/>
              </w:rPr>
              <w:t>O</w:t>
            </w:r>
            <w:r>
              <w:rPr>
                <w:rFonts w:cs="Arial"/>
                <w:spacing w:val="-3"/>
                <w:sz w:val="16"/>
                <w:szCs w:val="16"/>
                <w:vertAlign w:val="subscript"/>
              </w:rPr>
              <w:t>3</w:t>
            </w:r>
            <w:r>
              <w:rPr>
                <w:rFonts w:cs="Arial"/>
                <w:spacing w:val="-3"/>
                <w:sz w:val="16"/>
                <w:szCs w:val="16"/>
              </w:rPr>
              <w:t>/KI titration pH meter/NIST-traceable buffer solutions</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F988067"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±0.06 g/L</w:t>
            </w:r>
          </w:p>
          <w:p w14:paraId="7882E73A"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±0.01 pH units</w:t>
            </w:r>
          </w:p>
        </w:tc>
        <w:tc>
          <w:tcPr>
            <w:tcW w:w="2070" w:type="dxa"/>
            <w:tcBorders>
              <w:top w:val="single" w:sz="6" w:space="0" w:color="auto"/>
              <w:left w:val="single" w:sz="6" w:space="0" w:color="auto"/>
              <w:bottom w:val="single" w:sz="6" w:space="0" w:color="auto"/>
              <w:right w:val="single" w:sz="6" w:space="0" w:color="auto"/>
            </w:tcBorders>
            <w:vAlign w:val="center"/>
            <w:hideMark/>
          </w:tcPr>
          <w:p w14:paraId="50ED86EB"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6,000 to 6,700 mg/mL</w:t>
            </w:r>
          </w:p>
          <w:p w14:paraId="435DC01C"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6.5&lt;pH&lt;7</w:t>
            </w:r>
          </w:p>
        </w:tc>
        <w:tc>
          <w:tcPr>
            <w:tcW w:w="2070" w:type="dxa"/>
            <w:tcBorders>
              <w:top w:val="nil"/>
              <w:left w:val="nil"/>
              <w:bottom w:val="single" w:sz="8" w:space="0" w:color="auto"/>
              <w:right w:val="single" w:sz="12" w:space="0" w:color="auto"/>
            </w:tcBorders>
            <w:vAlign w:val="center"/>
            <w:hideMark/>
          </w:tcPr>
          <w:p w14:paraId="7E9FCABC" w14:textId="77777777" w:rsidR="008835B2" w:rsidRDefault="008835B2">
            <w:pPr>
              <w:overflowPunct w:val="0"/>
              <w:autoSpaceDE w:val="0"/>
              <w:jc w:val="center"/>
              <w:textAlignment w:val="baseline"/>
              <w:rPr>
                <w:spacing w:val="-3"/>
                <w:sz w:val="16"/>
                <w:szCs w:val="16"/>
              </w:rPr>
            </w:pPr>
            <w:r>
              <w:rPr>
                <w:spacing w:val="-3"/>
                <w:sz w:val="16"/>
                <w:szCs w:val="16"/>
              </w:rPr>
              <w:t>6,169 mg/mL</w:t>
            </w:r>
            <w:r>
              <w:rPr>
                <w:spacing w:val="-3"/>
                <w:sz w:val="16"/>
                <w:szCs w:val="16"/>
              </w:rPr>
              <w:br/>
              <w:t>6.74 pH</w:t>
            </w:r>
          </w:p>
          <w:p w14:paraId="533182F6"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31327EDE" w14:textId="77777777" w:rsidTr="008835B2">
        <w:trPr>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39191C15" w14:textId="77777777" w:rsidR="008835B2" w:rsidRDefault="008835B2">
            <w:pPr>
              <w:overflowPunct w:val="0"/>
              <w:autoSpaceDE w:val="0"/>
              <w:textAlignment w:val="baseline"/>
              <w:rPr>
                <w:rFonts w:cs="Arial"/>
                <w:spacing w:val="-3"/>
                <w:sz w:val="16"/>
                <w:szCs w:val="16"/>
              </w:rPr>
            </w:pPr>
            <w:r>
              <w:rPr>
                <w:rFonts w:cs="Arial"/>
                <w:spacing w:val="-3"/>
                <w:sz w:val="16"/>
                <w:szCs w:val="16"/>
              </w:rPr>
              <w:t>Citric acid concentration and pH** in citric acid decontamination solution***</w:t>
            </w:r>
          </w:p>
        </w:tc>
        <w:tc>
          <w:tcPr>
            <w:tcW w:w="2880" w:type="dxa"/>
            <w:tcBorders>
              <w:top w:val="single" w:sz="6" w:space="0" w:color="auto"/>
              <w:left w:val="single" w:sz="6" w:space="0" w:color="auto"/>
              <w:bottom w:val="single" w:sz="6" w:space="0" w:color="auto"/>
              <w:right w:val="single" w:sz="6" w:space="0" w:color="auto"/>
            </w:tcBorders>
            <w:vAlign w:val="center"/>
            <w:hideMark/>
          </w:tcPr>
          <w:p w14:paraId="13572EC5" w14:textId="77777777" w:rsidR="008835B2" w:rsidRDefault="008835B2">
            <w:pPr>
              <w:overflowPunct w:val="0"/>
              <w:autoSpaceDE w:val="0"/>
              <w:jc w:val="center"/>
              <w:textAlignment w:val="baseline"/>
              <w:rPr>
                <w:rFonts w:cs="Arial"/>
                <w:spacing w:val="-3"/>
                <w:sz w:val="16"/>
                <w:szCs w:val="16"/>
              </w:rPr>
            </w:pPr>
            <w:proofErr w:type="spellStart"/>
            <w:r>
              <w:rPr>
                <w:rFonts w:cs="Arial"/>
                <w:spacing w:val="-3"/>
                <w:sz w:val="16"/>
                <w:szCs w:val="16"/>
              </w:rPr>
              <w:t>NaOH</w:t>
            </w:r>
            <w:proofErr w:type="spellEnd"/>
            <w:r>
              <w:rPr>
                <w:rFonts w:cs="Arial"/>
                <w:spacing w:val="-3"/>
                <w:sz w:val="16"/>
                <w:szCs w:val="16"/>
              </w:rPr>
              <w:t xml:space="preserve"> titration</w:t>
            </w:r>
          </w:p>
          <w:p w14:paraId="12A9E694"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pH meter/NIST-traceable buffer solutions</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AFF7949"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0.03 g/L</w:t>
            </w:r>
          </w:p>
          <w:p w14:paraId="55DC9DDD"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0.01 pH units</w:t>
            </w:r>
          </w:p>
        </w:tc>
        <w:tc>
          <w:tcPr>
            <w:tcW w:w="2070" w:type="dxa"/>
            <w:tcBorders>
              <w:top w:val="single" w:sz="6" w:space="0" w:color="auto"/>
              <w:left w:val="single" w:sz="6" w:space="0" w:color="auto"/>
              <w:bottom w:val="single" w:sz="6" w:space="0" w:color="auto"/>
              <w:right w:val="single" w:sz="6" w:space="0" w:color="auto"/>
            </w:tcBorders>
            <w:vAlign w:val="center"/>
            <w:hideMark/>
          </w:tcPr>
          <w:p w14:paraId="0BA117E8"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10% of target value</w:t>
            </w:r>
          </w:p>
        </w:tc>
        <w:tc>
          <w:tcPr>
            <w:tcW w:w="2070" w:type="dxa"/>
            <w:tcBorders>
              <w:top w:val="nil"/>
              <w:left w:val="nil"/>
              <w:bottom w:val="single" w:sz="8" w:space="0" w:color="auto"/>
              <w:right w:val="single" w:sz="12" w:space="0" w:color="auto"/>
            </w:tcBorders>
            <w:vAlign w:val="center"/>
            <w:hideMark/>
          </w:tcPr>
          <w:p w14:paraId="3E1ED2FB" w14:textId="77777777" w:rsidR="008835B2" w:rsidRDefault="008835B2">
            <w:pPr>
              <w:spacing w:line="252" w:lineRule="auto"/>
              <w:jc w:val="center"/>
              <w:rPr>
                <w:spacing w:val="-3"/>
                <w:sz w:val="16"/>
                <w:szCs w:val="16"/>
              </w:rPr>
            </w:pPr>
            <w:r>
              <w:rPr>
                <w:spacing w:val="-3"/>
                <w:sz w:val="16"/>
                <w:szCs w:val="16"/>
              </w:rPr>
              <w:t>2.04 % Citric Acid</w:t>
            </w:r>
            <w:r>
              <w:rPr>
                <w:spacing w:val="-3"/>
                <w:sz w:val="16"/>
                <w:szCs w:val="16"/>
              </w:rPr>
              <w:br/>
              <w:t>2.14 pH</w:t>
            </w:r>
          </w:p>
          <w:p w14:paraId="3F90CDC3" w14:textId="77777777" w:rsidR="008835B2" w:rsidRDefault="008835B2">
            <w:pPr>
              <w:spacing w:line="252" w:lineRule="auto"/>
              <w:jc w:val="center"/>
              <w:rPr>
                <w:rFonts w:cs="Arial"/>
                <w:spacing w:val="-3"/>
                <w:sz w:val="16"/>
                <w:szCs w:val="16"/>
              </w:rPr>
            </w:pPr>
            <w:r>
              <w:rPr>
                <w:spacing w:val="-3"/>
                <w:sz w:val="16"/>
                <w:szCs w:val="16"/>
              </w:rPr>
              <w:t>(Pass)</w:t>
            </w:r>
          </w:p>
        </w:tc>
      </w:tr>
      <w:tr w:rsidR="008835B2" w14:paraId="1462523C" w14:textId="77777777" w:rsidTr="008835B2">
        <w:trPr>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7939D9FF" w14:textId="77777777" w:rsidR="008835B2" w:rsidRDefault="008835B2">
            <w:pPr>
              <w:overflowPunct w:val="0"/>
              <w:autoSpaceDE w:val="0"/>
              <w:textAlignment w:val="baseline"/>
              <w:rPr>
                <w:rFonts w:cs="Arial"/>
                <w:spacing w:val="-3"/>
                <w:sz w:val="16"/>
                <w:szCs w:val="16"/>
              </w:rPr>
            </w:pPr>
            <w:r>
              <w:rPr>
                <w:rFonts w:cs="Arial"/>
                <w:spacing w:val="-3"/>
                <w:sz w:val="16"/>
                <w:szCs w:val="16"/>
              </w:rPr>
              <w:t>Time</w:t>
            </w:r>
          </w:p>
        </w:tc>
        <w:tc>
          <w:tcPr>
            <w:tcW w:w="2880" w:type="dxa"/>
            <w:tcBorders>
              <w:top w:val="single" w:sz="6" w:space="0" w:color="auto"/>
              <w:left w:val="single" w:sz="6" w:space="0" w:color="auto"/>
              <w:bottom w:val="single" w:sz="6" w:space="0" w:color="auto"/>
              <w:right w:val="single" w:sz="6" w:space="0" w:color="auto"/>
            </w:tcBorders>
            <w:vAlign w:val="center"/>
            <w:hideMark/>
          </w:tcPr>
          <w:p w14:paraId="3B6CF330"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NIST-calibrated stopwatch</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DBA5379"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1 minute per hour</w:t>
            </w:r>
          </w:p>
        </w:tc>
        <w:tc>
          <w:tcPr>
            <w:tcW w:w="2070" w:type="dxa"/>
            <w:tcBorders>
              <w:top w:val="single" w:sz="6" w:space="0" w:color="auto"/>
              <w:left w:val="single" w:sz="6" w:space="0" w:color="auto"/>
              <w:bottom w:val="single" w:sz="6" w:space="0" w:color="auto"/>
              <w:right w:val="single" w:sz="6" w:space="0" w:color="auto"/>
            </w:tcBorders>
            <w:vAlign w:val="center"/>
            <w:hideMark/>
          </w:tcPr>
          <w:p w14:paraId="50213D65"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2 min (2 x ± 1 min)</w:t>
            </w:r>
          </w:p>
        </w:tc>
        <w:tc>
          <w:tcPr>
            <w:tcW w:w="2070" w:type="dxa"/>
            <w:tcBorders>
              <w:top w:val="nil"/>
              <w:left w:val="nil"/>
              <w:bottom w:val="single" w:sz="8" w:space="0" w:color="auto"/>
              <w:right w:val="single" w:sz="12" w:space="0" w:color="auto"/>
            </w:tcBorders>
            <w:vAlign w:val="center"/>
            <w:hideMark/>
          </w:tcPr>
          <w:p w14:paraId="263D2FDF"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4C42DAD7" w14:textId="77777777" w:rsidTr="008835B2">
        <w:trPr>
          <w:trHeight w:val="307"/>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1AF98192" w14:textId="77777777" w:rsidR="008835B2" w:rsidRDefault="008835B2">
            <w:pPr>
              <w:overflowPunct w:val="0"/>
              <w:autoSpaceDE w:val="0"/>
              <w:textAlignment w:val="baseline"/>
              <w:rPr>
                <w:rFonts w:cs="Arial"/>
                <w:spacing w:val="-3"/>
                <w:sz w:val="16"/>
                <w:szCs w:val="16"/>
              </w:rPr>
            </w:pPr>
            <w:r>
              <w:rPr>
                <w:rFonts w:cs="Arial"/>
                <w:spacing w:val="-3"/>
                <w:sz w:val="16"/>
                <w:szCs w:val="16"/>
              </w:rPr>
              <w:t>Volumes</w:t>
            </w:r>
          </w:p>
        </w:tc>
        <w:tc>
          <w:tcPr>
            <w:tcW w:w="2880" w:type="dxa"/>
            <w:tcBorders>
              <w:top w:val="single" w:sz="6" w:space="0" w:color="auto"/>
              <w:left w:val="single" w:sz="6" w:space="0" w:color="auto"/>
              <w:bottom w:val="single" w:sz="6" w:space="0" w:color="auto"/>
              <w:right w:val="single" w:sz="6" w:space="0" w:color="auto"/>
            </w:tcBorders>
            <w:vAlign w:val="center"/>
            <w:hideMark/>
          </w:tcPr>
          <w:p w14:paraId="70EC733C"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Serological pipette tips</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A0DC3A7"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0.1 mL</w:t>
            </w:r>
          </w:p>
        </w:tc>
        <w:tc>
          <w:tcPr>
            <w:tcW w:w="2070" w:type="dxa"/>
            <w:tcBorders>
              <w:top w:val="single" w:sz="6" w:space="0" w:color="auto"/>
              <w:left w:val="single" w:sz="6" w:space="0" w:color="auto"/>
              <w:bottom w:val="single" w:sz="6" w:space="0" w:color="auto"/>
              <w:right w:val="single" w:sz="6" w:space="0" w:color="auto"/>
            </w:tcBorders>
            <w:vAlign w:val="center"/>
            <w:hideMark/>
          </w:tcPr>
          <w:p w14:paraId="3D17A513"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10% of target value</w:t>
            </w:r>
          </w:p>
        </w:tc>
        <w:tc>
          <w:tcPr>
            <w:tcW w:w="2070" w:type="dxa"/>
            <w:tcBorders>
              <w:top w:val="nil"/>
              <w:left w:val="nil"/>
              <w:bottom w:val="single" w:sz="8" w:space="0" w:color="auto"/>
              <w:right w:val="single" w:sz="12" w:space="0" w:color="auto"/>
            </w:tcBorders>
            <w:vAlign w:val="center"/>
            <w:hideMark/>
          </w:tcPr>
          <w:p w14:paraId="4F24A7B6"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7DB8166A" w14:textId="77777777" w:rsidTr="008835B2">
        <w:trPr>
          <w:trHeight w:val="496"/>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3BD24F42" w14:textId="77777777" w:rsidR="008835B2" w:rsidRDefault="008835B2">
            <w:pPr>
              <w:overflowPunct w:val="0"/>
              <w:autoSpaceDE w:val="0"/>
              <w:textAlignment w:val="baseline"/>
              <w:rPr>
                <w:rFonts w:cs="Arial"/>
                <w:color w:val="000000"/>
                <w:spacing w:val="-3"/>
                <w:sz w:val="16"/>
                <w:szCs w:val="16"/>
              </w:rPr>
            </w:pPr>
            <w:r>
              <w:rPr>
                <w:rFonts w:cs="Arial"/>
                <w:spacing w:val="-3"/>
                <w:sz w:val="16"/>
                <w:szCs w:val="16"/>
              </w:rPr>
              <w:t>Pressure of backpack and chemical sprayer</w:t>
            </w:r>
          </w:p>
        </w:tc>
        <w:tc>
          <w:tcPr>
            <w:tcW w:w="2880" w:type="dxa"/>
            <w:tcBorders>
              <w:top w:val="single" w:sz="6" w:space="0" w:color="auto"/>
              <w:left w:val="single" w:sz="6" w:space="0" w:color="auto"/>
              <w:bottom w:val="single" w:sz="6" w:space="0" w:color="auto"/>
              <w:right w:val="single" w:sz="6" w:space="0" w:color="auto"/>
            </w:tcBorders>
            <w:vAlign w:val="center"/>
            <w:hideMark/>
          </w:tcPr>
          <w:p w14:paraId="0E377910" w14:textId="77777777" w:rsidR="008835B2" w:rsidRDefault="008835B2">
            <w:pPr>
              <w:overflowPunct w:val="0"/>
              <w:autoSpaceDE w:val="0"/>
              <w:jc w:val="center"/>
              <w:textAlignment w:val="baseline"/>
              <w:rPr>
                <w:rFonts w:cs="Arial"/>
                <w:color w:val="000000"/>
                <w:spacing w:val="-3"/>
                <w:sz w:val="16"/>
                <w:szCs w:val="16"/>
              </w:rPr>
            </w:pPr>
            <w:r>
              <w:rPr>
                <w:rFonts w:cs="Arial"/>
                <w:spacing w:val="-3"/>
                <w:sz w:val="16"/>
                <w:szCs w:val="16"/>
              </w:rPr>
              <w:t>Class B pressure gauge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12C0560" w14:textId="77777777" w:rsidR="008835B2" w:rsidRDefault="008835B2">
            <w:pPr>
              <w:overflowPunct w:val="0"/>
              <w:autoSpaceDE w:val="0"/>
              <w:jc w:val="center"/>
              <w:textAlignment w:val="baseline"/>
              <w:rPr>
                <w:rFonts w:cs="Arial"/>
                <w:color w:val="000000"/>
                <w:spacing w:val="-3"/>
                <w:sz w:val="16"/>
                <w:szCs w:val="16"/>
              </w:rPr>
            </w:pPr>
            <w:r>
              <w:rPr>
                <w:rFonts w:cs="Arial"/>
                <w:spacing w:val="-3"/>
                <w:sz w:val="16"/>
                <w:szCs w:val="16"/>
              </w:rPr>
              <w:t>± 2 psi</w:t>
            </w:r>
          </w:p>
        </w:tc>
        <w:tc>
          <w:tcPr>
            <w:tcW w:w="2070" w:type="dxa"/>
            <w:tcBorders>
              <w:top w:val="single" w:sz="6" w:space="0" w:color="auto"/>
              <w:left w:val="single" w:sz="6" w:space="0" w:color="auto"/>
              <w:bottom w:val="single" w:sz="6" w:space="0" w:color="auto"/>
              <w:right w:val="single" w:sz="6" w:space="0" w:color="auto"/>
            </w:tcBorders>
            <w:vAlign w:val="center"/>
            <w:hideMark/>
          </w:tcPr>
          <w:p w14:paraId="10D6EDF3" w14:textId="77777777" w:rsidR="008835B2" w:rsidRDefault="008835B2">
            <w:pPr>
              <w:overflowPunct w:val="0"/>
              <w:autoSpaceDE w:val="0"/>
              <w:jc w:val="center"/>
              <w:textAlignment w:val="baseline"/>
              <w:rPr>
                <w:rFonts w:cs="Arial"/>
                <w:color w:val="auto"/>
                <w:spacing w:val="-3"/>
                <w:sz w:val="16"/>
                <w:szCs w:val="16"/>
              </w:rPr>
            </w:pPr>
            <w:r>
              <w:rPr>
                <w:rFonts w:cs="Arial"/>
                <w:spacing w:val="-3"/>
                <w:sz w:val="16"/>
                <w:szCs w:val="16"/>
              </w:rPr>
              <w:t>± 20% of target value</w:t>
            </w:r>
          </w:p>
        </w:tc>
        <w:tc>
          <w:tcPr>
            <w:tcW w:w="2070" w:type="dxa"/>
            <w:tcBorders>
              <w:top w:val="nil"/>
              <w:left w:val="nil"/>
              <w:bottom w:val="single" w:sz="8" w:space="0" w:color="auto"/>
              <w:right w:val="single" w:sz="12" w:space="0" w:color="auto"/>
            </w:tcBorders>
            <w:vAlign w:val="center"/>
            <w:hideMark/>
          </w:tcPr>
          <w:p w14:paraId="20732DFD"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5CE3B57F" w14:textId="77777777" w:rsidTr="008835B2">
        <w:trPr>
          <w:trHeight w:val="676"/>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1A40DE5A" w14:textId="77777777" w:rsidR="008835B2" w:rsidRDefault="008835B2">
            <w:pPr>
              <w:overflowPunct w:val="0"/>
              <w:autoSpaceDE w:val="0"/>
              <w:textAlignment w:val="baseline"/>
              <w:rPr>
                <w:rFonts w:cs="Arial"/>
                <w:color w:val="000000"/>
                <w:spacing w:val="-3"/>
                <w:sz w:val="16"/>
                <w:szCs w:val="16"/>
              </w:rPr>
            </w:pPr>
            <w:r>
              <w:rPr>
                <w:rFonts w:cs="Arial"/>
                <w:spacing w:val="-3"/>
                <w:sz w:val="16"/>
                <w:szCs w:val="16"/>
              </w:rPr>
              <w:t>Flow rate of backpack and chemical sprayer and water hose</w:t>
            </w:r>
          </w:p>
        </w:tc>
        <w:tc>
          <w:tcPr>
            <w:tcW w:w="2880" w:type="dxa"/>
            <w:tcBorders>
              <w:top w:val="single" w:sz="6" w:space="0" w:color="auto"/>
              <w:left w:val="single" w:sz="6" w:space="0" w:color="auto"/>
              <w:bottom w:val="single" w:sz="6" w:space="0" w:color="auto"/>
              <w:right w:val="single" w:sz="6" w:space="0" w:color="auto"/>
            </w:tcBorders>
            <w:vAlign w:val="center"/>
            <w:hideMark/>
          </w:tcPr>
          <w:p w14:paraId="459EEBE6" w14:textId="77777777" w:rsidR="008835B2" w:rsidRDefault="008835B2">
            <w:pPr>
              <w:overflowPunct w:val="0"/>
              <w:autoSpaceDE w:val="0"/>
              <w:jc w:val="center"/>
              <w:textAlignment w:val="baseline"/>
              <w:rPr>
                <w:rFonts w:cs="Arial"/>
                <w:color w:val="000000"/>
                <w:spacing w:val="-3"/>
                <w:sz w:val="16"/>
                <w:szCs w:val="16"/>
              </w:rPr>
            </w:pPr>
            <w:r>
              <w:rPr>
                <w:rFonts w:cs="Arial"/>
                <w:spacing w:val="-3"/>
                <w:sz w:val="16"/>
                <w:szCs w:val="16"/>
              </w:rPr>
              <w:t>Volume collected in a graduated cylinder per time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CCCC226" w14:textId="77777777" w:rsidR="008835B2" w:rsidRDefault="008835B2">
            <w:pPr>
              <w:overflowPunct w:val="0"/>
              <w:autoSpaceDE w:val="0"/>
              <w:jc w:val="center"/>
              <w:textAlignment w:val="baseline"/>
              <w:rPr>
                <w:rFonts w:cs="Arial"/>
                <w:color w:val="000000"/>
                <w:spacing w:val="-3"/>
                <w:sz w:val="16"/>
                <w:szCs w:val="16"/>
              </w:rPr>
            </w:pPr>
            <w:r>
              <w:rPr>
                <w:rFonts w:cs="Arial"/>
                <w:spacing w:val="-3"/>
                <w:sz w:val="16"/>
                <w:szCs w:val="16"/>
              </w:rPr>
              <w:t>± 50 mL</w:t>
            </w:r>
          </w:p>
        </w:tc>
        <w:tc>
          <w:tcPr>
            <w:tcW w:w="2070" w:type="dxa"/>
            <w:tcBorders>
              <w:top w:val="single" w:sz="6" w:space="0" w:color="auto"/>
              <w:left w:val="single" w:sz="6" w:space="0" w:color="auto"/>
              <w:bottom w:val="single" w:sz="6" w:space="0" w:color="auto"/>
              <w:right w:val="single" w:sz="6" w:space="0" w:color="auto"/>
            </w:tcBorders>
            <w:vAlign w:val="center"/>
            <w:hideMark/>
          </w:tcPr>
          <w:p w14:paraId="564125B6" w14:textId="77777777" w:rsidR="008835B2" w:rsidRDefault="008835B2">
            <w:pPr>
              <w:overflowPunct w:val="0"/>
              <w:autoSpaceDE w:val="0"/>
              <w:jc w:val="center"/>
              <w:textAlignment w:val="baseline"/>
              <w:rPr>
                <w:rFonts w:cs="Arial"/>
                <w:color w:val="auto"/>
                <w:spacing w:val="-3"/>
                <w:sz w:val="16"/>
                <w:szCs w:val="16"/>
              </w:rPr>
            </w:pPr>
            <w:r>
              <w:rPr>
                <w:rFonts w:cs="Arial"/>
                <w:spacing w:val="-3"/>
                <w:sz w:val="16"/>
                <w:szCs w:val="16"/>
              </w:rPr>
              <w:t>± 20% of target value</w:t>
            </w:r>
          </w:p>
        </w:tc>
        <w:tc>
          <w:tcPr>
            <w:tcW w:w="2070" w:type="dxa"/>
            <w:tcBorders>
              <w:top w:val="nil"/>
              <w:left w:val="nil"/>
              <w:bottom w:val="single" w:sz="8" w:space="0" w:color="auto"/>
              <w:right w:val="single" w:sz="12" w:space="0" w:color="auto"/>
            </w:tcBorders>
            <w:vAlign w:val="center"/>
            <w:hideMark/>
          </w:tcPr>
          <w:p w14:paraId="1C50A557"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016F6797" w14:textId="77777777" w:rsidTr="008835B2">
        <w:trPr>
          <w:trHeight w:val="505"/>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26B6C080" w14:textId="77777777" w:rsidR="008835B2" w:rsidRDefault="008835B2">
            <w:pPr>
              <w:overflowPunct w:val="0"/>
              <w:autoSpaceDE w:val="0"/>
              <w:textAlignment w:val="baseline"/>
              <w:rPr>
                <w:rFonts w:cs="Arial"/>
                <w:spacing w:val="-3"/>
                <w:sz w:val="16"/>
                <w:szCs w:val="16"/>
              </w:rPr>
            </w:pPr>
            <w:r>
              <w:rPr>
                <w:rFonts w:cs="Arial"/>
                <w:spacing w:val="-3"/>
                <w:sz w:val="16"/>
                <w:szCs w:val="16"/>
              </w:rPr>
              <w:t>Chemical sprayer spray diameter at three feet</w:t>
            </w:r>
          </w:p>
        </w:tc>
        <w:tc>
          <w:tcPr>
            <w:tcW w:w="2880" w:type="dxa"/>
            <w:tcBorders>
              <w:top w:val="single" w:sz="6" w:space="0" w:color="auto"/>
              <w:left w:val="single" w:sz="6" w:space="0" w:color="auto"/>
              <w:bottom w:val="single" w:sz="6" w:space="0" w:color="auto"/>
              <w:right w:val="single" w:sz="6" w:space="0" w:color="auto"/>
            </w:tcBorders>
            <w:vAlign w:val="center"/>
            <w:hideMark/>
          </w:tcPr>
          <w:p w14:paraId="4C03AF8A"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Tape measure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4720E16"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1/8 in</w:t>
            </w:r>
          </w:p>
        </w:tc>
        <w:tc>
          <w:tcPr>
            <w:tcW w:w="2070" w:type="dxa"/>
            <w:tcBorders>
              <w:top w:val="single" w:sz="6" w:space="0" w:color="auto"/>
              <w:left w:val="single" w:sz="6" w:space="0" w:color="auto"/>
              <w:bottom w:val="single" w:sz="6" w:space="0" w:color="auto"/>
              <w:right w:val="single" w:sz="6" w:space="0" w:color="auto"/>
            </w:tcBorders>
            <w:vAlign w:val="center"/>
            <w:hideMark/>
          </w:tcPr>
          <w:p w14:paraId="66932A5F"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20% of target value</w:t>
            </w:r>
          </w:p>
        </w:tc>
        <w:tc>
          <w:tcPr>
            <w:tcW w:w="2070" w:type="dxa"/>
            <w:tcBorders>
              <w:top w:val="nil"/>
              <w:left w:val="nil"/>
              <w:bottom w:val="single" w:sz="8" w:space="0" w:color="auto"/>
              <w:right w:val="single" w:sz="12" w:space="0" w:color="auto"/>
            </w:tcBorders>
            <w:vAlign w:val="center"/>
            <w:hideMark/>
          </w:tcPr>
          <w:p w14:paraId="36CD6A2F"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764AAC72" w14:textId="77777777" w:rsidTr="008835B2">
        <w:trPr>
          <w:trHeight w:val="514"/>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29E5CF84" w14:textId="77777777" w:rsidR="008835B2" w:rsidRDefault="008835B2">
            <w:pPr>
              <w:overflowPunct w:val="0"/>
              <w:autoSpaceDE w:val="0"/>
              <w:textAlignment w:val="baseline"/>
              <w:rPr>
                <w:rFonts w:cs="Arial"/>
                <w:spacing w:val="-3"/>
                <w:sz w:val="16"/>
                <w:szCs w:val="16"/>
              </w:rPr>
            </w:pPr>
            <w:r>
              <w:rPr>
                <w:rFonts w:cs="Arial"/>
                <w:spacing w:val="-3"/>
                <w:sz w:val="16"/>
                <w:szCs w:val="16"/>
              </w:rPr>
              <w:t>Backpack sprayer spray diameter at one foot</w:t>
            </w:r>
          </w:p>
        </w:tc>
        <w:tc>
          <w:tcPr>
            <w:tcW w:w="2880" w:type="dxa"/>
            <w:tcBorders>
              <w:top w:val="single" w:sz="6" w:space="0" w:color="auto"/>
              <w:left w:val="single" w:sz="6" w:space="0" w:color="auto"/>
              <w:bottom w:val="single" w:sz="6" w:space="0" w:color="auto"/>
              <w:right w:val="single" w:sz="6" w:space="0" w:color="auto"/>
            </w:tcBorders>
            <w:vAlign w:val="center"/>
            <w:hideMark/>
          </w:tcPr>
          <w:p w14:paraId="7056D59D"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Tape measure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E4DEB7F"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1/8 in</w:t>
            </w:r>
          </w:p>
        </w:tc>
        <w:tc>
          <w:tcPr>
            <w:tcW w:w="2070" w:type="dxa"/>
            <w:tcBorders>
              <w:top w:val="single" w:sz="6" w:space="0" w:color="auto"/>
              <w:left w:val="single" w:sz="6" w:space="0" w:color="auto"/>
              <w:bottom w:val="single" w:sz="6" w:space="0" w:color="auto"/>
              <w:right w:val="single" w:sz="6" w:space="0" w:color="auto"/>
            </w:tcBorders>
            <w:vAlign w:val="center"/>
            <w:hideMark/>
          </w:tcPr>
          <w:p w14:paraId="1E504852"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20% of target value</w:t>
            </w:r>
          </w:p>
        </w:tc>
        <w:tc>
          <w:tcPr>
            <w:tcW w:w="2070" w:type="dxa"/>
            <w:tcBorders>
              <w:top w:val="nil"/>
              <w:left w:val="nil"/>
              <w:bottom w:val="single" w:sz="8" w:space="0" w:color="auto"/>
              <w:right w:val="single" w:sz="12" w:space="0" w:color="auto"/>
            </w:tcBorders>
            <w:vAlign w:val="center"/>
            <w:hideMark/>
          </w:tcPr>
          <w:p w14:paraId="08F33BD2"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73123893" w14:textId="77777777" w:rsidTr="008835B2">
        <w:trPr>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29C6845B" w14:textId="77777777" w:rsidR="008835B2" w:rsidRDefault="008835B2">
            <w:pPr>
              <w:overflowPunct w:val="0"/>
              <w:autoSpaceDE w:val="0"/>
              <w:textAlignment w:val="baseline"/>
              <w:rPr>
                <w:rFonts w:cs="Arial"/>
                <w:b/>
                <w:spacing w:val="-3"/>
                <w:sz w:val="16"/>
                <w:szCs w:val="16"/>
              </w:rPr>
            </w:pPr>
            <w:r>
              <w:rPr>
                <w:rFonts w:cs="Arial"/>
                <w:spacing w:val="-3"/>
                <w:sz w:val="16"/>
                <w:szCs w:val="16"/>
              </w:rPr>
              <w:t>Counts of CFU or PFU per plate</w:t>
            </w:r>
          </w:p>
        </w:tc>
        <w:tc>
          <w:tcPr>
            <w:tcW w:w="2880" w:type="dxa"/>
            <w:tcBorders>
              <w:top w:val="single" w:sz="6" w:space="0" w:color="auto"/>
              <w:left w:val="single" w:sz="6" w:space="0" w:color="auto"/>
              <w:bottom w:val="single" w:sz="6" w:space="0" w:color="auto"/>
              <w:right w:val="single" w:sz="6" w:space="0" w:color="auto"/>
            </w:tcBorders>
            <w:vAlign w:val="center"/>
            <w:hideMark/>
          </w:tcPr>
          <w:p w14:paraId="3FD0631C"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Manual counting</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8771106" w14:textId="77777777" w:rsidR="008835B2" w:rsidRDefault="008835B2">
            <w:pPr>
              <w:overflowPunct w:val="0"/>
              <w:autoSpaceDE w:val="0"/>
              <w:jc w:val="center"/>
              <w:textAlignment w:val="baseline"/>
              <w:rPr>
                <w:rFonts w:cs="Arial"/>
                <w:spacing w:val="-3"/>
                <w:sz w:val="16"/>
                <w:szCs w:val="16"/>
                <w:u w:val="single"/>
              </w:rPr>
            </w:pPr>
            <w:r>
              <w:rPr>
                <w:rFonts w:cs="Arial"/>
                <w:spacing w:val="-3"/>
                <w:sz w:val="16"/>
                <w:szCs w:val="16"/>
              </w:rPr>
              <w:t>± 10% CFU/ plate between 1</w:t>
            </w:r>
            <w:r>
              <w:rPr>
                <w:rFonts w:cs="Arial"/>
                <w:spacing w:val="-3"/>
                <w:sz w:val="16"/>
                <w:szCs w:val="16"/>
                <w:vertAlign w:val="superscript"/>
              </w:rPr>
              <w:t>st</w:t>
            </w:r>
            <w:r>
              <w:rPr>
                <w:rFonts w:cs="Arial"/>
                <w:spacing w:val="-3"/>
                <w:sz w:val="16"/>
                <w:szCs w:val="16"/>
              </w:rPr>
              <w:t xml:space="preserve"> and 2</w:t>
            </w:r>
            <w:r>
              <w:rPr>
                <w:rFonts w:cs="Arial"/>
                <w:spacing w:val="-3"/>
                <w:sz w:val="16"/>
                <w:szCs w:val="16"/>
                <w:vertAlign w:val="superscript"/>
              </w:rPr>
              <w:t>nd</w:t>
            </w:r>
            <w:r>
              <w:rPr>
                <w:rFonts w:cs="Arial"/>
                <w:spacing w:val="-3"/>
                <w:sz w:val="16"/>
                <w:szCs w:val="16"/>
              </w:rPr>
              <w:t xml:space="preserve"> count</w:t>
            </w:r>
          </w:p>
        </w:tc>
        <w:tc>
          <w:tcPr>
            <w:tcW w:w="2070" w:type="dxa"/>
            <w:tcBorders>
              <w:top w:val="single" w:sz="6" w:space="0" w:color="auto"/>
              <w:left w:val="single" w:sz="6" w:space="0" w:color="auto"/>
              <w:bottom w:val="single" w:sz="6" w:space="0" w:color="auto"/>
              <w:right w:val="single" w:sz="6" w:space="0" w:color="auto"/>
            </w:tcBorders>
            <w:vAlign w:val="center"/>
            <w:hideMark/>
          </w:tcPr>
          <w:p w14:paraId="4AD4E394"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100% RSD between triplicates</w:t>
            </w:r>
          </w:p>
        </w:tc>
        <w:tc>
          <w:tcPr>
            <w:tcW w:w="2070" w:type="dxa"/>
            <w:tcBorders>
              <w:top w:val="nil"/>
              <w:left w:val="nil"/>
              <w:bottom w:val="single" w:sz="8" w:space="0" w:color="auto"/>
              <w:right w:val="single" w:sz="12" w:space="0" w:color="auto"/>
            </w:tcBorders>
            <w:vAlign w:val="center"/>
            <w:hideMark/>
          </w:tcPr>
          <w:p w14:paraId="642B7AC8"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3735A0C8" w14:textId="77777777" w:rsidTr="008835B2">
        <w:trPr>
          <w:trHeight w:val="271"/>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1D114B27" w14:textId="77777777" w:rsidR="008835B2" w:rsidRDefault="008835B2">
            <w:pPr>
              <w:overflowPunct w:val="0"/>
              <w:autoSpaceDE w:val="0"/>
              <w:textAlignment w:val="baseline"/>
              <w:rPr>
                <w:rFonts w:cs="Arial"/>
                <w:b/>
                <w:spacing w:val="-3"/>
                <w:sz w:val="16"/>
                <w:szCs w:val="16"/>
              </w:rPr>
            </w:pPr>
            <w:r>
              <w:rPr>
                <w:rFonts w:cs="Arial"/>
                <w:spacing w:val="-3"/>
                <w:sz w:val="16"/>
                <w:szCs w:val="16"/>
              </w:rPr>
              <w:t>Plated volume</w:t>
            </w:r>
          </w:p>
        </w:tc>
        <w:tc>
          <w:tcPr>
            <w:tcW w:w="2880" w:type="dxa"/>
            <w:tcBorders>
              <w:top w:val="single" w:sz="6" w:space="0" w:color="auto"/>
              <w:left w:val="single" w:sz="6" w:space="0" w:color="auto"/>
              <w:bottom w:val="single" w:sz="6" w:space="0" w:color="auto"/>
              <w:right w:val="single" w:sz="6" w:space="0" w:color="auto"/>
            </w:tcBorders>
            <w:vAlign w:val="center"/>
            <w:hideMark/>
          </w:tcPr>
          <w:p w14:paraId="3B7CD270"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Pipette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EA1E02A" w14:textId="77777777" w:rsidR="008835B2" w:rsidRDefault="008835B2">
            <w:pPr>
              <w:overflowPunct w:val="0"/>
              <w:autoSpaceDE w:val="0"/>
              <w:jc w:val="center"/>
              <w:textAlignment w:val="baseline"/>
              <w:rPr>
                <w:rFonts w:cs="Arial"/>
                <w:spacing w:val="-3"/>
                <w:sz w:val="16"/>
                <w:szCs w:val="16"/>
                <w:u w:val="single"/>
              </w:rPr>
            </w:pPr>
            <w:r>
              <w:rPr>
                <w:rFonts w:cs="Arial"/>
                <w:spacing w:val="-3"/>
                <w:sz w:val="16"/>
                <w:szCs w:val="16"/>
              </w:rPr>
              <w:t>2%</w:t>
            </w:r>
          </w:p>
        </w:tc>
        <w:tc>
          <w:tcPr>
            <w:tcW w:w="2070" w:type="dxa"/>
            <w:tcBorders>
              <w:top w:val="single" w:sz="6" w:space="0" w:color="auto"/>
              <w:left w:val="single" w:sz="6" w:space="0" w:color="auto"/>
              <w:bottom w:val="single" w:sz="6" w:space="0" w:color="auto"/>
              <w:right w:val="single" w:sz="6" w:space="0" w:color="auto"/>
            </w:tcBorders>
            <w:vAlign w:val="center"/>
            <w:hideMark/>
          </w:tcPr>
          <w:p w14:paraId="63217E0D"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 1%</w:t>
            </w:r>
          </w:p>
        </w:tc>
        <w:tc>
          <w:tcPr>
            <w:tcW w:w="2070" w:type="dxa"/>
            <w:tcBorders>
              <w:top w:val="nil"/>
              <w:left w:val="nil"/>
              <w:bottom w:val="single" w:sz="8" w:space="0" w:color="auto"/>
              <w:right w:val="single" w:sz="12" w:space="0" w:color="auto"/>
            </w:tcBorders>
            <w:vAlign w:val="center"/>
            <w:hideMark/>
          </w:tcPr>
          <w:p w14:paraId="16EDADEA"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69041018" w14:textId="77777777" w:rsidTr="008835B2">
        <w:trPr>
          <w:trHeight w:val="451"/>
          <w:jc w:val="center"/>
        </w:trPr>
        <w:tc>
          <w:tcPr>
            <w:tcW w:w="2235" w:type="dxa"/>
            <w:tcBorders>
              <w:top w:val="single" w:sz="6" w:space="0" w:color="auto"/>
              <w:left w:val="single" w:sz="12" w:space="0" w:color="auto"/>
              <w:bottom w:val="single" w:sz="6" w:space="0" w:color="auto"/>
              <w:right w:val="single" w:sz="6" w:space="0" w:color="auto"/>
            </w:tcBorders>
            <w:vAlign w:val="center"/>
            <w:hideMark/>
          </w:tcPr>
          <w:p w14:paraId="1F65EA08" w14:textId="77777777" w:rsidR="008835B2" w:rsidRDefault="008835B2">
            <w:pPr>
              <w:overflowPunct w:val="0"/>
              <w:autoSpaceDE w:val="0"/>
              <w:textAlignment w:val="baseline"/>
              <w:rPr>
                <w:rFonts w:cs="Arial"/>
                <w:spacing w:val="-3"/>
                <w:sz w:val="16"/>
                <w:szCs w:val="16"/>
              </w:rPr>
            </w:pPr>
            <w:r>
              <w:rPr>
                <w:rFonts w:cs="Arial"/>
                <w:spacing w:val="-3"/>
                <w:sz w:val="16"/>
                <w:szCs w:val="16"/>
              </w:rPr>
              <w:t>Temperature of incubation chamber</w:t>
            </w:r>
          </w:p>
        </w:tc>
        <w:tc>
          <w:tcPr>
            <w:tcW w:w="2880" w:type="dxa"/>
            <w:tcBorders>
              <w:top w:val="single" w:sz="6" w:space="0" w:color="auto"/>
              <w:left w:val="single" w:sz="6" w:space="0" w:color="auto"/>
              <w:bottom w:val="single" w:sz="6" w:space="0" w:color="auto"/>
              <w:right w:val="single" w:sz="6" w:space="0" w:color="auto"/>
            </w:tcBorders>
            <w:vAlign w:val="center"/>
            <w:hideMark/>
          </w:tcPr>
          <w:p w14:paraId="23CFF26D"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NIST-traceable thermometer (daily)</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B93F7F1"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u w:val="single"/>
              </w:rPr>
              <w:t>+</w:t>
            </w:r>
            <w:r>
              <w:rPr>
                <w:rFonts w:cs="Arial"/>
                <w:spacing w:val="-3"/>
                <w:sz w:val="16"/>
                <w:szCs w:val="16"/>
              </w:rPr>
              <w:t xml:space="preserve"> 2 </w:t>
            </w:r>
            <w:proofErr w:type="spellStart"/>
            <w:r>
              <w:rPr>
                <w:rFonts w:cs="Arial"/>
                <w:spacing w:val="-3"/>
                <w:sz w:val="16"/>
                <w:szCs w:val="16"/>
                <w:vertAlign w:val="superscript"/>
              </w:rPr>
              <w:t>o</w:t>
            </w:r>
            <w:r>
              <w:rPr>
                <w:rFonts w:cs="Arial"/>
                <w:spacing w:val="-3"/>
                <w:sz w:val="16"/>
                <w:szCs w:val="16"/>
              </w:rPr>
              <w:t>C</w:t>
            </w:r>
            <w:proofErr w:type="spellEnd"/>
          </w:p>
        </w:tc>
        <w:tc>
          <w:tcPr>
            <w:tcW w:w="2070" w:type="dxa"/>
            <w:tcBorders>
              <w:top w:val="single" w:sz="6" w:space="0" w:color="auto"/>
              <w:left w:val="single" w:sz="6" w:space="0" w:color="auto"/>
              <w:bottom w:val="single" w:sz="6" w:space="0" w:color="auto"/>
              <w:right w:val="single" w:sz="6" w:space="0" w:color="auto"/>
            </w:tcBorders>
            <w:vAlign w:val="center"/>
            <w:hideMark/>
          </w:tcPr>
          <w:p w14:paraId="769BC92A" w14:textId="77777777" w:rsidR="008835B2" w:rsidRDefault="008835B2">
            <w:pPr>
              <w:overflowPunct w:val="0"/>
              <w:autoSpaceDE w:val="0"/>
              <w:jc w:val="center"/>
              <w:textAlignment w:val="baseline"/>
              <w:rPr>
                <w:rFonts w:cs="Arial"/>
                <w:spacing w:val="-3"/>
                <w:sz w:val="16"/>
                <w:szCs w:val="16"/>
              </w:rPr>
            </w:pPr>
            <w:r>
              <w:rPr>
                <w:rFonts w:cs="Arial"/>
                <w:spacing w:val="-3"/>
                <w:sz w:val="16"/>
                <w:szCs w:val="16"/>
              </w:rPr>
              <w:t>Not applicable</w:t>
            </w:r>
          </w:p>
        </w:tc>
        <w:tc>
          <w:tcPr>
            <w:tcW w:w="2070" w:type="dxa"/>
            <w:tcBorders>
              <w:top w:val="nil"/>
              <w:left w:val="nil"/>
              <w:bottom w:val="single" w:sz="8" w:space="0" w:color="auto"/>
              <w:right w:val="single" w:sz="12" w:space="0" w:color="auto"/>
            </w:tcBorders>
            <w:vAlign w:val="center"/>
            <w:hideMark/>
          </w:tcPr>
          <w:p w14:paraId="518150C2" w14:textId="77777777" w:rsidR="008835B2" w:rsidRDefault="008835B2">
            <w:pPr>
              <w:overflowPunct w:val="0"/>
              <w:autoSpaceDE w:val="0"/>
              <w:jc w:val="center"/>
              <w:textAlignment w:val="baseline"/>
              <w:rPr>
                <w:rFonts w:cs="Arial"/>
                <w:spacing w:val="-3"/>
                <w:sz w:val="16"/>
                <w:szCs w:val="16"/>
              </w:rPr>
            </w:pPr>
            <w:r>
              <w:rPr>
                <w:spacing w:val="-3"/>
                <w:sz w:val="16"/>
                <w:szCs w:val="16"/>
              </w:rPr>
              <w:t>Pass</w:t>
            </w:r>
          </w:p>
        </w:tc>
      </w:tr>
      <w:tr w:rsidR="008835B2" w14:paraId="39B3A4EF" w14:textId="77777777" w:rsidTr="008835B2">
        <w:trPr>
          <w:jc w:val="center"/>
        </w:trPr>
        <w:tc>
          <w:tcPr>
            <w:tcW w:w="10695" w:type="dxa"/>
            <w:gridSpan w:val="5"/>
            <w:tcBorders>
              <w:top w:val="single" w:sz="6" w:space="0" w:color="auto"/>
              <w:left w:val="single" w:sz="12" w:space="0" w:color="auto"/>
              <w:bottom w:val="single" w:sz="12" w:space="0" w:color="auto"/>
              <w:right w:val="single" w:sz="12" w:space="0" w:color="auto"/>
            </w:tcBorders>
            <w:hideMark/>
          </w:tcPr>
          <w:p w14:paraId="5BEA5EF4" w14:textId="77777777" w:rsidR="008835B2" w:rsidRDefault="008835B2">
            <w:pPr>
              <w:overflowPunct w:val="0"/>
              <w:autoSpaceDE w:val="0"/>
              <w:textAlignment w:val="baseline"/>
              <w:rPr>
                <w:rFonts w:cs="Arial"/>
                <w:spacing w:val="-3"/>
                <w:sz w:val="16"/>
                <w:szCs w:val="16"/>
              </w:rPr>
            </w:pPr>
            <w:r>
              <w:rPr>
                <w:rFonts w:cs="Arial"/>
                <w:spacing w:val="-3"/>
                <w:sz w:val="16"/>
                <w:szCs w:val="16"/>
              </w:rPr>
              <w:t>Mg/mL = milligrams/milliliter</w:t>
            </w:r>
          </w:p>
          <w:p w14:paraId="4949A89B" w14:textId="77777777" w:rsidR="008835B2" w:rsidRDefault="008835B2">
            <w:pPr>
              <w:overflowPunct w:val="0"/>
              <w:autoSpaceDE w:val="0"/>
              <w:textAlignment w:val="baseline"/>
              <w:rPr>
                <w:rFonts w:cs="Arial"/>
                <w:spacing w:val="-3"/>
                <w:sz w:val="16"/>
                <w:szCs w:val="16"/>
              </w:rPr>
            </w:pPr>
            <w:r>
              <w:rPr>
                <w:rFonts w:cs="Arial"/>
                <w:spacing w:val="-3"/>
                <w:sz w:val="16"/>
                <w:szCs w:val="16"/>
              </w:rPr>
              <w:t>NIST = National Institute of Standards and Technology</w:t>
            </w:r>
          </w:p>
          <w:p w14:paraId="29D626B7" w14:textId="77777777" w:rsidR="008835B2" w:rsidRDefault="008835B2">
            <w:pPr>
              <w:overflowPunct w:val="0"/>
              <w:autoSpaceDE w:val="0"/>
              <w:textAlignment w:val="baseline"/>
              <w:rPr>
                <w:rFonts w:cs="Arial"/>
                <w:spacing w:val="-3"/>
                <w:sz w:val="16"/>
                <w:szCs w:val="16"/>
              </w:rPr>
            </w:pPr>
            <w:r>
              <w:rPr>
                <w:rFonts w:cs="Arial"/>
                <w:spacing w:val="-3"/>
                <w:sz w:val="16"/>
                <w:szCs w:val="16"/>
              </w:rPr>
              <w:t>g/L = grams per liter</w:t>
            </w:r>
          </w:p>
          <w:p w14:paraId="1797FD3F" w14:textId="77777777" w:rsidR="008835B2" w:rsidRDefault="008835B2">
            <w:pPr>
              <w:overflowPunct w:val="0"/>
              <w:autoSpaceDE w:val="0"/>
              <w:textAlignment w:val="baseline"/>
              <w:rPr>
                <w:rFonts w:cs="Arial"/>
                <w:spacing w:val="-3"/>
                <w:sz w:val="16"/>
                <w:szCs w:val="16"/>
              </w:rPr>
            </w:pPr>
            <w:r>
              <w:rPr>
                <w:rFonts w:cs="Arial"/>
                <w:spacing w:val="-3"/>
                <w:sz w:val="16"/>
                <w:szCs w:val="16"/>
              </w:rPr>
              <w:t>* Performed only for neutralization testing (see Section 5 for details).</w:t>
            </w:r>
          </w:p>
          <w:p w14:paraId="3CDB074B" w14:textId="77777777" w:rsidR="008835B2" w:rsidRDefault="008835B2">
            <w:pPr>
              <w:overflowPunct w:val="0"/>
              <w:autoSpaceDE w:val="0"/>
              <w:textAlignment w:val="baseline"/>
              <w:rPr>
                <w:rFonts w:cs="Arial"/>
                <w:spacing w:val="-3"/>
                <w:sz w:val="16"/>
                <w:szCs w:val="16"/>
              </w:rPr>
            </w:pPr>
            <w:r>
              <w:rPr>
                <w:rFonts w:cs="Arial"/>
                <w:spacing w:val="-3"/>
                <w:sz w:val="16"/>
                <w:szCs w:val="16"/>
              </w:rPr>
              <w:t>** pH of Spor-Klenz</w:t>
            </w:r>
            <w:r>
              <w:rPr>
                <w:rFonts w:cs="Arial"/>
                <w:spacing w:val="-3"/>
                <w:sz w:val="16"/>
                <w:szCs w:val="16"/>
                <w:vertAlign w:val="superscript"/>
              </w:rPr>
              <w:t>®</w:t>
            </w:r>
            <w:r>
              <w:rPr>
                <w:rFonts w:cs="Arial"/>
                <w:spacing w:val="-3"/>
                <w:sz w:val="16"/>
                <w:szCs w:val="16"/>
              </w:rPr>
              <w:t xml:space="preserve"> RTU and citric acid decontamination solutions were established experimentally before testing in a series of preliminary experiments through triplicate measurements of this parameter performed for each liquid decontaminant. The averages from these measurements were then established as baseline or threshold pH for Spor-Klenz</w:t>
            </w:r>
            <w:r>
              <w:rPr>
                <w:rFonts w:cs="Arial"/>
                <w:spacing w:val="-3"/>
                <w:sz w:val="16"/>
                <w:szCs w:val="16"/>
                <w:vertAlign w:val="superscript"/>
              </w:rPr>
              <w:t>®</w:t>
            </w:r>
            <w:r>
              <w:rPr>
                <w:rFonts w:cs="Arial"/>
                <w:spacing w:val="-3"/>
                <w:sz w:val="16"/>
                <w:szCs w:val="16"/>
              </w:rPr>
              <w:t xml:space="preserve"> RTU and citric acid decontamination formulations.</w:t>
            </w:r>
          </w:p>
        </w:tc>
      </w:tr>
    </w:tbl>
    <w:p w14:paraId="3BCB32C0" w14:textId="77777777" w:rsidR="008835B2" w:rsidRDefault="008835B2" w:rsidP="008835B2">
      <w:pPr>
        <w:rPr>
          <w:rFonts w:ascii="Arial" w:hAnsi="Arial"/>
          <w:sz w:val="20"/>
          <w:szCs w:val="20"/>
          <w:lang w:eastAsia="ar-SA"/>
        </w:rPr>
      </w:pPr>
    </w:p>
    <w:p w14:paraId="7D66C5FD" w14:textId="77777777" w:rsidR="008835B2" w:rsidRDefault="008835B2" w:rsidP="008835B2">
      <w:pPr>
        <w:rPr>
          <w:rFonts w:asciiTheme="minorHAnsi" w:hAnsiTheme="minorHAnsi" w:cstheme="minorBidi"/>
          <w:sz w:val="22"/>
          <w:szCs w:val="22"/>
        </w:rPr>
      </w:pPr>
    </w:p>
    <w:p w14:paraId="6AC67DBC" w14:textId="77777777" w:rsidR="008835B2" w:rsidRPr="008835B2" w:rsidRDefault="008835B2" w:rsidP="008835B2">
      <w:pPr>
        <w:keepNext/>
        <w:keepLines/>
        <w:numPr>
          <w:ilvl w:val="1"/>
          <w:numId w:val="10"/>
        </w:numPr>
        <w:overflowPunct w:val="0"/>
        <w:autoSpaceDE w:val="0"/>
        <w:autoSpaceDN w:val="0"/>
        <w:adjustRightInd w:val="0"/>
        <w:spacing w:before="100" w:beforeAutospacing="1" w:after="100" w:afterAutospacing="1" w:line="280" w:lineRule="atLeast"/>
        <w:jc w:val="both"/>
        <w:textAlignment w:val="baseline"/>
        <w:outlineLvl w:val="1"/>
        <w:rPr>
          <w:rFonts w:ascii="Times New Roman" w:hAnsi="Times New Roman"/>
          <w:b/>
          <w:bCs/>
          <w:iCs/>
          <w:szCs w:val="28"/>
        </w:rPr>
      </w:pPr>
      <w:bookmarkStart w:id="13" w:name="_Toc452563116"/>
      <w:r w:rsidRPr="008835B2">
        <w:rPr>
          <w:rFonts w:ascii="Times New Roman" w:hAnsi="Times New Roman"/>
          <w:b/>
          <w:bCs/>
          <w:iCs/>
          <w:szCs w:val="28"/>
          <w:shd w:val="clear" w:color="auto" w:fill="FFFFFF"/>
        </w:rPr>
        <w:t>Quality Control Checks</w:t>
      </w:r>
      <w:bookmarkEnd w:id="13"/>
    </w:p>
    <w:p w14:paraId="5BD274D4" w14:textId="77777777" w:rsidR="008835B2" w:rsidRPr="008835B2" w:rsidRDefault="008835B2" w:rsidP="008835B2">
      <w:pPr>
        <w:widowControl w:val="0"/>
        <w:spacing w:before="100" w:beforeAutospacing="1" w:after="100" w:afterAutospacing="1"/>
        <w:rPr>
          <w:rFonts w:ascii="Times New Roman" w:hAnsi="Times New Roman"/>
          <w:sz w:val="20"/>
          <w:szCs w:val="20"/>
        </w:rPr>
      </w:pPr>
      <w:r w:rsidRPr="008835B2">
        <w:rPr>
          <w:rFonts w:ascii="Times New Roman" w:hAnsi="Times New Roman"/>
        </w:rPr>
        <w:t xml:space="preserve">Many QA/QC checks were used in this project to ensure that the data collected met all the critical </w:t>
      </w:r>
      <w:r w:rsidRPr="008835B2">
        <w:rPr>
          <w:rFonts w:ascii="Times New Roman" w:hAnsi="Times New Roman"/>
        </w:rPr>
        <w:lastRenderedPageBreak/>
        <w:t>measurements listed in Table 9.2-1. The measurement/parameter criteria were set at the most stringent level that can routinely be achieved. The integrity of the sample during collection and analysis was evaluated. Control samples and procedural blanks were included along with the test samples so that well-controlled quantitative values were obtained. Background checks for the presence of bacterial spores were included as part of the standard protocol. Replicate coupons were included for each set of test conditions. Specific quality control checks that were performed in this project are described in the following sections.</w:t>
      </w:r>
    </w:p>
    <w:p w14:paraId="33D8D9A2" w14:textId="77777777" w:rsidR="008835B2" w:rsidRPr="008835B2" w:rsidRDefault="008835B2" w:rsidP="008835B2">
      <w:pPr>
        <w:numPr>
          <w:ilvl w:val="2"/>
          <w:numId w:val="10"/>
        </w:numPr>
        <w:overflowPunct w:val="0"/>
        <w:autoSpaceDE w:val="0"/>
        <w:autoSpaceDN w:val="0"/>
        <w:adjustRightInd w:val="0"/>
        <w:spacing w:before="100" w:beforeAutospacing="1" w:after="100" w:afterAutospacing="1" w:line="280" w:lineRule="atLeast"/>
        <w:jc w:val="both"/>
        <w:textAlignment w:val="baseline"/>
        <w:outlineLvl w:val="2"/>
        <w:rPr>
          <w:rFonts w:ascii="Times New Roman" w:hAnsi="Times New Roman"/>
          <w:b/>
          <w:bCs/>
          <w:i/>
          <w:szCs w:val="22"/>
          <w:shd w:val="clear" w:color="auto" w:fill="FFFFFF"/>
          <w:lang w:eastAsia="ar-SA"/>
        </w:rPr>
      </w:pPr>
      <w:bookmarkStart w:id="14" w:name="_Toc422141108"/>
      <w:bookmarkStart w:id="15" w:name="_Toc446404499"/>
      <w:bookmarkStart w:id="16" w:name="_Toc452563117"/>
      <w:r w:rsidRPr="008835B2">
        <w:rPr>
          <w:rFonts w:ascii="Times New Roman" w:hAnsi="Times New Roman"/>
          <w:b/>
          <w:bCs/>
          <w:i/>
          <w:shd w:val="clear" w:color="auto" w:fill="FFFFFF"/>
        </w:rPr>
        <w:t>Integrity of Samples and Supplies</w:t>
      </w:r>
      <w:bookmarkEnd w:id="14"/>
      <w:bookmarkEnd w:id="15"/>
      <w:bookmarkEnd w:id="16"/>
      <w:r w:rsidRPr="008835B2">
        <w:rPr>
          <w:rFonts w:ascii="Times New Roman" w:hAnsi="Times New Roman"/>
          <w:b/>
          <w:bCs/>
          <w:i/>
          <w:shd w:val="clear" w:color="auto" w:fill="FFFFFF"/>
        </w:rPr>
        <w:t xml:space="preserve"> </w:t>
      </w:r>
    </w:p>
    <w:p w14:paraId="2121F5EB" w14:textId="77777777" w:rsidR="008835B2" w:rsidRPr="008835B2" w:rsidRDefault="008835B2" w:rsidP="008835B2">
      <w:pPr>
        <w:widowControl w:val="0"/>
        <w:spacing w:before="100" w:beforeAutospacing="1" w:after="100" w:afterAutospacing="1"/>
        <w:rPr>
          <w:rFonts w:ascii="Times New Roman" w:hAnsi="Times New Roman"/>
          <w:sz w:val="20"/>
        </w:rPr>
      </w:pPr>
      <w:r w:rsidRPr="008835B2">
        <w:rPr>
          <w:rFonts w:ascii="Times New Roman" w:hAnsi="Times New Roman"/>
        </w:rPr>
        <w:t>Samples were carefully maintained and preserved to ensure their integrity. Samples were stored away from standards or other samples that could possibly cross-contaminate them.</w:t>
      </w:r>
    </w:p>
    <w:p w14:paraId="2EE3F896" w14:textId="77777777" w:rsidR="008835B2" w:rsidRPr="008835B2" w:rsidRDefault="008835B2" w:rsidP="008835B2">
      <w:pPr>
        <w:widowControl w:val="0"/>
        <w:spacing w:before="100" w:beforeAutospacing="1" w:after="100" w:afterAutospacing="1"/>
        <w:rPr>
          <w:rFonts w:ascii="Times New Roman" w:hAnsi="Times New Roman"/>
          <w:sz w:val="22"/>
        </w:rPr>
      </w:pPr>
      <w:r w:rsidRPr="008835B2">
        <w:rPr>
          <w:rFonts w:ascii="Times New Roman" w:hAnsi="Times New Roman"/>
        </w:rPr>
        <w:t xml:space="preserve">Project personnel carefully checked supplies and consumables prior to use to verify that they met specified project quality objectives. All pipettes were calibrated yearly by an outside contractor (Calibrate, Inc.), incubation temperature was monitored using NIST-traceable thermometers, and balances were calibrated yearly by the EPA Metrology Laboratory. </w:t>
      </w:r>
    </w:p>
    <w:p w14:paraId="7AC45F84" w14:textId="77777777" w:rsidR="008835B2" w:rsidRPr="008835B2" w:rsidRDefault="008835B2" w:rsidP="008835B2">
      <w:pPr>
        <w:numPr>
          <w:ilvl w:val="2"/>
          <w:numId w:val="10"/>
        </w:numPr>
        <w:overflowPunct w:val="0"/>
        <w:autoSpaceDE w:val="0"/>
        <w:autoSpaceDN w:val="0"/>
        <w:adjustRightInd w:val="0"/>
        <w:spacing w:before="100" w:beforeAutospacing="1" w:after="100" w:afterAutospacing="1" w:line="280" w:lineRule="atLeast"/>
        <w:jc w:val="both"/>
        <w:textAlignment w:val="baseline"/>
        <w:outlineLvl w:val="2"/>
        <w:rPr>
          <w:rFonts w:ascii="Times New Roman" w:hAnsi="Times New Roman"/>
          <w:b/>
          <w:bCs/>
          <w:i/>
          <w:lang w:eastAsia="ar-SA"/>
        </w:rPr>
      </w:pPr>
      <w:bookmarkStart w:id="17" w:name="_Toc422141109"/>
      <w:bookmarkStart w:id="18" w:name="_Toc446404500"/>
      <w:bookmarkStart w:id="19" w:name="_Toc452563118"/>
      <w:r w:rsidRPr="008835B2">
        <w:rPr>
          <w:rFonts w:ascii="Times New Roman" w:hAnsi="Times New Roman"/>
          <w:b/>
          <w:bCs/>
          <w:i/>
        </w:rPr>
        <w:t>NHRSC Biolab Control Checks</w:t>
      </w:r>
      <w:bookmarkEnd w:id="17"/>
      <w:bookmarkEnd w:id="18"/>
      <w:bookmarkEnd w:id="19"/>
    </w:p>
    <w:p w14:paraId="5A9140AA" w14:textId="77777777" w:rsidR="008835B2" w:rsidRPr="008835B2" w:rsidRDefault="008835B2" w:rsidP="008835B2">
      <w:pPr>
        <w:widowControl w:val="0"/>
        <w:spacing w:before="100" w:beforeAutospacing="1" w:after="100" w:afterAutospacing="1"/>
        <w:rPr>
          <w:rFonts w:ascii="Times New Roman" w:hAnsi="Times New Roman"/>
          <w:sz w:val="20"/>
        </w:rPr>
      </w:pPr>
      <w:r w:rsidRPr="008835B2">
        <w:rPr>
          <w:rFonts w:ascii="Times New Roman" w:hAnsi="Times New Roman"/>
        </w:rPr>
        <w:t>Quantitative standards do not exist for biological agents. Quantitative determinations of organisms in this investigation did not involve the use of analytical measurement devices. Rather, the CFU were enumerated manually and recorded. If the CFU count for bacterial growth did not fall within the target range, the sample was either filtered or re-plated. For each set of results (per test), a second count was performed on 25 percent of the plates within the quantification range (plates with 30 - 300 CFU). All second counts were found to be within 10 percent of the original count.</w:t>
      </w:r>
    </w:p>
    <w:p w14:paraId="116AA163" w14:textId="77777777" w:rsidR="008835B2" w:rsidRPr="008835B2" w:rsidRDefault="008835B2" w:rsidP="008835B2">
      <w:pPr>
        <w:keepNext/>
        <w:keepLines/>
        <w:numPr>
          <w:ilvl w:val="1"/>
          <w:numId w:val="10"/>
        </w:numPr>
        <w:overflowPunct w:val="0"/>
        <w:autoSpaceDE w:val="0"/>
        <w:autoSpaceDN w:val="0"/>
        <w:adjustRightInd w:val="0"/>
        <w:spacing w:before="100" w:beforeAutospacing="1" w:after="100" w:afterAutospacing="1" w:line="280" w:lineRule="atLeast"/>
        <w:jc w:val="both"/>
        <w:textAlignment w:val="baseline"/>
        <w:outlineLvl w:val="1"/>
        <w:rPr>
          <w:rFonts w:ascii="Times New Roman" w:hAnsi="Times New Roman"/>
          <w:b/>
          <w:bCs/>
          <w:iCs/>
          <w:color w:val="222222"/>
          <w:szCs w:val="28"/>
          <w:shd w:val="clear" w:color="auto" w:fill="FFFFFF"/>
          <w:lang w:eastAsia="ar-SA"/>
        </w:rPr>
      </w:pPr>
      <w:bookmarkStart w:id="20" w:name="_Toc422141110"/>
      <w:bookmarkStart w:id="21" w:name="_Toc446404501"/>
      <w:bookmarkStart w:id="22" w:name="_Toc452563119"/>
      <w:r w:rsidRPr="008835B2">
        <w:rPr>
          <w:rFonts w:ascii="Times New Roman" w:hAnsi="Times New Roman"/>
          <w:b/>
          <w:bCs/>
          <w:iCs/>
          <w:szCs w:val="28"/>
        </w:rPr>
        <w:t>QA/QC Sample Acceptance Criteria</w:t>
      </w:r>
      <w:bookmarkEnd w:id="20"/>
      <w:bookmarkEnd w:id="21"/>
      <w:bookmarkEnd w:id="22"/>
    </w:p>
    <w:p w14:paraId="42BE0E75" w14:textId="77777777" w:rsidR="008835B2" w:rsidRPr="008835B2" w:rsidRDefault="008835B2" w:rsidP="008835B2">
      <w:pPr>
        <w:widowControl w:val="0"/>
        <w:spacing w:before="100" w:beforeAutospacing="1" w:after="100" w:afterAutospacing="1"/>
        <w:rPr>
          <w:rFonts w:ascii="Times New Roman" w:hAnsi="Times New Roman"/>
          <w:color w:val="auto"/>
          <w:sz w:val="20"/>
          <w:szCs w:val="20"/>
        </w:rPr>
      </w:pPr>
      <w:r w:rsidRPr="008835B2">
        <w:rPr>
          <w:rFonts w:ascii="Times New Roman" w:hAnsi="Times New Roman"/>
        </w:rPr>
        <w:t>The acceptance criteria for the critical CFU measurements were set at the most stringent level that could be achieved routinely. Positive controls and procedural blanks were included along with the test samples in the experiments so that well-controlled quantitative values were obtained. Background checks were also included as part of the standard protocol. Replicate coupons were included for each set of test conditions. Further QC samples were collected and analyzed to check the ability of the NHSRC Biolab to culture the test organism, as well as to demonstrate that materials used in this effort did not themselves contain spores. The checks included the following:</w:t>
      </w:r>
    </w:p>
    <w:p w14:paraId="103D80E3" w14:textId="77777777" w:rsidR="008835B2" w:rsidRPr="008835B2" w:rsidRDefault="008835B2" w:rsidP="008835B2">
      <w:pPr>
        <w:numPr>
          <w:ilvl w:val="0"/>
          <w:numId w:val="12"/>
        </w:numPr>
        <w:overflowPunct w:val="0"/>
        <w:autoSpaceDE w:val="0"/>
        <w:autoSpaceDN w:val="0"/>
        <w:adjustRightInd w:val="0"/>
        <w:spacing w:before="100" w:beforeAutospacing="1" w:after="120" w:line="280" w:lineRule="atLeast"/>
        <w:contextualSpacing/>
        <w:jc w:val="both"/>
        <w:textAlignment w:val="baseline"/>
        <w:rPr>
          <w:rFonts w:ascii="Times New Roman" w:eastAsia="Calibri" w:hAnsi="Times New Roman"/>
          <w:sz w:val="22"/>
          <w:szCs w:val="22"/>
          <w:lang w:eastAsia="ar-SA"/>
        </w:rPr>
      </w:pPr>
      <w:r w:rsidRPr="008835B2">
        <w:rPr>
          <w:rFonts w:ascii="Times New Roman" w:eastAsia="Calibri" w:hAnsi="Times New Roman"/>
        </w:rPr>
        <w:t>Negative control coupons: sterile coupons that underwent the same sampling process without spore deposition.</w:t>
      </w:r>
    </w:p>
    <w:p w14:paraId="22864AE6" w14:textId="77777777" w:rsidR="008835B2" w:rsidRPr="008835B2" w:rsidRDefault="008835B2" w:rsidP="008835B2">
      <w:pPr>
        <w:numPr>
          <w:ilvl w:val="0"/>
          <w:numId w:val="12"/>
        </w:numPr>
        <w:overflowPunct w:val="0"/>
        <w:autoSpaceDE w:val="0"/>
        <w:autoSpaceDN w:val="0"/>
        <w:adjustRightInd w:val="0"/>
        <w:spacing w:before="100" w:beforeAutospacing="1" w:after="120" w:line="280" w:lineRule="atLeast"/>
        <w:contextualSpacing/>
        <w:jc w:val="both"/>
        <w:textAlignment w:val="baseline"/>
        <w:rPr>
          <w:rFonts w:ascii="Times New Roman" w:eastAsia="Calibri" w:hAnsi="Times New Roman"/>
        </w:rPr>
      </w:pPr>
      <w:r w:rsidRPr="008835B2">
        <w:rPr>
          <w:rFonts w:ascii="Times New Roman" w:eastAsia="Calibri" w:hAnsi="Times New Roman"/>
        </w:rPr>
        <w:t>Field blank coupons: sterile coupons carried to the decontamination location but not decontaminated.</w:t>
      </w:r>
    </w:p>
    <w:p w14:paraId="14F42982" w14:textId="77777777" w:rsidR="008835B2" w:rsidRPr="008835B2" w:rsidRDefault="008835B2" w:rsidP="008835B2">
      <w:pPr>
        <w:numPr>
          <w:ilvl w:val="0"/>
          <w:numId w:val="12"/>
        </w:numPr>
        <w:overflowPunct w:val="0"/>
        <w:autoSpaceDE w:val="0"/>
        <w:autoSpaceDN w:val="0"/>
        <w:adjustRightInd w:val="0"/>
        <w:spacing w:before="100" w:beforeAutospacing="1" w:after="120" w:line="280" w:lineRule="atLeast"/>
        <w:contextualSpacing/>
        <w:jc w:val="both"/>
        <w:textAlignment w:val="baseline"/>
        <w:rPr>
          <w:rFonts w:ascii="Times New Roman" w:eastAsia="Calibri" w:hAnsi="Times New Roman"/>
        </w:rPr>
      </w:pPr>
      <w:r w:rsidRPr="008835B2">
        <w:rPr>
          <w:rFonts w:ascii="Times New Roman" w:eastAsia="Calibri" w:hAnsi="Times New Roman"/>
        </w:rPr>
        <w:t>Laboratory blank coupons: sterile coupons not removed from NHSRC Biolab.</w:t>
      </w:r>
    </w:p>
    <w:p w14:paraId="75E90C6E" w14:textId="77777777" w:rsidR="008835B2" w:rsidRPr="008835B2" w:rsidRDefault="008835B2" w:rsidP="008835B2">
      <w:pPr>
        <w:numPr>
          <w:ilvl w:val="0"/>
          <w:numId w:val="12"/>
        </w:numPr>
        <w:overflowPunct w:val="0"/>
        <w:autoSpaceDE w:val="0"/>
        <w:autoSpaceDN w:val="0"/>
        <w:adjustRightInd w:val="0"/>
        <w:spacing w:before="100" w:beforeAutospacing="1" w:after="120" w:line="280" w:lineRule="atLeast"/>
        <w:contextualSpacing/>
        <w:jc w:val="both"/>
        <w:textAlignment w:val="baseline"/>
        <w:rPr>
          <w:rFonts w:ascii="Times New Roman" w:eastAsia="Calibri" w:hAnsi="Times New Roman"/>
        </w:rPr>
      </w:pPr>
      <w:r w:rsidRPr="008835B2">
        <w:rPr>
          <w:rFonts w:ascii="Times New Roman" w:eastAsia="Calibri" w:hAnsi="Times New Roman"/>
        </w:rPr>
        <w:t>Laboratory material coupons: includes all materials, individually, used by the NHSRC Biolab in sample analysis.</w:t>
      </w:r>
    </w:p>
    <w:p w14:paraId="088EDE9C" w14:textId="77777777" w:rsidR="008835B2" w:rsidRPr="008835B2" w:rsidRDefault="008835B2" w:rsidP="008835B2">
      <w:pPr>
        <w:numPr>
          <w:ilvl w:val="0"/>
          <w:numId w:val="12"/>
        </w:numPr>
        <w:overflowPunct w:val="0"/>
        <w:autoSpaceDE w:val="0"/>
        <w:autoSpaceDN w:val="0"/>
        <w:adjustRightInd w:val="0"/>
        <w:spacing w:before="100" w:beforeAutospacing="1" w:after="120" w:line="280" w:lineRule="atLeast"/>
        <w:contextualSpacing/>
        <w:jc w:val="both"/>
        <w:textAlignment w:val="baseline"/>
        <w:rPr>
          <w:rFonts w:ascii="Times New Roman" w:eastAsia="Calibri" w:hAnsi="Times New Roman"/>
        </w:rPr>
      </w:pPr>
      <w:r w:rsidRPr="008835B2">
        <w:rPr>
          <w:rFonts w:ascii="Times New Roman" w:eastAsia="Calibri" w:hAnsi="Times New Roman"/>
        </w:rPr>
        <w:t>Stainless steel positive control coupons: coupons inoculated but not decontaminated.</w:t>
      </w:r>
    </w:p>
    <w:p w14:paraId="6BFEC9E1" w14:textId="77777777" w:rsidR="008835B2" w:rsidRPr="008835B2" w:rsidRDefault="008835B2" w:rsidP="008835B2">
      <w:pPr>
        <w:overflowPunct w:val="0"/>
        <w:autoSpaceDE w:val="0"/>
        <w:autoSpaceDN w:val="0"/>
        <w:adjustRightInd w:val="0"/>
        <w:spacing w:before="100" w:beforeAutospacing="1" w:after="100" w:afterAutospacing="1"/>
        <w:ind w:left="360"/>
        <w:contextualSpacing/>
        <w:jc w:val="both"/>
        <w:textAlignment w:val="baseline"/>
        <w:rPr>
          <w:rFonts w:ascii="Times New Roman" w:eastAsia="Calibri" w:hAnsi="Times New Roman"/>
        </w:rPr>
      </w:pPr>
    </w:p>
    <w:p w14:paraId="2893BA52" w14:textId="77777777" w:rsidR="008835B2" w:rsidRPr="008835B2" w:rsidRDefault="008835B2" w:rsidP="008835B2">
      <w:pPr>
        <w:widowControl w:val="0"/>
        <w:spacing w:before="100" w:beforeAutospacing="1" w:after="100" w:afterAutospacing="1"/>
        <w:rPr>
          <w:rFonts w:ascii="Times New Roman" w:eastAsia="Times New Roman" w:hAnsi="Times New Roman"/>
        </w:rPr>
      </w:pPr>
      <w:r w:rsidRPr="008835B2">
        <w:rPr>
          <w:rFonts w:ascii="Times New Roman" w:hAnsi="Times New Roman"/>
        </w:rPr>
        <w:t>QA/QC acceptance criteria are shown in Table 9.4-1. These criteria provide assurances against cross-contamination and other biases of microbiological samples.</w:t>
      </w:r>
    </w:p>
    <w:p w14:paraId="465F9FC0" w14:textId="77777777" w:rsidR="008835B2" w:rsidRDefault="008835B2" w:rsidP="008835B2">
      <w:pPr>
        <w:keepNext/>
        <w:spacing w:before="120"/>
        <w:jc w:val="center"/>
        <w:rPr>
          <w:b/>
          <w:lang w:eastAsia="ar-SA"/>
        </w:rPr>
      </w:pPr>
      <w:r>
        <w:rPr>
          <w:b/>
        </w:rPr>
        <w:lastRenderedPageBreak/>
        <w:t>Table 9.4-1. Additional DQIs Specific to Microbiological Data</w:t>
      </w:r>
    </w:p>
    <w:tbl>
      <w:tblPr>
        <w:tblW w:w="91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9" w:type="dxa"/>
          <w:left w:w="72" w:type="dxa"/>
          <w:bottom w:w="29" w:type="dxa"/>
          <w:right w:w="72" w:type="dxa"/>
        </w:tblCellMar>
        <w:tblLook w:val="01E0" w:firstRow="1" w:lastRow="1" w:firstColumn="1" w:lastColumn="1" w:noHBand="0" w:noVBand="0"/>
      </w:tblPr>
      <w:tblGrid>
        <w:gridCol w:w="1515"/>
        <w:gridCol w:w="1620"/>
        <w:gridCol w:w="2610"/>
        <w:gridCol w:w="2070"/>
        <w:gridCol w:w="1350"/>
      </w:tblGrid>
      <w:tr w:rsidR="008835B2" w14:paraId="13BB47BE" w14:textId="77777777" w:rsidTr="008835B2">
        <w:trPr>
          <w:jc w:val="center"/>
        </w:trPr>
        <w:tc>
          <w:tcPr>
            <w:tcW w:w="1515" w:type="dxa"/>
            <w:tcBorders>
              <w:top w:val="single" w:sz="12" w:space="0" w:color="000000"/>
              <w:left w:val="single" w:sz="12" w:space="0" w:color="000000"/>
              <w:bottom w:val="single" w:sz="12" w:space="0" w:color="000000"/>
              <w:right w:val="single" w:sz="6" w:space="0" w:color="000000"/>
            </w:tcBorders>
            <w:shd w:val="clear" w:color="auto" w:fill="0070B9"/>
            <w:hideMark/>
          </w:tcPr>
          <w:p w14:paraId="5D8058EC" w14:textId="77777777" w:rsidR="008835B2" w:rsidRDefault="008835B2">
            <w:pPr>
              <w:overflowPunct w:val="0"/>
              <w:autoSpaceDE w:val="0"/>
              <w:textAlignment w:val="baseline"/>
              <w:rPr>
                <w:rFonts w:cstheme="minorBidi"/>
                <w:b/>
                <w:color w:val="FFFFFF" w:themeColor="background1"/>
                <w:spacing w:val="-3"/>
                <w:sz w:val="16"/>
                <w:szCs w:val="16"/>
              </w:rPr>
            </w:pPr>
            <w:r>
              <w:rPr>
                <w:b/>
                <w:color w:val="FFFFFF" w:themeColor="background1"/>
                <w:spacing w:val="-3"/>
                <w:sz w:val="16"/>
                <w:szCs w:val="16"/>
              </w:rPr>
              <w:t>Coupon or Sample Type</w:t>
            </w:r>
          </w:p>
        </w:tc>
        <w:tc>
          <w:tcPr>
            <w:tcW w:w="1620" w:type="dxa"/>
            <w:tcBorders>
              <w:top w:val="single" w:sz="12" w:space="0" w:color="000000"/>
              <w:left w:val="single" w:sz="6" w:space="0" w:color="000000"/>
              <w:bottom w:val="single" w:sz="12" w:space="0" w:color="000000"/>
              <w:right w:val="single" w:sz="6" w:space="0" w:color="000000"/>
            </w:tcBorders>
            <w:shd w:val="clear" w:color="auto" w:fill="0070B9"/>
            <w:hideMark/>
          </w:tcPr>
          <w:p w14:paraId="1FE03D36" w14:textId="77777777" w:rsidR="008835B2" w:rsidRDefault="008835B2">
            <w:pPr>
              <w:overflowPunct w:val="0"/>
              <w:autoSpaceDE w:val="0"/>
              <w:textAlignment w:val="baseline"/>
              <w:rPr>
                <w:b/>
                <w:color w:val="FFFFFF" w:themeColor="background1"/>
                <w:spacing w:val="-3"/>
                <w:sz w:val="16"/>
                <w:szCs w:val="16"/>
              </w:rPr>
            </w:pPr>
            <w:r>
              <w:rPr>
                <w:b/>
                <w:color w:val="FFFFFF" w:themeColor="background1"/>
                <w:spacing w:val="-3"/>
                <w:sz w:val="16"/>
                <w:szCs w:val="16"/>
              </w:rPr>
              <w:t>Acceptance Criteria</w:t>
            </w:r>
          </w:p>
        </w:tc>
        <w:tc>
          <w:tcPr>
            <w:tcW w:w="2610" w:type="dxa"/>
            <w:tcBorders>
              <w:top w:val="single" w:sz="12" w:space="0" w:color="000000"/>
              <w:left w:val="single" w:sz="6" w:space="0" w:color="000000"/>
              <w:bottom w:val="single" w:sz="12" w:space="0" w:color="000000"/>
              <w:right w:val="single" w:sz="6" w:space="0" w:color="000000"/>
            </w:tcBorders>
            <w:shd w:val="clear" w:color="auto" w:fill="0070B9"/>
            <w:hideMark/>
          </w:tcPr>
          <w:p w14:paraId="78991489" w14:textId="77777777" w:rsidR="008835B2" w:rsidRDefault="008835B2">
            <w:pPr>
              <w:overflowPunct w:val="0"/>
              <w:autoSpaceDE w:val="0"/>
              <w:textAlignment w:val="baseline"/>
              <w:rPr>
                <w:b/>
                <w:color w:val="FFFFFF" w:themeColor="background1"/>
                <w:spacing w:val="-3"/>
                <w:sz w:val="16"/>
                <w:szCs w:val="16"/>
              </w:rPr>
            </w:pPr>
            <w:r>
              <w:rPr>
                <w:b/>
                <w:color w:val="FFFFFF" w:themeColor="background1"/>
                <w:spacing w:val="-3"/>
                <w:sz w:val="16"/>
                <w:szCs w:val="16"/>
              </w:rPr>
              <w:t>Information Provided</w:t>
            </w:r>
          </w:p>
        </w:tc>
        <w:tc>
          <w:tcPr>
            <w:tcW w:w="2070" w:type="dxa"/>
            <w:tcBorders>
              <w:top w:val="single" w:sz="12" w:space="0" w:color="000000"/>
              <w:left w:val="single" w:sz="6" w:space="0" w:color="000000"/>
              <w:bottom w:val="single" w:sz="12" w:space="0" w:color="000000"/>
              <w:right w:val="single" w:sz="6" w:space="0" w:color="000000"/>
            </w:tcBorders>
            <w:shd w:val="clear" w:color="auto" w:fill="0070B9"/>
            <w:hideMark/>
          </w:tcPr>
          <w:p w14:paraId="23B5B665" w14:textId="77777777" w:rsidR="008835B2" w:rsidRDefault="008835B2">
            <w:pPr>
              <w:overflowPunct w:val="0"/>
              <w:autoSpaceDE w:val="0"/>
              <w:textAlignment w:val="baseline"/>
              <w:rPr>
                <w:b/>
                <w:color w:val="FFFFFF" w:themeColor="background1"/>
                <w:spacing w:val="-3"/>
                <w:sz w:val="16"/>
                <w:szCs w:val="16"/>
              </w:rPr>
            </w:pPr>
            <w:r>
              <w:rPr>
                <w:b/>
                <w:color w:val="FFFFFF" w:themeColor="background1"/>
                <w:spacing w:val="-3"/>
                <w:sz w:val="16"/>
                <w:szCs w:val="16"/>
              </w:rPr>
              <w:t>Corrective Action</w:t>
            </w:r>
          </w:p>
        </w:tc>
        <w:tc>
          <w:tcPr>
            <w:tcW w:w="1350" w:type="dxa"/>
            <w:tcBorders>
              <w:top w:val="single" w:sz="12" w:space="0" w:color="000000"/>
              <w:left w:val="single" w:sz="6" w:space="0" w:color="000000"/>
              <w:bottom w:val="single" w:sz="12" w:space="0" w:color="000000"/>
              <w:right w:val="single" w:sz="12" w:space="0" w:color="000000"/>
            </w:tcBorders>
            <w:shd w:val="clear" w:color="auto" w:fill="0070B9"/>
            <w:hideMark/>
          </w:tcPr>
          <w:p w14:paraId="0D230674" w14:textId="77777777" w:rsidR="008835B2" w:rsidRDefault="008835B2">
            <w:pPr>
              <w:overflowPunct w:val="0"/>
              <w:autoSpaceDE w:val="0"/>
              <w:textAlignment w:val="baseline"/>
              <w:rPr>
                <w:b/>
                <w:color w:val="FFFFFF" w:themeColor="background1"/>
                <w:spacing w:val="-3"/>
                <w:sz w:val="16"/>
                <w:szCs w:val="16"/>
              </w:rPr>
            </w:pPr>
            <w:r>
              <w:rPr>
                <w:b/>
                <w:color w:val="FFFFFF" w:themeColor="background1"/>
                <w:spacing w:val="-3"/>
                <w:sz w:val="16"/>
                <w:szCs w:val="16"/>
              </w:rPr>
              <w:t>Pass/Fail</w:t>
            </w:r>
          </w:p>
        </w:tc>
      </w:tr>
      <w:tr w:rsidR="008835B2" w14:paraId="01371720" w14:textId="77777777" w:rsidTr="008835B2">
        <w:trPr>
          <w:jc w:val="center"/>
        </w:trPr>
        <w:tc>
          <w:tcPr>
            <w:tcW w:w="1515" w:type="dxa"/>
            <w:tcBorders>
              <w:top w:val="single" w:sz="12" w:space="0" w:color="000000"/>
              <w:left w:val="single" w:sz="12" w:space="0" w:color="000000"/>
              <w:bottom w:val="single" w:sz="6" w:space="0" w:color="000000"/>
              <w:right w:val="single" w:sz="6" w:space="0" w:color="000000"/>
            </w:tcBorders>
            <w:hideMark/>
          </w:tcPr>
          <w:p w14:paraId="12BBEEF6" w14:textId="77777777" w:rsidR="008835B2" w:rsidRDefault="008835B2">
            <w:pPr>
              <w:overflowPunct w:val="0"/>
              <w:autoSpaceDE w:val="0"/>
              <w:textAlignment w:val="baseline"/>
              <w:rPr>
                <w:color w:val="auto"/>
                <w:spacing w:val="-3"/>
                <w:sz w:val="16"/>
                <w:szCs w:val="16"/>
              </w:rPr>
            </w:pPr>
            <w:r>
              <w:rPr>
                <w:spacing w:val="-3"/>
                <w:sz w:val="16"/>
                <w:szCs w:val="16"/>
              </w:rPr>
              <w:t>Positive control coupons</w:t>
            </w:r>
          </w:p>
          <w:p w14:paraId="4ECB09EA" w14:textId="77777777" w:rsidR="008835B2" w:rsidRDefault="008835B2">
            <w:pPr>
              <w:overflowPunct w:val="0"/>
              <w:autoSpaceDE w:val="0"/>
              <w:textAlignment w:val="baseline"/>
              <w:rPr>
                <w:spacing w:val="-3"/>
                <w:sz w:val="16"/>
                <w:szCs w:val="16"/>
              </w:rPr>
            </w:pPr>
            <w:r>
              <w:rPr>
                <w:spacing w:val="-3"/>
                <w:sz w:val="16"/>
                <w:szCs w:val="16"/>
              </w:rPr>
              <w:t>sample from material coupon contaminated with biological agent and sampled using the wipe method</w:t>
            </w:r>
          </w:p>
        </w:tc>
        <w:tc>
          <w:tcPr>
            <w:tcW w:w="1620" w:type="dxa"/>
            <w:tcBorders>
              <w:top w:val="single" w:sz="12" w:space="0" w:color="000000"/>
              <w:left w:val="single" w:sz="6" w:space="0" w:color="000000"/>
              <w:bottom w:val="single" w:sz="6" w:space="0" w:color="000000"/>
              <w:right w:val="single" w:sz="6" w:space="0" w:color="000000"/>
            </w:tcBorders>
            <w:hideMark/>
          </w:tcPr>
          <w:p w14:paraId="5E4838D6" w14:textId="77777777" w:rsidR="008835B2" w:rsidRDefault="008835B2">
            <w:pPr>
              <w:overflowPunct w:val="0"/>
              <w:autoSpaceDE w:val="0"/>
              <w:textAlignment w:val="baseline"/>
              <w:rPr>
                <w:spacing w:val="-3"/>
                <w:sz w:val="16"/>
                <w:szCs w:val="16"/>
              </w:rPr>
            </w:pPr>
            <w:r>
              <w:rPr>
                <w:spacing w:val="-3"/>
                <w:sz w:val="16"/>
                <w:szCs w:val="16"/>
              </w:rPr>
              <w:t>1 x 10</w:t>
            </w:r>
            <w:r>
              <w:rPr>
                <w:spacing w:val="-3"/>
                <w:sz w:val="16"/>
                <w:szCs w:val="16"/>
                <w:vertAlign w:val="superscript"/>
              </w:rPr>
              <w:t>7</w:t>
            </w:r>
            <w:r>
              <w:rPr>
                <w:spacing w:val="-3"/>
                <w:sz w:val="16"/>
                <w:szCs w:val="16"/>
              </w:rPr>
              <w:t xml:space="preserve"> for </w:t>
            </w:r>
            <w:r>
              <w:rPr>
                <w:i/>
                <w:spacing w:val="-3"/>
                <w:sz w:val="16"/>
                <w:szCs w:val="16"/>
              </w:rPr>
              <w:t>B. atrophaeus</w:t>
            </w:r>
          </w:p>
          <w:p w14:paraId="13B959FD" w14:textId="77777777" w:rsidR="008835B2" w:rsidRDefault="008835B2">
            <w:pPr>
              <w:overflowPunct w:val="0"/>
              <w:autoSpaceDE w:val="0"/>
              <w:textAlignment w:val="baseline"/>
              <w:rPr>
                <w:spacing w:val="-3"/>
                <w:sz w:val="16"/>
                <w:szCs w:val="16"/>
              </w:rPr>
            </w:pPr>
            <w:r>
              <w:rPr>
                <w:spacing w:val="-3"/>
                <w:sz w:val="16"/>
                <w:szCs w:val="16"/>
              </w:rPr>
              <w:t>1 x 10</w:t>
            </w:r>
            <w:r>
              <w:rPr>
                <w:spacing w:val="-3"/>
                <w:sz w:val="16"/>
                <w:szCs w:val="16"/>
                <w:vertAlign w:val="superscript"/>
              </w:rPr>
              <w:t>8</w:t>
            </w:r>
            <w:r>
              <w:rPr>
                <w:spacing w:val="-3"/>
                <w:sz w:val="16"/>
                <w:szCs w:val="16"/>
              </w:rPr>
              <w:t xml:space="preserve"> for MS2</w:t>
            </w:r>
          </w:p>
          <w:p w14:paraId="48BDF622" w14:textId="77777777" w:rsidR="008835B2" w:rsidRDefault="008835B2">
            <w:pPr>
              <w:overflowPunct w:val="0"/>
              <w:autoSpaceDE w:val="0"/>
              <w:textAlignment w:val="baseline"/>
              <w:rPr>
                <w:spacing w:val="-3"/>
                <w:sz w:val="16"/>
                <w:szCs w:val="16"/>
              </w:rPr>
            </w:pPr>
            <w:r>
              <w:rPr>
                <w:spacing w:val="-3"/>
                <w:sz w:val="16"/>
                <w:szCs w:val="16"/>
              </w:rPr>
              <w:t>30% RSD between coupons in each test set</w:t>
            </w:r>
          </w:p>
        </w:tc>
        <w:tc>
          <w:tcPr>
            <w:tcW w:w="2610" w:type="dxa"/>
            <w:tcBorders>
              <w:top w:val="single" w:sz="12" w:space="0" w:color="000000"/>
              <w:left w:val="single" w:sz="6" w:space="0" w:color="000000"/>
              <w:bottom w:val="single" w:sz="6" w:space="0" w:color="000000"/>
              <w:right w:val="single" w:sz="6" w:space="0" w:color="000000"/>
            </w:tcBorders>
            <w:hideMark/>
          </w:tcPr>
          <w:p w14:paraId="3A984B2C" w14:textId="77777777" w:rsidR="008835B2" w:rsidRDefault="008835B2">
            <w:pPr>
              <w:overflowPunct w:val="0"/>
              <w:autoSpaceDE w:val="0"/>
              <w:textAlignment w:val="baseline"/>
              <w:rPr>
                <w:spacing w:val="-3"/>
                <w:sz w:val="16"/>
                <w:szCs w:val="16"/>
              </w:rPr>
            </w:pPr>
            <w:r>
              <w:rPr>
                <w:spacing w:val="-3"/>
                <w:sz w:val="16"/>
                <w:szCs w:val="16"/>
              </w:rPr>
              <w:t xml:space="preserve">Shows viability of wipe sampling technique and plate’s ability to support growth of </w:t>
            </w:r>
            <w:r>
              <w:rPr>
                <w:i/>
                <w:spacing w:val="-3"/>
                <w:sz w:val="16"/>
                <w:szCs w:val="16"/>
              </w:rPr>
              <w:t>B. atrophaeus</w:t>
            </w:r>
            <w:r>
              <w:rPr>
                <w:spacing w:val="-3"/>
                <w:sz w:val="16"/>
                <w:szCs w:val="16"/>
              </w:rPr>
              <w:t xml:space="preserve"> and MS2</w:t>
            </w:r>
          </w:p>
        </w:tc>
        <w:tc>
          <w:tcPr>
            <w:tcW w:w="2070" w:type="dxa"/>
            <w:tcBorders>
              <w:top w:val="single" w:sz="12" w:space="0" w:color="000000"/>
              <w:left w:val="single" w:sz="6" w:space="0" w:color="000000"/>
              <w:bottom w:val="single" w:sz="6" w:space="0" w:color="000000"/>
              <w:right w:val="single" w:sz="6" w:space="0" w:color="000000"/>
            </w:tcBorders>
            <w:hideMark/>
          </w:tcPr>
          <w:p w14:paraId="7F88A222" w14:textId="77777777" w:rsidR="008835B2" w:rsidRDefault="008835B2">
            <w:pPr>
              <w:overflowPunct w:val="0"/>
              <w:autoSpaceDE w:val="0"/>
              <w:textAlignment w:val="baseline"/>
              <w:rPr>
                <w:spacing w:val="-3"/>
                <w:sz w:val="16"/>
                <w:szCs w:val="16"/>
              </w:rPr>
            </w:pPr>
            <w:r>
              <w:rPr>
                <w:spacing w:val="-3"/>
                <w:sz w:val="16"/>
                <w:szCs w:val="16"/>
              </w:rPr>
              <w:t>Identify and remove source of variability if possible</w:t>
            </w:r>
          </w:p>
        </w:tc>
        <w:tc>
          <w:tcPr>
            <w:tcW w:w="1350" w:type="dxa"/>
            <w:tcBorders>
              <w:top w:val="single" w:sz="12" w:space="0" w:color="000000"/>
              <w:left w:val="single" w:sz="6" w:space="0" w:color="000000"/>
              <w:bottom w:val="single" w:sz="6" w:space="0" w:color="000000"/>
              <w:right w:val="single" w:sz="12" w:space="0" w:color="000000"/>
            </w:tcBorders>
            <w:hideMark/>
          </w:tcPr>
          <w:p w14:paraId="37C0F9AC" w14:textId="77777777" w:rsidR="008835B2" w:rsidRDefault="008835B2">
            <w:pPr>
              <w:overflowPunct w:val="0"/>
              <w:autoSpaceDE w:val="0"/>
              <w:textAlignment w:val="baseline"/>
              <w:rPr>
                <w:spacing w:val="-3"/>
                <w:sz w:val="16"/>
                <w:szCs w:val="16"/>
              </w:rPr>
            </w:pPr>
            <w:r>
              <w:rPr>
                <w:spacing w:val="-3"/>
                <w:sz w:val="16"/>
                <w:szCs w:val="16"/>
              </w:rPr>
              <w:t>Pass</w:t>
            </w:r>
          </w:p>
        </w:tc>
      </w:tr>
      <w:tr w:rsidR="008835B2" w14:paraId="672277D3" w14:textId="77777777" w:rsidTr="008835B2">
        <w:trPr>
          <w:jc w:val="center"/>
        </w:trPr>
        <w:tc>
          <w:tcPr>
            <w:tcW w:w="1515" w:type="dxa"/>
            <w:tcBorders>
              <w:top w:val="single" w:sz="6" w:space="0" w:color="000000"/>
              <w:left w:val="single" w:sz="12" w:space="0" w:color="000000"/>
              <w:bottom w:val="single" w:sz="6" w:space="0" w:color="000000"/>
              <w:right w:val="single" w:sz="6" w:space="0" w:color="000000"/>
            </w:tcBorders>
            <w:hideMark/>
          </w:tcPr>
          <w:p w14:paraId="397EDFB9" w14:textId="77777777" w:rsidR="008835B2" w:rsidRDefault="008835B2">
            <w:pPr>
              <w:overflowPunct w:val="0"/>
              <w:autoSpaceDE w:val="0"/>
              <w:textAlignment w:val="baseline"/>
              <w:rPr>
                <w:spacing w:val="-3"/>
                <w:sz w:val="16"/>
                <w:szCs w:val="16"/>
              </w:rPr>
            </w:pPr>
            <w:r>
              <w:rPr>
                <w:spacing w:val="-3"/>
                <w:sz w:val="16"/>
                <w:szCs w:val="16"/>
              </w:rPr>
              <w:t xml:space="preserve">Procedural blank </w:t>
            </w:r>
          </w:p>
          <w:p w14:paraId="53597F6B" w14:textId="77777777" w:rsidR="008835B2" w:rsidRDefault="008835B2">
            <w:pPr>
              <w:overflowPunct w:val="0"/>
              <w:autoSpaceDE w:val="0"/>
              <w:textAlignment w:val="baseline"/>
              <w:rPr>
                <w:spacing w:val="-3"/>
                <w:sz w:val="16"/>
                <w:szCs w:val="16"/>
              </w:rPr>
            </w:pPr>
            <w:r>
              <w:rPr>
                <w:spacing w:val="-3"/>
                <w:sz w:val="16"/>
                <w:szCs w:val="16"/>
              </w:rPr>
              <w:t>coupon without biological agent that underwent the sampling procedure</w:t>
            </w:r>
          </w:p>
        </w:tc>
        <w:tc>
          <w:tcPr>
            <w:tcW w:w="1620" w:type="dxa"/>
            <w:tcBorders>
              <w:top w:val="single" w:sz="6" w:space="0" w:color="000000"/>
              <w:left w:val="single" w:sz="6" w:space="0" w:color="000000"/>
              <w:bottom w:val="single" w:sz="6" w:space="0" w:color="000000"/>
              <w:right w:val="single" w:sz="6" w:space="0" w:color="000000"/>
            </w:tcBorders>
            <w:hideMark/>
          </w:tcPr>
          <w:p w14:paraId="2B7A0E8E" w14:textId="77777777" w:rsidR="008835B2" w:rsidRDefault="008835B2">
            <w:pPr>
              <w:overflowPunct w:val="0"/>
              <w:autoSpaceDE w:val="0"/>
              <w:textAlignment w:val="baseline"/>
              <w:rPr>
                <w:spacing w:val="-3"/>
                <w:sz w:val="16"/>
                <w:szCs w:val="16"/>
              </w:rPr>
            </w:pPr>
            <w:r>
              <w:rPr>
                <w:spacing w:val="-3"/>
                <w:sz w:val="16"/>
                <w:szCs w:val="16"/>
              </w:rPr>
              <w:t>Non-detect</w:t>
            </w:r>
          </w:p>
        </w:tc>
        <w:tc>
          <w:tcPr>
            <w:tcW w:w="2610" w:type="dxa"/>
            <w:tcBorders>
              <w:top w:val="single" w:sz="6" w:space="0" w:color="000000"/>
              <w:left w:val="single" w:sz="6" w:space="0" w:color="000000"/>
              <w:bottom w:val="single" w:sz="6" w:space="0" w:color="000000"/>
              <w:right w:val="single" w:sz="6" w:space="0" w:color="000000"/>
            </w:tcBorders>
            <w:hideMark/>
          </w:tcPr>
          <w:p w14:paraId="048D1988" w14:textId="77777777" w:rsidR="008835B2" w:rsidRDefault="008835B2">
            <w:pPr>
              <w:overflowPunct w:val="0"/>
              <w:autoSpaceDE w:val="0"/>
              <w:textAlignment w:val="baseline"/>
              <w:rPr>
                <w:spacing w:val="-3"/>
                <w:sz w:val="16"/>
                <w:szCs w:val="16"/>
              </w:rPr>
            </w:pPr>
            <w:r>
              <w:rPr>
                <w:spacing w:val="-3"/>
                <w:sz w:val="16"/>
                <w:szCs w:val="16"/>
              </w:rPr>
              <w:t>Controls for sterility of materials and methods used in the procedure</w:t>
            </w:r>
          </w:p>
        </w:tc>
        <w:tc>
          <w:tcPr>
            <w:tcW w:w="2070" w:type="dxa"/>
            <w:tcBorders>
              <w:top w:val="single" w:sz="6" w:space="0" w:color="000000"/>
              <w:left w:val="single" w:sz="6" w:space="0" w:color="000000"/>
              <w:bottom w:val="single" w:sz="6" w:space="0" w:color="000000"/>
              <w:right w:val="single" w:sz="6" w:space="0" w:color="000000"/>
            </w:tcBorders>
            <w:hideMark/>
          </w:tcPr>
          <w:p w14:paraId="341935DF" w14:textId="77777777" w:rsidR="008835B2" w:rsidRDefault="008835B2">
            <w:pPr>
              <w:overflowPunct w:val="0"/>
              <w:autoSpaceDE w:val="0"/>
              <w:textAlignment w:val="baseline"/>
              <w:rPr>
                <w:spacing w:val="-3"/>
                <w:sz w:val="16"/>
                <w:szCs w:val="16"/>
              </w:rPr>
            </w:pPr>
            <w:r>
              <w:rPr>
                <w:spacing w:val="-3"/>
                <w:sz w:val="16"/>
                <w:szCs w:val="16"/>
              </w:rPr>
              <w:t>Analyze data with procedural blank results as test minimum; identify and remove source of contamination if possible</w:t>
            </w:r>
          </w:p>
        </w:tc>
        <w:tc>
          <w:tcPr>
            <w:tcW w:w="1350" w:type="dxa"/>
            <w:tcBorders>
              <w:top w:val="single" w:sz="6" w:space="0" w:color="000000"/>
              <w:left w:val="single" w:sz="6" w:space="0" w:color="000000"/>
              <w:bottom w:val="single" w:sz="6" w:space="0" w:color="000000"/>
              <w:right w:val="single" w:sz="12" w:space="0" w:color="000000"/>
            </w:tcBorders>
            <w:hideMark/>
          </w:tcPr>
          <w:p w14:paraId="46348015" w14:textId="77777777" w:rsidR="008835B2" w:rsidRDefault="008835B2">
            <w:pPr>
              <w:overflowPunct w:val="0"/>
              <w:autoSpaceDE w:val="0"/>
              <w:textAlignment w:val="baseline"/>
              <w:rPr>
                <w:spacing w:val="-3"/>
                <w:sz w:val="16"/>
                <w:szCs w:val="16"/>
              </w:rPr>
            </w:pPr>
            <w:r>
              <w:rPr>
                <w:spacing w:val="-3"/>
                <w:sz w:val="16"/>
                <w:szCs w:val="16"/>
              </w:rPr>
              <w:t>Pass</w:t>
            </w:r>
          </w:p>
        </w:tc>
      </w:tr>
      <w:tr w:rsidR="008835B2" w14:paraId="00DBC42C" w14:textId="77777777" w:rsidTr="008835B2">
        <w:trPr>
          <w:jc w:val="center"/>
        </w:trPr>
        <w:tc>
          <w:tcPr>
            <w:tcW w:w="1515" w:type="dxa"/>
            <w:tcBorders>
              <w:top w:val="single" w:sz="6" w:space="0" w:color="000000"/>
              <w:left w:val="single" w:sz="12" w:space="0" w:color="000000"/>
              <w:bottom w:val="single" w:sz="6" w:space="0" w:color="000000"/>
              <w:right w:val="single" w:sz="6" w:space="0" w:color="000000"/>
            </w:tcBorders>
            <w:hideMark/>
          </w:tcPr>
          <w:p w14:paraId="305BBD75" w14:textId="77777777" w:rsidR="008835B2" w:rsidRDefault="008835B2">
            <w:pPr>
              <w:overflowPunct w:val="0"/>
              <w:autoSpaceDE w:val="0"/>
              <w:textAlignment w:val="baseline"/>
              <w:rPr>
                <w:spacing w:val="-3"/>
                <w:sz w:val="16"/>
                <w:szCs w:val="16"/>
              </w:rPr>
            </w:pPr>
            <w:r>
              <w:rPr>
                <w:spacing w:val="-3"/>
                <w:sz w:val="16"/>
                <w:szCs w:val="16"/>
              </w:rPr>
              <w:t>Material blank</w:t>
            </w:r>
          </w:p>
          <w:p w14:paraId="4A80093F" w14:textId="77777777" w:rsidR="008835B2" w:rsidRDefault="008835B2">
            <w:pPr>
              <w:overflowPunct w:val="0"/>
              <w:autoSpaceDE w:val="0"/>
              <w:textAlignment w:val="baseline"/>
              <w:rPr>
                <w:spacing w:val="-3"/>
                <w:sz w:val="16"/>
                <w:szCs w:val="16"/>
              </w:rPr>
            </w:pPr>
            <w:r>
              <w:rPr>
                <w:spacing w:val="-3"/>
                <w:sz w:val="16"/>
                <w:szCs w:val="16"/>
              </w:rPr>
              <w:t>grime, roller, and sterilized coupon of each material</w:t>
            </w:r>
          </w:p>
        </w:tc>
        <w:tc>
          <w:tcPr>
            <w:tcW w:w="1620" w:type="dxa"/>
            <w:tcBorders>
              <w:top w:val="single" w:sz="6" w:space="0" w:color="000000"/>
              <w:left w:val="single" w:sz="6" w:space="0" w:color="000000"/>
              <w:bottom w:val="single" w:sz="6" w:space="0" w:color="000000"/>
              <w:right w:val="single" w:sz="6" w:space="0" w:color="000000"/>
            </w:tcBorders>
            <w:hideMark/>
          </w:tcPr>
          <w:p w14:paraId="2CEF8443" w14:textId="77777777" w:rsidR="008835B2" w:rsidRDefault="008835B2">
            <w:pPr>
              <w:overflowPunct w:val="0"/>
              <w:autoSpaceDE w:val="0"/>
              <w:textAlignment w:val="baseline"/>
              <w:rPr>
                <w:spacing w:val="-3"/>
                <w:sz w:val="16"/>
                <w:szCs w:val="16"/>
              </w:rPr>
            </w:pPr>
            <w:r>
              <w:rPr>
                <w:spacing w:val="-3"/>
                <w:sz w:val="16"/>
                <w:szCs w:val="16"/>
              </w:rPr>
              <w:t>Non-detect</w:t>
            </w:r>
          </w:p>
        </w:tc>
        <w:tc>
          <w:tcPr>
            <w:tcW w:w="2610" w:type="dxa"/>
            <w:tcBorders>
              <w:top w:val="single" w:sz="6" w:space="0" w:color="000000"/>
              <w:left w:val="single" w:sz="6" w:space="0" w:color="000000"/>
              <w:bottom w:val="single" w:sz="6" w:space="0" w:color="000000"/>
              <w:right w:val="single" w:sz="6" w:space="0" w:color="000000"/>
            </w:tcBorders>
            <w:hideMark/>
          </w:tcPr>
          <w:p w14:paraId="7BB1D807" w14:textId="77777777" w:rsidR="008835B2" w:rsidRDefault="008835B2">
            <w:pPr>
              <w:overflowPunct w:val="0"/>
              <w:autoSpaceDE w:val="0"/>
              <w:textAlignment w:val="baseline"/>
              <w:rPr>
                <w:spacing w:val="-3"/>
                <w:sz w:val="16"/>
                <w:szCs w:val="16"/>
              </w:rPr>
            </w:pPr>
            <w:r>
              <w:rPr>
                <w:spacing w:val="-3"/>
                <w:sz w:val="16"/>
                <w:szCs w:val="16"/>
              </w:rPr>
              <w:t>Controls for sterility of materials and methods used in the procedure</w:t>
            </w:r>
          </w:p>
        </w:tc>
        <w:tc>
          <w:tcPr>
            <w:tcW w:w="2070" w:type="dxa"/>
            <w:tcBorders>
              <w:top w:val="single" w:sz="6" w:space="0" w:color="000000"/>
              <w:left w:val="single" w:sz="6" w:space="0" w:color="000000"/>
              <w:bottom w:val="single" w:sz="6" w:space="0" w:color="000000"/>
              <w:right w:val="single" w:sz="6" w:space="0" w:color="000000"/>
            </w:tcBorders>
            <w:hideMark/>
          </w:tcPr>
          <w:p w14:paraId="70B96EA4" w14:textId="77777777" w:rsidR="008835B2" w:rsidRDefault="008835B2">
            <w:pPr>
              <w:overflowPunct w:val="0"/>
              <w:autoSpaceDE w:val="0"/>
              <w:textAlignment w:val="baseline"/>
              <w:rPr>
                <w:spacing w:val="-3"/>
                <w:sz w:val="16"/>
                <w:szCs w:val="16"/>
              </w:rPr>
            </w:pPr>
            <w:r>
              <w:rPr>
                <w:spacing w:val="-3"/>
                <w:sz w:val="16"/>
                <w:szCs w:val="16"/>
              </w:rPr>
              <w:t>Analyze data with procedural blank results as test minimum; identify and remove source of contamination if possible</w:t>
            </w:r>
          </w:p>
        </w:tc>
        <w:tc>
          <w:tcPr>
            <w:tcW w:w="1350" w:type="dxa"/>
            <w:tcBorders>
              <w:top w:val="single" w:sz="6" w:space="0" w:color="000000"/>
              <w:left w:val="single" w:sz="6" w:space="0" w:color="000000"/>
              <w:bottom w:val="single" w:sz="6" w:space="0" w:color="000000"/>
              <w:right w:val="single" w:sz="12" w:space="0" w:color="000000"/>
            </w:tcBorders>
            <w:hideMark/>
          </w:tcPr>
          <w:p w14:paraId="14D66B36" w14:textId="77777777" w:rsidR="008835B2" w:rsidRDefault="008835B2">
            <w:pPr>
              <w:overflowPunct w:val="0"/>
              <w:autoSpaceDE w:val="0"/>
              <w:textAlignment w:val="baseline"/>
              <w:rPr>
                <w:spacing w:val="-3"/>
                <w:sz w:val="16"/>
                <w:szCs w:val="16"/>
              </w:rPr>
            </w:pPr>
            <w:r>
              <w:rPr>
                <w:spacing w:val="-3"/>
                <w:sz w:val="16"/>
                <w:szCs w:val="16"/>
              </w:rPr>
              <w:t>Pass</w:t>
            </w:r>
          </w:p>
        </w:tc>
      </w:tr>
      <w:tr w:rsidR="008835B2" w14:paraId="7B8CA668" w14:textId="77777777" w:rsidTr="008835B2">
        <w:trPr>
          <w:jc w:val="center"/>
        </w:trPr>
        <w:tc>
          <w:tcPr>
            <w:tcW w:w="1515" w:type="dxa"/>
            <w:tcBorders>
              <w:top w:val="single" w:sz="6" w:space="0" w:color="000000"/>
              <w:left w:val="single" w:sz="12" w:space="0" w:color="000000"/>
              <w:bottom w:val="single" w:sz="6" w:space="0" w:color="000000"/>
              <w:right w:val="single" w:sz="6" w:space="0" w:color="000000"/>
            </w:tcBorders>
            <w:hideMark/>
          </w:tcPr>
          <w:p w14:paraId="0A017F64" w14:textId="77777777" w:rsidR="008835B2" w:rsidRDefault="008835B2">
            <w:pPr>
              <w:overflowPunct w:val="0"/>
              <w:autoSpaceDE w:val="0"/>
              <w:textAlignment w:val="baseline"/>
              <w:rPr>
                <w:spacing w:val="-3"/>
                <w:sz w:val="16"/>
                <w:szCs w:val="16"/>
              </w:rPr>
            </w:pPr>
            <w:r>
              <w:rPr>
                <w:spacing w:val="-3"/>
                <w:sz w:val="16"/>
                <w:szCs w:val="16"/>
              </w:rPr>
              <w:t>Blank plating of microbiological supplies</w:t>
            </w:r>
          </w:p>
        </w:tc>
        <w:tc>
          <w:tcPr>
            <w:tcW w:w="1620" w:type="dxa"/>
            <w:tcBorders>
              <w:top w:val="single" w:sz="6" w:space="0" w:color="000000"/>
              <w:left w:val="single" w:sz="6" w:space="0" w:color="000000"/>
              <w:bottom w:val="single" w:sz="6" w:space="0" w:color="000000"/>
              <w:right w:val="single" w:sz="6" w:space="0" w:color="000000"/>
            </w:tcBorders>
            <w:hideMark/>
          </w:tcPr>
          <w:p w14:paraId="7680C3AB" w14:textId="77777777" w:rsidR="008835B2" w:rsidRDefault="008835B2">
            <w:pPr>
              <w:overflowPunct w:val="0"/>
              <w:autoSpaceDE w:val="0"/>
              <w:textAlignment w:val="baseline"/>
              <w:rPr>
                <w:spacing w:val="-3"/>
                <w:sz w:val="16"/>
                <w:szCs w:val="16"/>
              </w:rPr>
            </w:pPr>
            <w:r>
              <w:rPr>
                <w:spacing w:val="-3"/>
                <w:sz w:val="16"/>
                <w:szCs w:val="16"/>
              </w:rPr>
              <w:t>No observed growth after incubation</w:t>
            </w:r>
          </w:p>
        </w:tc>
        <w:tc>
          <w:tcPr>
            <w:tcW w:w="2610" w:type="dxa"/>
            <w:tcBorders>
              <w:top w:val="single" w:sz="6" w:space="0" w:color="000000"/>
              <w:left w:val="single" w:sz="6" w:space="0" w:color="000000"/>
              <w:bottom w:val="single" w:sz="6" w:space="0" w:color="000000"/>
              <w:right w:val="single" w:sz="6" w:space="0" w:color="000000"/>
            </w:tcBorders>
            <w:hideMark/>
          </w:tcPr>
          <w:p w14:paraId="44DF6022" w14:textId="77777777" w:rsidR="008835B2" w:rsidRDefault="008835B2">
            <w:pPr>
              <w:overflowPunct w:val="0"/>
              <w:autoSpaceDE w:val="0"/>
              <w:textAlignment w:val="baseline"/>
              <w:rPr>
                <w:spacing w:val="-3"/>
                <w:sz w:val="16"/>
                <w:szCs w:val="16"/>
              </w:rPr>
            </w:pPr>
            <w:r>
              <w:rPr>
                <w:spacing w:val="-3"/>
                <w:sz w:val="16"/>
                <w:szCs w:val="16"/>
              </w:rPr>
              <w:t>Controls for sterility of supplies used in dilution plating</w:t>
            </w:r>
          </w:p>
        </w:tc>
        <w:tc>
          <w:tcPr>
            <w:tcW w:w="2070" w:type="dxa"/>
            <w:tcBorders>
              <w:top w:val="single" w:sz="6" w:space="0" w:color="000000"/>
              <w:left w:val="single" w:sz="6" w:space="0" w:color="000000"/>
              <w:bottom w:val="single" w:sz="6" w:space="0" w:color="000000"/>
              <w:right w:val="single" w:sz="6" w:space="0" w:color="000000"/>
            </w:tcBorders>
            <w:hideMark/>
          </w:tcPr>
          <w:p w14:paraId="4877D4E3" w14:textId="77777777" w:rsidR="008835B2" w:rsidRDefault="008835B2">
            <w:pPr>
              <w:overflowPunct w:val="0"/>
              <w:autoSpaceDE w:val="0"/>
              <w:textAlignment w:val="baseline"/>
              <w:rPr>
                <w:spacing w:val="-3"/>
                <w:sz w:val="16"/>
                <w:szCs w:val="16"/>
              </w:rPr>
            </w:pPr>
            <w:r>
              <w:rPr>
                <w:spacing w:val="-3"/>
                <w:sz w:val="16"/>
                <w:szCs w:val="16"/>
              </w:rPr>
              <w:t xml:space="preserve">Sterilize or dispose of source of contamination; </w:t>
            </w:r>
            <w:proofErr w:type="spellStart"/>
            <w:r>
              <w:rPr>
                <w:spacing w:val="-3"/>
                <w:sz w:val="16"/>
                <w:szCs w:val="16"/>
              </w:rPr>
              <w:t>replate</w:t>
            </w:r>
            <w:proofErr w:type="spellEnd"/>
            <w:r>
              <w:rPr>
                <w:spacing w:val="-3"/>
                <w:sz w:val="16"/>
                <w:szCs w:val="16"/>
              </w:rPr>
              <w:t xml:space="preserve"> samples.</w:t>
            </w:r>
          </w:p>
        </w:tc>
        <w:tc>
          <w:tcPr>
            <w:tcW w:w="1350" w:type="dxa"/>
            <w:tcBorders>
              <w:top w:val="single" w:sz="6" w:space="0" w:color="000000"/>
              <w:left w:val="single" w:sz="6" w:space="0" w:color="000000"/>
              <w:bottom w:val="single" w:sz="6" w:space="0" w:color="000000"/>
              <w:right w:val="single" w:sz="12" w:space="0" w:color="000000"/>
            </w:tcBorders>
            <w:hideMark/>
          </w:tcPr>
          <w:p w14:paraId="382EEED1" w14:textId="77777777" w:rsidR="008835B2" w:rsidRDefault="008835B2">
            <w:pPr>
              <w:overflowPunct w:val="0"/>
              <w:autoSpaceDE w:val="0"/>
              <w:textAlignment w:val="baseline"/>
              <w:rPr>
                <w:spacing w:val="-3"/>
                <w:sz w:val="16"/>
                <w:szCs w:val="16"/>
              </w:rPr>
            </w:pPr>
            <w:r>
              <w:rPr>
                <w:spacing w:val="-3"/>
                <w:sz w:val="16"/>
                <w:szCs w:val="16"/>
              </w:rPr>
              <w:t>Pass</w:t>
            </w:r>
          </w:p>
        </w:tc>
      </w:tr>
      <w:tr w:rsidR="008835B2" w14:paraId="09DB7DD6" w14:textId="77777777" w:rsidTr="008835B2">
        <w:trPr>
          <w:jc w:val="center"/>
        </w:trPr>
        <w:tc>
          <w:tcPr>
            <w:tcW w:w="1515" w:type="dxa"/>
            <w:tcBorders>
              <w:top w:val="single" w:sz="6" w:space="0" w:color="000000"/>
              <w:left w:val="single" w:sz="12" w:space="0" w:color="000000"/>
              <w:bottom w:val="single" w:sz="6" w:space="0" w:color="000000"/>
              <w:right w:val="single" w:sz="6" w:space="0" w:color="000000"/>
            </w:tcBorders>
            <w:hideMark/>
          </w:tcPr>
          <w:p w14:paraId="5DD8E5DB" w14:textId="77777777" w:rsidR="008835B2" w:rsidRDefault="008835B2">
            <w:pPr>
              <w:overflowPunct w:val="0"/>
              <w:autoSpaceDE w:val="0"/>
              <w:textAlignment w:val="baseline"/>
              <w:rPr>
                <w:spacing w:val="-3"/>
                <w:sz w:val="16"/>
                <w:szCs w:val="16"/>
              </w:rPr>
            </w:pPr>
            <w:r>
              <w:rPr>
                <w:spacing w:val="-3"/>
                <w:sz w:val="16"/>
                <w:szCs w:val="16"/>
              </w:rPr>
              <w:t>Blank tryptic soy agar sterility control</w:t>
            </w:r>
            <w:r>
              <w:rPr>
                <w:spacing w:val="-3"/>
                <w:sz w:val="16"/>
                <w:szCs w:val="16"/>
              </w:rPr>
              <w:br/>
              <w:t>Plate incubated but not inoculated</w:t>
            </w:r>
          </w:p>
        </w:tc>
        <w:tc>
          <w:tcPr>
            <w:tcW w:w="1620" w:type="dxa"/>
            <w:tcBorders>
              <w:top w:val="single" w:sz="6" w:space="0" w:color="000000"/>
              <w:left w:val="single" w:sz="6" w:space="0" w:color="000000"/>
              <w:bottom w:val="single" w:sz="6" w:space="0" w:color="000000"/>
              <w:right w:val="single" w:sz="6" w:space="0" w:color="000000"/>
            </w:tcBorders>
            <w:hideMark/>
          </w:tcPr>
          <w:p w14:paraId="64F6E8FC" w14:textId="77777777" w:rsidR="008835B2" w:rsidRDefault="008835B2">
            <w:pPr>
              <w:overflowPunct w:val="0"/>
              <w:autoSpaceDE w:val="0"/>
              <w:textAlignment w:val="baseline"/>
              <w:rPr>
                <w:spacing w:val="-3"/>
                <w:sz w:val="16"/>
                <w:szCs w:val="16"/>
              </w:rPr>
            </w:pPr>
            <w:r>
              <w:rPr>
                <w:spacing w:val="-3"/>
                <w:sz w:val="16"/>
                <w:szCs w:val="16"/>
              </w:rPr>
              <w:t>No observed growth after incubation</w:t>
            </w:r>
          </w:p>
        </w:tc>
        <w:tc>
          <w:tcPr>
            <w:tcW w:w="2610" w:type="dxa"/>
            <w:tcBorders>
              <w:top w:val="single" w:sz="6" w:space="0" w:color="000000"/>
              <w:left w:val="single" w:sz="6" w:space="0" w:color="000000"/>
              <w:bottom w:val="single" w:sz="6" w:space="0" w:color="000000"/>
              <w:right w:val="single" w:sz="6" w:space="0" w:color="000000"/>
            </w:tcBorders>
            <w:hideMark/>
          </w:tcPr>
          <w:p w14:paraId="6F54F0FF" w14:textId="77777777" w:rsidR="008835B2" w:rsidRDefault="008835B2">
            <w:pPr>
              <w:overflowPunct w:val="0"/>
              <w:autoSpaceDE w:val="0"/>
              <w:textAlignment w:val="baseline"/>
              <w:rPr>
                <w:spacing w:val="-3"/>
                <w:sz w:val="16"/>
                <w:szCs w:val="16"/>
              </w:rPr>
            </w:pPr>
            <w:r>
              <w:rPr>
                <w:spacing w:val="-3"/>
                <w:sz w:val="16"/>
                <w:szCs w:val="16"/>
              </w:rPr>
              <w:t>Controls for sterility of plates</w:t>
            </w:r>
          </w:p>
        </w:tc>
        <w:tc>
          <w:tcPr>
            <w:tcW w:w="2070" w:type="dxa"/>
            <w:tcBorders>
              <w:top w:val="single" w:sz="6" w:space="0" w:color="000000"/>
              <w:left w:val="single" w:sz="6" w:space="0" w:color="000000"/>
              <w:bottom w:val="single" w:sz="6" w:space="0" w:color="000000"/>
              <w:right w:val="single" w:sz="6" w:space="0" w:color="000000"/>
            </w:tcBorders>
            <w:hideMark/>
          </w:tcPr>
          <w:p w14:paraId="28AE6498" w14:textId="77777777" w:rsidR="008835B2" w:rsidRDefault="008835B2">
            <w:pPr>
              <w:overflowPunct w:val="0"/>
              <w:autoSpaceDE w:val="0"/>
              <w:textAlignment w:val="baseline"/>
              <w:rPr>
                <w:spacing w:val="-3"/>
                <w:sz w:val="16"/>
                <w:szCs w:val="16"/>
              </w:rPr>
            </w:pPr>
            <w:r>
              <w:rPr>
                <w:spacing w:val="-3"/>
                <w:sz w:val="16"/>
                <w:szCs w:val="16"/>
              </w:rPr>
              <w:t>All plates incubated before use, so contaminated plates discarded before use</w:t>
            </w:r>
          </w:p>
        </w:tc>
        <w:tc>
          <w:tcPr>
            <w:tcW w:w="1350" w:type="dxa"/>
            <w:tcBorders>
              <w:top w:val="single" w:sz="6" w:space="0" w:color="000000"/>
              <w:left w:val="single" w:sz="6" w:space="0" w:color="000000"/>
              <w:bottom w:val="single" w:sz="6" w:space="0" w:color="000000"/>
              <w:right w:val="single" w:sz="12" w:space="0" w:color="000000"/>
            </w:tcBorders>
            <w:hideMark/>
          </w:tcPr>
          <w:p w14:paraId="4555DBBB" w14:textId="77777777" w:rsidR="008835B2" w:rsidRDefault="008835B2">
            <w:pPr>
              <w:overflowPunct w:val="0"/>
              <w:autoSpaceDE w:val="0"/>
              <w:textAlignment w:val="baseline"/>
              <w:rPr>
                <w:spacing w:val="-3"/>
                <w:sz w:val="16"/>
                <w:szCs w:val="16"/>
              </w:rPr>
            </w:pPr>
            <w:r>
              <w:rPr>
                <w:spacing w:val="-3"/>
                <w:sz w:val="16"/>
                <w:szCs w:val="16"/>
              </w:rPr>
              <w:t>Pass</w:t>
            </w:r>
          </w:p>
        </w:tc>
      </w:tr>
      <w:tr w:rsidR="008835B2" w14:paraId="646A98B3" w14:textId="77777777" w:rsidTr="008835B2">
        <w:trPr>
          <w:jc w:val="center"/>
        </w:trPr>
        <w:tc>
          <w:tcPr>
            <w:tcW w:w="1515" w:type="dxa"/>
            <w:tcBorders>
              <w:top w:val="single" w:sz="6" w:space="0" w:color="000000"/>
              <w:left w:val="single" w:sz="12" w:space="0" w:color="000000"/>
              <w:bottom w:val="single" w:sz="6" w:space="0" w:color="000000"/>
              <w:right w:val="single" w:sz="6" w:space="0" w:color="000000"/>
            </w:tcBorders>
            <w:hideMark/>
          </w:tcPr>
          <w:p w14:paraId="4477399B" w14:textId="77777777" w:rsidR="008835B2" w:rsidRDefault="008835B2">
            <w:pPr>
              <w:overflowPunct w:val="0"/>
              <w:autoSpaceDE w:val="0"/>
              <w:textAlignment w:val="baseline"/>
              <w:rPr>
                <w:spacing w:val="-3"/>
                <w:sz w:val="16"/>
                <w:szCs w:val="16"/>
              </w:rPr>
            </w:pPr>
            <w:r>
              <w:rPr>
                <w:spacing w:val="-3"/>
                <w:sz w:val="16"/>
                <w:szCs w:val="16"/>
              </w:rPr>
              <w:t>Exposed field blank samples; a wipe kit will be handled</w:t>
            </w:r>
          </w:p>
        </w:tc>
        <w:tc>
          <w:tcPr>
            <w:tcW w:w="1620" w:type="dxa"/>
            <w:tcBorders>
              <w:top w:val="single" w:sz="6" w:space="0" w:color="000000"/>
              <w:left w:val="single" w:sz="6" w:space="0" w:color="000000"/>
              <w:bottom w:val="single" w:sz="6" w:space="0" w:color="000000"/>
              <w:right w:val="single" w:sz="6" w:space="0" w:color="000000"/>
            </w:tcBorders>
            <w:hideMark/>
          </w:tcPr>
          <w:p w14:paraId="2CE9D85C" w14:textId="77777777" w:rsidR="008835B2" w:rsidRDefault="008835B2">
            <w:pPr>
              <w:overflowPunct w:val="0"/>
              <w:autoSpaceDE w:val="0"/>
              <w:textAlignment w:val="baseline"/>
              <w:rPr>
                <w:spacing w:val="-3"/>
                <w:sz w:val="16"/>
                <w:szCs w:val="16"/>
              </w:rPr>
            </w:pPr>
            <w:r>
              <w:rPr>
                <w:spacing w:val="-3"/>
                <w:sz w:val="16"/>
                <w:szCs w:val="16"/>
              </w:rPr>
              <w:t>Non-detect</w:t>
            </w:r>
          </w:p>
        </w:tc>
        <w:tc>
          <w:tcPr>
            <w:tcW w:w="2610" w:type="dxa"/>
            <w:tcBorders>
              <w:top w:val="single" w:sz="6" w:space="0" w:color="000000"/>
              <w:left w:val="single" w:sz="6" w:space="0" w:color="000000"/>
              <w:bottom w:val="single" w:sz="6" w:space="0" w:color="000000"/>
              <w:right w:val="single" w:sz="6" w:space="0" w:color="000000"/>
            </w:tcBorders>
            <w:hideMark/>
          </w:tcPr>
          <w:p w14:paraId="221E0E3A" w14:textId="77777777" w:rsidR="008835B2" w:rsidRDefault="008835B2">
            <w:pPr>
              <w:overflowPunct w:val="0"/>
              <w:autoSpaceDE w:val="0"/>
              <w:textAlignment w:val="baseline"/>
              <w:rPr>
                <w:spacing w:val="-3"/>
                <w:sz w:val="16"/>
                <w:szCs w:val="16"/>
              </w:rPr>
            </w:pPr>
            <w:r>
              <w:rPr>
                <w:spacing w:val="-3"/>
                <w:sz w:val="16"/>
                <w:szCs w:val="16"/>
              </w:rPr>
              <w:t>Level of contamination present during sampling</w:t>
            </w:r>
          </w:p>
        </w:tc>
        <w:tc>
          <w:tcPr>
            <w:tcW w:w="2070" w:type="dxa"/>
            <w:tcBorders>
              <w:top w:val="single" w:sz="6" w:space="0" w:color="000000"/>
              <w:left w:val="single" w:sz="6" w:space="0" w:color="000000"/>
              <w:bottom w:val="single" w:sz="6" w:space="0" w:color="000000"/>
              <w:right w:val="single" w:sz="6" w:space="0" w:color="000000"/>
            </w:tcBorders>
            <w:hideMark/>
          </w:tcPr>
          <w:p w14:paraId="76148183" w14:textId="77777777" w:rsidR="008835B2" w:rsidRDefault="008835B2">
            <w:pPr>
              <w:overflowPunct w:val="0"/>
              <w:autoSpaceDE w:val="0"/>
              <w:textAlignment w:val="baseline"/>
              <w:rPr>
                <w:spacing w:val="-3"/>
                <w:sz w:val="16"/>
                <w:szCs w:val="16"/>
              </w:rPr>
            </w:pPr>
            <w:r>
              <w:rPr>
                <w:spacing w:val="-3"/>
                <w:sz w:val="16"/>
                <w:szCs w:val="16"/>
              </w:rPr>
              <w:t>Clean up environment; sterilize sampling materials before use</w:t>
            </w:r>
          </w:p>
        </w:tc>
        <w:tc>
          <w:tcPr>
            <w:tcW w:w="1350" w:type="dxa"/>
            <w:tcBorders>
              <w:top w:val="single" w:sz="6" w:space="0" w:color="000000"/>
              <w:left w:val="single" w:sz="6" w:space="0" w:color="000000"/>
              <w:bottom w:val="single" w:sz="6" w:space="0" w:color="000000"/>
              <w:right w:val="single" w:sz="12" w:space="0" w:color="000000"/>
            </w:tcBorders>
            <w:hideMark/>
          </w:tcPr>
          <w:p w14:paraId="0BB97282" w14:textId="77777777" w:rsidR="008835B2" w:rsidRDefault="008835B2">
            <w:pPr>
              <w:overflowPunct w:val="0"/>
              <w:autoSpaceDE w:val="0"/>
              <w:textAlignment w:val="baseline"/>
              <w:rPr>
                <w:spacing w:val="-3"/>
                <w:sz w:val="16"/>
                <w:szCs w:val="16"/>
              </w:rPr>
            </w:pPr>
            <w:r>
              <w:rPr>
                <w:spacing w:val="-3"/>
                <w:sz w:val="16"/>
                <w:szCs w:val="16"/>
              </w:rPr>
              <w:t>Pass</w:t>
            </w:r>
          </w:p>
        </w:tc>
      </w:tr>
      <w:tr w:rsidR="008835B2" w14:paraId="5BD231D3" w14:textId="77777777" w:rsidTr="008835B2">
        <w:trPr>
          <w:jc w:val="center"/>
        </w:trPr>
        <w:tc>
          <w:tcPr>
            <w:tcW w:w="1515" w:type="dxa"/>
            <w:tcBorders>
              <w:top w:val="single" w:sz="6" w:space="0" w:color="000000"/>
              <w:left w:val="single" w:sz="12" w:space="0" w:color="000000"/>
              <w:bottom w:val="single" w:sz="12" w:space="0" w:color="000000"/>
              <w:right w:val="single" w:sz="6" w:space="0" w:color="000000"/>
            </w:tcBorders>
            <w:hideMark/>
          </w:tcPr>
          <w:p w14:paraId="6871030F" w14:textId="77777777" w:rsidR="008835B2" w:rsidRDefault="008835B2">
            <w:pPr>
              <w:overflowPunct w:val="0"/>
              <w:autoSpaceDE w:val="0"/>
              <w:textAlignment w:val="baseline"/>
              <w:rPr>
                <w:spacing w:val="-3"/>
                <w:sz w:val="16"/>
                <w:szCs w:val="16"/>
              </w:rPr>
            </w:pPr>
            <w:r>
              <w:rPr>
                <w:spacing w:val="-3"/>
                <w:sz w:val="16"/>
                <w:szCs w:val="16"/>
              </w:rPr>
              <w:t>Unexposed field blank samples; a wipe kit will be transferred without handling</w:t>
            </w:r>
          </w:p>
        </w:tc>
        <w:tc>
          <w:tcPr>
            <w:tcW w:w="1620" w:type="dxa"/>
            <w:tcBorders>
              <w:top w:val="single" w:sz="6" w:space="0" w:color="000000"/>
              <w:left w:val="single" w:sz="6" w:space="0" w:color="000000"/>
              <w:bottom w:val="single" w:sz="12" w:space="0" w:color="000000"/>
              <w:right w:val="single" w:sz="6" w:space="0" w:color="000000"/>
            </w:tcBorders>
            <w:hideMark/>
          </w:tcPr>
          <w:p w14:paraId="528F5633" w14:textId="77777777" w:rsidR="008835B2" w:rsidRDefault="008835B2">
            <w:pPr>
              <w:overflowPunct w:val="0"/>
              <w:autoSpaceDE w:val="0"/>
              <w:textAlignment w:val="baseline"/>
              <w:rPr>
                <w:spacing w:val="-3"/>
                <w:sz w:val="16"/>
                <w:szCs w:val="16"/>
              </w:rPr>
            </w:pPr>
            <w:r>
              <w:rPr>
                <w:spacing w:val="-3"/>
                <w:sz w:val="16"/>
                <w:szCs w:val="16"/>
              </w:rPr>
              <w:t>Non-detect</w:t>
            </w:r>
          </w:p>
        </w:tc>
        <w:tc>
          <w:tcPr>
            <w:tcW w:w="2610" w:type="dxa"/>
            <w:tcBorders>
              <w:top w:val="single" w:sz="6" w:space="0" w:color="000000"/>
              <w:left w:val="single" w:sz="6" w:space="0" w:color="000000"/>
              <w:bottom w:val="single" w:sz="12" w:space="0" w:color="000000"/>
              <w:right w:val="single" w:sz="6" w:space="0" w:color="000000"/>
            </w:tcBorders>
            <w:hideMark/>
          </w:tcPr>
          <w:p w14:paraId="5FEAD71D" w14:textId="77777777" w:rsidR="008835B2" w:rsidRDefault="008835B2">
            <w:pPr>
              <w:overflowPunct w:val="0"/>
              <w:autoSpaceDE w:val="0"/>
              <w:textAlignment w:val="baseline"/>
              <w:rPr>
                <w:spacing w:val="-3"/>
                <w:sz w:val="16"/>
                <w:szCs w:val="16"/>
              </w:rPr>
            </w:pPr>
            <w:r>
              <w:rPr>
                <w:spacing w:val="-3"/>
                <w:sz w:val="16"/>
                <w:szCs w:val="16"/>
              </w:rPr>
              <w:t>Level of contamination present during sampling</w:t>
            </w:r>
          </w:p>
        </w:tc>
        <w:tc>
          <w:tcPr>
            <w:tcW w:w="2070" w:type="dxa"/>
            <w:tcBorders>
              <w:top w:val="single" w:sz="6" w:space="0" w:color="000000"/>
              <w:left w:val="single" w:sz="6" w:space="0" w:color="000000"/>
              <w:bottom w:val="single" w:sz="12" w:space="0" w:color="000000"/>
              <w:right w:val="single" w:sz="6" w:space="0" w:color="000000"/>
            </w:tcBorders>
            <w:hideMark/>
          </w:tcPr>
          <w:p w14:paraId="4F4B65A6" w14:textId="77777777" w:rsidR="008835B2" w:rsidRDefault="008835B2">
            <w:pPr>
              <w:overflowPunct w:val="0"/>
              <w:autoSpaceDE w:val="0"/>
              <w:textAlignment w:val="baseline"/>
              <w:rPr>
                <w:spacing w:val="-3"/>
                <w:sz w:val="16"/>
                <w:szCs w:val="16"/>
              </w:rPr>
            </w:pPr>
            <w:r>
              <w:rPr>
                <w:spacing w:val="-3"/>
                <w:sz w:val="16"/>
                <w:szCs w:val="16"/>
              </w:rPr>
              <w:t>Clean up environment; sterilize sampling materials before use</w:t>
            </w:r>
          </w:p>
        </w:tc>
        <w:tc>
          <w:tcPr>
            <w:tcW w:w="1350" w:type="dxa"/>
            <w:tcBorders>
              <w:top w:val="single" w:sz="6" w:space="0" w:color="000000"/>
              <w:left w:val="single" w:sz="6" w:space="0" w:color="000000"/>
              <w:bottom w:val="single" w:sz="12" w:space="0" w:color="000000"/>
              <w:right w:val="single" w:sz="12" w:space="0" w:color="000000"/>
            </w:tcBorders>
            <w:hideMark/>
          </w:tcPr>
          <w:p w14:paraId="1A8783A6" w14:textId="77777777" w:rsidR="008835B2" w:rsidRDefault="008835B2">
            <w:pPr>
              <w:overflowPunct w:val="0"/>
              <w:autoSpaceDE w:val="0"/>
              <w:textAlignment w:val="baseline"/>
              <w:rPr>
                <w:spacing w:val="-3"/>
                <w:sz w:val="16"/>
                <w:szCs w:val="16"/>
              </w:rPr>
            </w:pPr>
            <w:r>
              <w:rPr>
                <w:spacing w:val="-3"/>
                <w:sz w:val="16"/>
                <w:szCs w:val="16"/>
              </w:rPr>
              <w:t>Pass</w:t>
            </w:r>
          </w:p>
        </w:tc>
      </w:tr>
    </w:tbl>
    <w:p w14:paraId="29CE402C" w14:textId="77777777" w:rsidR="008835B2" w:rsidRDefault="008835B2" w:rsidP="008835B2">
      <w:pPr>
        <w:rPr>
          <w:rFonts w:ascii="Arial" w:hAnsi="Arial" w:cstheme="minorBidi"/>
          <w:sz w:val="20"/>
          <w:szCs w:val="20"/>
          <w:lang w:eastAsia="ar-SA"/>
        </w:rPr>
      </w:pPr>
    </w:p>
    <w:p w14:paraId="7D7274AF" w14:textId="77777777" w:rsidR="008835B2" w:rsidRDefault="008835B2" w:rsidP="000D781A"/>
    <w:sectPr w:rsidR="008835B2" w:rsidSect="000B56CE">
      <w:foot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748B" w14:textId="77777777" w:rsidR="005F334C" w:rsidRDefault="005F334C" w:rsidP="005F334C">
      <w:r>
        <w:separator/>
      </w:r>
    </w:p>
  </w:endnote>
  <w:endnote w:type="continuationSeparator" w:id="0">
    <w:p w14:paraId="54E521D6" w14:textId="77777777" w:rsidR="005F334C" w:rsidRDefault="005F334C" w:rsidP="005F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F981" w14:textId="1B1D7583" w:rsidR="001A490D" w:rsidRPr="00DA70B2" w:rsidRDefault="00DA70B2">
    <w:pPr>
      <w:pStyle w:val="Footer"/>
      <w:rPr>
        <w:sz w:val="16"/>
        <w:szCs w:val="16"/>
      </w:rPr>
    </w:pPr>
    <w:r w:rsidRPr="00DA70B2">
      <w:rPr>
        <w:sz w:val="16"/>
        <w:szCs w:val="16"/>
      </w:rPr>
      <w:t>09/29/2015</w:t>
    </w:r>
    <w:r w:rsidRPr="00DA70B2">
      <w:rPr>
        <w:sz w:val="16"/>
        <w:szCs w:val="16"/>
      </w:rPr>
      <w:ptab w:relativeTo="margin" w:alignment="center" w:leader="none"/>
    </w:r>
    <w:r>
      <w:rPr>
        <w:sz w:val="16"/>
        <w:szCs w:val="16"/>
      </w:rPr>
      <w:t>Version 1.0</w:t>
    </w:r>
    <w:r w:rsidRPr="00DA70B2">
      <w:rPr>
        <w:sz w:val="16"/>
        <w:szCs w:val="16"/>
      </w:rPr>
      <w:ptab w:relativeTo="margin" w:alignment="right" w:leader="none"/>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780A" w14:textId="77777777" w:rsidR="005F334C" w:rsidRDefault="005F334C" w:rsidP="005F334C">
      <w:r>
        <w:separator/>
      </w:r>
    </w:p>
  </w:footnote>
  <w:footnote w:type="continuationSeparator" w:id="0">
    <w:p w14:paraId="4828D3EC" w14:textId="77777777" w:rsidR="005F334C" w:rsidRDefault="005F334C" w:rsidP="005F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67B"/>
    <w:multiLevelType w:val="hybridMultilevel"/>
    <w:tmpl w:val="87683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4FC057D"/>
    <w:multiLevelType w:val="hybridMultilevel"/>
    <w:tmpl w:val="9724E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DC62044"/>
    <w:multiLevelType w:val="hybridMultilevel"/>
    <w:tmpl w:val="D4486C9C"/>
    <w:lvl w:ilvl="0" w:tplc="0E309CBE">
      <w:start w:val="1"/>
      <w:numFmt w:val="bullet"/>
      <w:pStyle w:val="List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60F475C"/>
    <w:multiLevelType w:val="hybridMultilevel"/>
    <w:tmpl w:val="CFBCF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85E66BA"/>
    <w:multiLevelType w:val="hybridMultilevel"/>
    <w:tmpl w:val="567C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2634C"/>
    <w:multiLevelType w:val="hybridMultilevel"/>
    <w:tmpl w:val="96B04174"/>
    <w:lvl w:ilvl="0" w:tplc="347287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BC2911"/>
    <w:multiLevelType w:val="hybridMultilevel"/>
    <w:tmpl w:val="BF7C6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325794"/>
    <w:multiLevelType w:val="hybridMultilevel"/>
    <w:tmpl w:val="1AAA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847523"/>
    <w:multiLevelType w:val="hybridMultilevel"/>
    <w:tmpl w:val="FF3C3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A8E2421"/>
    <w:multiLevelType w:val="hybridMultilevel"/>
    <w:tmpl w:val="2D5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D550A"/>
    <w:multiLevelType w:val="multilevel"/>
    <w:tmpl w:val="AED0DEA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3"/>
  </w:num>
  <w:num w:numId="3">
    <w:abstractNumId w:val="8"/>
  </w:num>
  <w:num w:numId="4">
    <w:abstractNumId w:val="1"/>
  </w:num>
  <w:num w:numId="5">
    <w:abstractNumId w:val="0"/>
  </w:num>
  <w:num w:numId="6">
    <w:abstractNumId w:val="9"/>
  </w:num>
  <w:num w:numId="7">
    <w:abstractNumId w:val="0"/>
  </w:num>
  <w:num w:numId="8">
    <w:abstractNumId w:val="4"/>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71"/>
    <w:rsid w:val="000B56CE"/>
    <w:rsid w:val="000C1431"/>
    <w:rsid w:val="000C2668"/>
    <w:rsid w:val="000D393A"/>
    <w:rsid w:val="000D781A"/>
    <w:rsid w:val="00126620"/>
    <w:rsid w:val="0013622B"/>
    <w:rsid w:val="00170D83"/>
    <w:rsid w:val="001A1097"/>
    <w:rsid w:val="001A490D"/>
    <w:rsid w:val="002314A5"/>
    <w:rsid w:val="002828A0"/>
    <w:rsid w:val="0034328D"/>
    <w:rsid w:val="00345B2C"/>
    <w:rsid w:val="003512DB"/>
    <w:rsid w:val="00396382"/>
    <w:rsid w:val="003A17CD"/>
    <w:rsid w:val="003D7AB8"/>
    <w:rsid w:val="004310BD"/>
    <w:rsid w:val="00481223"/>
    <w:rsid w:val="00540452"/>
    <w:rsid w:val="0056161A"/>
    <w:rsid w:val="005A0517"/>
    <w:rsid w:val="005F334C"/>
    <w:rsid w:val="006543AE"/>
    <w:rsid w:val="00714373"/>
    <w:rsid w:val="007229CA"/>
    <w:rsid w:val="00751341"/>
    <w:rsid w:val="00766627"/>
    <w:rsid w:val="00793407"/>
    <w:rsid w:val="007D2C4A"/>
    <w:rsid w:val="008160F4"/>
    <w:rsid w:val="00833962"/>
    <w:rsid w:val="008511D9"/>
    <w:rsid w:val="00852EA5"/>
    <w:rsid w:val="00874F06"/>
    <w:rsid w:val="008835B2"/>
    <w:rsid w:val="008B1C4C"/>
    <w:rsid w:val="008F0426"/>
    <w:rsid w:val="009215BE"/>
    <w:rsid w:val="00923580"/>
    <w:rsid w:val="00955471"/>
    <w:rsid w:val="009827FB"/>
    <w:rsid w:val="009B0C35"/>
    <w:rsid w:val="00A6017D"/>
    <w:rsid w:val="00AE2682"/>
    <w:rsid w:val="00C02CFB"/>
    <w:rsid w:val="00C23C8C"/>
    <w:rsid w:val="00C31E91"/>
    <w:rsid w:val="00CC2ED5"/>
    <w:rsid w:val="00D25E27"/>
    <w:rsid w:val="00D42A03"/>
    <w:rsid w:val="00D431C9"/>
    <w:rsid w:val="00D632C6"/>
    <w:rsid w:val="00D91093"/>
    <w:rsid w:val="00DA70B2"/>
    <w:rsid w:val="00DE3AE7"/>
    <w:rsid w:val="00E3423F"/>
    <w:rsid w:val="00E36C20"/>
    <w:rsid w:val="00E43CB7"/>
    <w:rsid w:val="00E76B42"/>
    <w:rsid w:val="00EA15E6"/>
    <w:rsid w:val="00EF29F8"/>
    <w:rsid w:val="00F074AC"/>
    <w:rsid w:val="00F2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7C7A7"/>
  <w15:chartTrackingRefBased/>
  <w15:docId w15:val="{DB621363-FB86-4037-987C-675965D9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471"/>
    <w:pPr>
      <w:spacing w:after="0" w:line="240" w:lineRule="auto"/>
    </w:pPr>
    <w:rPr>
      <w:rFonts w:ascii="Verdana" w:hAnsi="Verdana" w:cs="Times New Roman"/>
      <w:color w:val="003572"/>
      <w:sz w:val="24"/>
      <w:szCs w:val="24"/>
    </w:rPr>
  </w:style>
  <w:style w:type="paragraph" w:styleId="Heading1">
    <w:name w:val="heading 1"/>
    <w:basedOn w:val="Normal"/>
    <w:next w:val="Normal"/>
    <w:link w:val="Heading1Char"/>
    <w:uiPriority w:val="9"/>
    <w:qFormat/>
    <w:rsid w:val="008835B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2"/>
    <w:basedOn w:val="Normal"/>
    <w:next w:val="Normal"/>
    <w:link w:val="Heading2Char"/>
    <w:semiHidden/>
    <w:unhideWhenUsed/>
    <w:qFormat/>
    <w:rsid w:val="008835B2"/>
    <w:pPr>
      <w:keepNext/>
      <w:keepLines/>
      <w:numPr>
        <w:ilvl w:val="1"/>
        <w:numId w:val="10"/>
      </w:numPr>
      <w:spacing w:before="200" w:line="276" w:lineRule="auto"/>
      <w:ind w:left="0" w:firstLine="0"/>
      <w:outlineLvl w:val="1"/>
    </w:pPr>
    <w:rPr>
      <w:rFonts w:asciiTheme="majorHAnsi" w:eastAsiaTheme="majorEastAsia" w:hAnsiTheme="majorHAnsi" w:cstheme="majorBidi"/>
      <w:color w:val="5B9BD5" w:themeColor="accent1"/>
      <w:sz w:val="26"/>
      <w:szCs w:val="26"/>
    </w:rPr>
  </w:style>
  <w:style w:type="paragraph" w:styleId="Heading3">
    <w:name w:val="heading 3"/>
    <w:basedOn w:val="Normal"/>
    <w:next w:val="Normal"/>
    <w:link w:val="Heading3Char"/>
    <w:semiHidden/>
    <w:unhideWhenUsed/>
    <w:qFormat/>
    <w:rsid w:val="008835B2"/>
    <w:pPr>
      <w:keepNext/>
      <w:keepLines/>
      <w:numPr>
        <w:ilvl w:val="2"/>
        <w:numId w:val="10"/>
      </w:numPr>
      <w:spacing w:before="200" w:line="276" w:lineRule="auto"/>
      <w:ind w:left="0" w:firstLine="0"/>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semiHidden/>
    <w:unhideWhenUsed/>
    <w:qFormat/>
    <w:rsid w:val="008835B2"/>
    <w:pPr>
      <w:keepNext/>
      <w:numPr>
        <w:ilvl w:val="3"/>
        <w:numId w:val="10"/>
      </w:numPr>
      <w:overflowPunct w:val="0"/>
      <w:autoSpaceDE w:val="0"/>
      <w:autoSpaceDN w:val="0"/>
      <w:adjustRightInd w:val="0"/>
      <w:spacing w:after="200" w:line="280" w:lineRule="atLeast"/>
      <w:outlineLvl w:val="3"/>
    </w:pPr>
    <w:rPr>
      <w:rFonts w:ascii="Arial" w:eastAsia="Times New Roman" w:hAnsi="Arial" w:cs="Arial"/>
      <w:b/>
      <w:bCs/>
      <w:color w:val="auto"/>
      <w:sz w:val="20"/>
      <w:szCs w:val="20"/>
      <w:lang w:eastAsia="ar-SA"/>
    </w:rPr>
  </w:style>
  <w:style w:type="paragraph" w:styleId="Heading6">
    <w:name w:val="heading 6"/>
    <w:aliases w:val="Heading 6 DO NOT USE"/>
    <w:basedOn w:val="Normal"/>
    <w:next w:val="Normal"/>
    <w:link w:val="Heading6Char"/>
    <w:semiHidden/>
    <w:unhideWhenUsed/>
    <w:qFormat/>
    <w:rsid w:val="008835B2"/>
    <w:pPr>
      <w:numPr>
        <w:ilvl w:val="5"/>
        <w:numId w:val="10"/>
      </w:numPr>
      <w:suppressAutoHyphens/>
      <w:spacing w:before="240" w:after="60" w:line="280" w:lineRule="atLeast"/>
      <w:outlineLvl w:val="5"/>
    </w:pPr>
    <w:rPr>
      <w:rFonts w:ascii="Calibri" w:eastAsia="Times New Roman" w:hAnsi="Calibri"/>
      <w:color w:val="auto"/>
      <w:sz w:val="22"/>
      <w:szCs w:val="22"/>
      <w:lang w:eastAsia="ar-SA"/>
    </w:rPr>
  </w:style>
  <w:style w:type="paragraph" w:styleId="Heading7">
    <w:name w:val="heading 7"/>
    <w:aliases w:val="Heading 7 DO NOT USE"/>
    <w:basedOn w:val="Normal"/>
    <w:next w:val="Normal"/>
    <w:link w:val="Heading7Char"/>
    <w:semiHidden/>
    <w:unhideWhenUsed/>
    <w:qFormat/>
    <w:rsid w:val="008835B2"/>
    <w:pPr>
      <w:numPr>
        <w:ilvl w:val="6"/>
        <w:numId w:val="10"/>
      </w:numPr>
      <w:suppressAutoHyphens/>
      <w:spacing w:before="300" w:after="200" w:line="276" w:lineRule="auto"/>
      <w:outlineLvl w:val="6"/>
    </w:pPr>
    <w:rPr>
      <w:rFonts w:ascii="Arial" w:eastAsia="Arial" w:hAnsi="Arial"/>
      <w:caps/>
      <w:color w:val="449BB5"/>
      <w:spacing w:val="10"/>
      <w:sz w:val="22"/>
      <w:szCs w:val="22"/>
      <w:lang w:bidi="en-US"/>
    </w:rPr>
  </w:style>
  <w:style w:type="paragraph" w:styleId="Heading8">
    <w:name w:val="heading 8"/>
    <w:basedOn w:val="Normal"/>
    <w:next w:val="Normal"/>
    <w:link w:val="Heading8Char"/>
    <w:semiHidden/>
    <w:unhideWhenUsed/>
    <w:qFormat/>
    <w:rsid w:val="008835B2"/>
    <w:pPr>
      <w:numPr>
        <w:ilvl w:val="7"/>
        <w:numId w:val="10"/>
      </w:numPr>
      <w:suppressAutoHyphens/>
      <w:spacing w:before="300" w:after="200" w:line="276" w:lineRule="auto"/>
      <w:outlineLvl w:val="7"/>
    </w:pPr>
    <w:rPr>
      <w:rFonts w:ascii="Arial" w:eastAsia="Arial" w:hAnsi="Arial"/>
      <w:caps/>
      <w:color w:val="auto"/>
      <w:spacing w:val="10"/>
      <w:sz w:val="18"/>
      <w:szCs w:val="18"/>
      <w:lang w:bidi="en-US"/>
    </w:rPr>
  </w:style>
  <w:style w:type="paragraph" w:styleId="Heading9">
    <w:name w:val="heading 9"/>
    <w:aliases w:val="Heading 9 DO NOT USE"/>
    <w:basedOn w:val="Normal"/>
    <w:next w:val="Normal"/>
    <w:link w:val="Heading9Char"/>
    <w:semiHidden/>
    <w:unhideWhenUsed/>
    <w:qFormat/>
    <w:rsid w:val="008835B2"/>
    <w:pPr>
      <w:numPr>
        <w:ilvl w:val="8"/>
        <w:numId w:val="10"/>
      </w:numPr>
      <w:suppressAutoHyphens/>
      <w:spacing w:before="300" w:after="200" w:line="276" w:lineRule="auto"/>
      <w:outlineLvl w:val="8"/>
    </w:pPr>
    <w:rPr>
      <w:rFonts w:ascii="Arial" w:eastAsia="Arial" w:hAnsi="Arial"/>
      <w:i/>
      <w:caps/>
      <w:color w:val="auto"/>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1341"/>
    <w:pPr>
      <w:ind w:left="720"/>
      <w:contextualSpacing/>
    </w:pPr>
  </w:style>
  <w:style w:type="character" w:styleId="CommentReference">
    <w:name w:val="annotation reference"/>
    <w:basedOn w:val="DefaultParagraphFont"/>
    <w:uiPriority w:val="99"/>
    <w:semiHidden/>
    <w:unhideWhenUsed/>
    <w:rsid w:val="008F0426"/>
    <w:rPr>
      <w:sz w:val="16"/>
      <w:szCs w:val="16"/>
    </w:rPr>
  </w:style>
  <w:style w:type="paragraph" w:styleId="CommentText">
    <w:name w:val="annotation text"/>
    <w:basedOn w:val="Normal"/>
    <w:link w:val="CommentTextChar"/>
    <w:uiPriority w:val="99"/>
    <w:semiHidden/>
    <w:unhideWhenUsed/>
    <w:rsid w:val="008F0426"/>
    <w:rPr>
      <w:sz w:val="20"/>
      <w:szCs w:val="20"/>
    </w:rPr>
  </w:style>
  <w:style w:type="character" w:customStyle="1" w:styleId="CommentTextChar">
    <w:name w:val="Comment Text Char"/>
    <w:basedOn w:val="DefaultParagraphFont"/>
    <w:link w:val="CommentText"/>
    <w:uiPriority w:val="99"/>
    <w:semiHidden/>
    <w:rsid w:val="008F0426"/>
    <w:rPr>
      <w:rFonts w:ascii="Verdana" w:hAnsi="Verdana" w:cs="Times New Roman"/>
      <w:color w:val="003572"/>
      <w:sz w:val="20"/>
      <w:szCs w:val="20"/>
    </w:rPr>
  </w:style>
  <w:style w:type="paragraph" w:styleId="CommentSubject">
    <w:name w:val="annotation subject"/>
    <w:basedOn w:val="CommentText"/>
    <w:next w:val="CommentText"/>
    <w:link w:val="CommentSubjectChar"/>
    <w:uiPriority w:val="99"/>
    <w:semiHidden/>
    <w:unhideWhenUsed/>
    <w:rsid w:val="008F0426"/>
    <w:rPr>
      <w:b/>
      <w:bCs/>
    </w:rPr>
  </w:style>
  <w:style w:type="character" w:customStyle="1" w:styleId="CommentSubjectChar">
    <w:name w:val="Comment Subject Char"/>
    <w:basedOn w:val="CommentTextChar"/>
    <w:link w:val="CommentSubject"/>
    <w:uiPriority w:val="99"/>
    <w:semiHidden/>
    <w:rsid w:val="008F0426"/>
    <w:rPr>
      <w:rFonts w:ascii="Verdana" w:hAnsi="Verdana" w:cs="Times New Roman"/>
      <w:b/>
      <w:bCs/>
      <w:color w:val="003572"/>
      <w:sz w:val="20"/>
      <w:szCs w:val="20"/>
    </w:rPr>
  </w:style>
  <w:style w:type="paragraph" w:styleId="BalloonText">
    <w:name w:val="Balloon Text"/>
    <w:basedOn w:val="Normal"/>
    <w:link w:val="BalloonTextChar"/>
    <w:uiPriority w:val="99"/>
    <w:semiHidden/>
    <w:unhideWhenUsed/>
    <w:rsid w:val="008F0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26"/>
    <w:rPr>
      <w:rFonts w:ascii="Segoe UI" w:hAnsi="Segoe UI" w:cs="Segoe UI"/>
      <w:color w:val="003572"/>
      <w:sz w:val="18"/>
      <w:szCs w:val="18"/>
    </w:rPr>
  </w:style>
  <w:style w:type="paragraph" w:styleId="FootnoteText">
    <w:name w:val="footnote text"/>
    <w:basedOn w:val="Normal"/>
    <w:link w:val="FootnoteTextChar"/>
    <w:uiPriority w:val="99"/>
    <w:semiHidden/>
    <w:unhideWhenUsed/>
    <w:rsid w:val="005F334C"/>
    <w:rPr>
      <w:sz w:val="20"/>
      <w:szCs w:val="20"/>
    </w:rPr>
  </w:style>
  <w:style w:type="character" w:customStyle="1" w:styleId="FootnoteTextChar">
    <w:name w:val="Footnote Text Char"/>
    <w:basedOn w:val="DefaultParagraphFont"/>
    <w:link w:val="FootnoteText"/>
    <w:uiPriority w:val="99"/>
    <w:semiHidden/>
    <w:rsid w:val="005F334C"/>
    <w:rPr>
      <w:rFonts w:ascii="Verdana" w:hAnsi="Verdana" w:cs="Times New Roman"/>
      <w:color w:val="003572"/>
      <w:sz w:val="20"/>
      <w:szCs w:val="20"/>
    </w:rPr>
  </w:style>
  <w:style w:type="character" w:styleId="FootnoteReference">
    <w:name w:val="footnote reference"/>
    <w:basedOn w:val="DefaultParagraphFont"/>
    <w:uiPriority w:val="99"/>
    <w:semiHidden/>
    <w:unhideWhenUsed/>
    <w:rsid w:val="005F334C"/>
    <w:rPr>
      <w:vertAlign w:val="superscript"/>
    </w:rPr>
  </w:style>
  <w:style w:type="table" w:styleId="TableGrid">
    <w:name w:val="Table Grid"/>
    <w:basedOn w:val="TableNormal"/>
    <w:uiPriority w:val="59"/>
    <w:rsid w:val="00AE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90D"/>
    <w:pPr>
      <w:tabs>
        <w:tab w:val="center" w:pos="4680"/>
        <w:tab w:val="right" w:pos="9360"/>
      </w:tabs>
    </w:pPr>
  </w:style>
  <w:style w:type="character" w:customStyle="1" w:styleId="HeaderChar">
    <w:name w:val="Header Char"/>
    <w:basedOn w:val="DefaultParagraphFont"/>
    <w:link w:val="Header"/>
    <w:uiPriority w:val="99"/>
    <w:rsid w:val="001A490D"/>
    <w:rPr>
      <w:rFonts w:ascii="Verdana" w:hAnsi="Verdana" w:cs="Times New Roman"/>
      <w:color w:val="003572"/>
      <w:sz w:val="24"/>
      <w:szCs w:val="24"/>
    </w:rPr>
  </w:style>
  <w:style w:type="paragraph" w:styleId="Footer">
    <w:name w:val="footer"/>
    <w:basedOn w:val="Normal"/>
    <w:link w:val="FooterChar"/>
    <w:uiPriority w:val="99"/>
    <w:unhideWhenUsed/>
    <w:rsid w:val="001A490D"/>
    <w:pPr>
      <w:tabs>
        <w:tab w:val="center" w:pos="4680"/>
        <w:tab w:val="right" w:pos="9360"/>
      </w:tabs>
    </w:pPr>
  </w:style>
  <w:style w:type="character" w:customStyle="1" w:styleId="FooterChar">
    <w:name w:val="Footer Char"/>
    <w:basedOn w:val="DefaultParagraphFont"/>
    <w:link w:val="Footer"/>
    <w:uiPriority w:val="99"/>
    <w:rsid w:val="001A490D"/>
    <w:rPr>
      <w:rFonts w:ascii="Verdana" w:hAnsi="Verdana" w:cs="Times New Roman"/>
      <w:color w:val="003572"/>
      <w:sz w:val="24"/>
      <w:szCs w:val="24"/>
    </w:rPr>
  </w:style>
  <w:style w:type="character" w:customStyle="1" w:styleId="Heading1Char">
    <w:name w:val="Heading 1 Char"/>
    <w:basedOn w:val="DefaultParagraphFont"/>
    <w:link w:val="Heading1"/>
    <w:uiPriority w:val="9"/>
    <w:rsid w:val="008835B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Heading2 Char1"/>
    <w:basedOn w:val="DefaultParagraphFont"/>
    <w:link w:val="Heading2"/>
    <w:semiHidden/>
    <w:rsid w:val="008835B2"/>
    <w:rPr>
      <w:rFonts w:asciiTheme="majorHAnsi" w:eastAsiaTheme="majorEastAsia" w:hAnsiTheme="majorHAnsi" w:cstheme="majorBidi"/>
      <w:color w:val="5B9BD5" w:themeColor="accent1"/>
      <w:sz w:val="26"/>
      <w:szCs w:val="26"/>
    </w:rPr>
  </w:style>
  <w:style w:type="character" w:customStyle="1" w:styleId="Heading3Char">
    <w:name w:val="Heading 3 Char"/>
    <w:basedOn w:val="DefaultParagraphFont"/>
    <w:link w:val="Heading3"/>
    <w:semiHidden/>
    <w:rsid w:val="008835B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semiHidden/>
    <w:rsid w:val="008835B2"/>
    <w:rPr>
      <w:rFonts w:ascii="Arial" w:eastAsia="Times New Roman" w:hAnsi="Arial" w:cs="Arial"/>
      <w:b/>
      <w:bCs/>
      <w:sz w:val="20"/>
      <w:szCs w:val="20"/>
      <w:lang w:eastAsia="ar-SA"/>
    </w:rPr>
  </w:style>
  <w:style w:type="character" w:customStyle="1" w:styleId="Heading6Char">
    <w:name w:val="Heading 6 Char"/>
    <w:basedOn w:val="DefaultParagraphFont"/>
    <w:link w:val="Heading6"/>
    <w:semiHidden/>
    <w:rsid w:val="008835B2"/>
    <w:rPr>
      <w:rFonts w:ascii="Calibri" w:eastAsia="Times New Roman" w:hAnsi="Calibri" w:cs="Times New Roman"/>
      <w:lang w:eastAsia="ar-SA"/>
    </w:rPr>
  </w:style>
  <w:style w:type="character" w:customStyle="1" w:styleId="Heading7Char">
    <w:name w:val="Heading 7 Char"/>
    <w:basedOn w:val="DefaultParagraphFont"/>
    <w:link w:val="Heading7"/>
    <w:semiHidden/>
    <w:rsid w:val="008835B2"/>
    <w:rPr>
      <w:rFonts w:ascii="Arial" w:eastAsia="Arial" w:hAnsi="Arial" w:cs="Times New Roman"/>
      <w:caps/>
      <w:color w:val="449BB5"/>
      <w:spacing w:val="10"/>
      <w:lang w:bidi="en-US"/>
    </w:rPr>
  </w:style>
  <w:style w:type="character" w:customStyle="1" w:styleId="Heading8Char">
    <w:name w:val="Heading 8 Char"/>
    <w:basedOn w:val="DefaultParagraphFont"/>
    <w:link w:val="Heading8"/>
    <w:semiHidden/>
    <w:rsid w:val="008835B2"/>
    <w:rPr>
      <w:rFonts w:ascii="Arial" w:eastAsia="Arial" w:hAnsi="Arial" w:cs="Times New Roman"/>
      <w:caps/>
      <w:spacing w:val="10"/>
      <w:sz w:val="18"/>
      <w:szCs w:val="18"/>
      <w:lang w:bidi="en-US"/>
    </w:rPr>
  </w:style>
  <w:style w:type="character" w:customStyle="1" w:styleId="Heading9Char">
    <w:name w:val="Heading 9 Char"/>
    <w:basedOn w:val="DefaultParagraphFont"/>
    <w:link w:val="Heading9"/>
    <w:semiHidden/>
    <w:rsid w:val="008835B2"/>
    <w:rPr>
      <w:rFonts w:ascii="Arial" w:eastAsia="Arial" w:hAnsi="Arial" w:cs="Times New Roman"/>
      <w:i/>
      <w:caps/>
      <w:spacing w:val="10"/>
      <w:sz w:val="18"/>
      <w:szCs w:val="18"/>
      <w:lang w:bidi="en-US"/>
    </w:rPr>
  </w:style>
  <w:style w:type="paragraph" w:styleId="ListBullet">
    <w:name w:val="List Bullet"/>
    <w:basedOn w:val="Normal"/>
    <w:uiPriority w:val="99"/>
    <w:semiHidden/>
    <w:unhideWhenUsed/>
    <w:qFormat/>
    <w:rsid w:val="008835B2"/>
    <w:pPr>
      <w:numPr>
        <w:numId w:val="11"/>
      </w:numPr>
      <w:suppressAutoHyphens/>
      <w:spacing w:after="80" w:line="280" w:lineRule="atLeast"/>
    </w:pPr>
    <w:rPr>
      <w:rFonts w:ascii="Arial" w:eastAsia="Times New Roman" w:hAnsi="Arial"/>
      <w:color w:val="auto"/>
      <w:sz w:val="20"/>
      <w:szCs w:val="20"/>
      <w:lang w:eastAsia="ar-SA"/>
    </w:rPr>
  </w:style>
  <w:style w:type="character" w:customStyle="1" w:styleId="ListParagraphChar">
    <w:name w:val="List Paragraph Char"/>
    <w:basedOn w:val="DefaultParagraphFont"/>
    <w:link w:val="ListParagraph"/>
    <w:uiPriority w:val="34"/>
    <w:locked/>
    <w:rsid w:val="008835B2"/>
    <w:rPr>
      <w:rFonts w:ascii="Verdana" w:hAnsi="Verdana" w:cs="Times New Roman"/>
      <w:color w:val="003572"/>
      <w:sz w:val="24"/>
      <w:szCs w:val="24"/>
    </w:rPr>
  </w:style>
  <w:style w:type="character" w:customStyle="1" w:styleId="TableCaptionChar">
    <w:name w:val="Table Caption Char"/>
    <w:basedOn w:val="DefaultParagraphFont"/>
    <w:link w:val="TableCaption"/>
    <w:locked/>
    <w:rsid w:val="008835B2"/>
    <w:rPr>
      <w:rFonts w:ascii="Arial" w:hAnsi="Arial" w:cs="Arial"/>
      <w:b/>
      <w:szCs w:val="24"/>
      <w:lang w:eastAsia="ar-SA"/>
    </w:rPr>
  </w:style>
  <w:style w:type="paragraph" w:customStyle="1" w:styleId="TableCaption">
    <w:name w:val="Table Caption"/>
    <w:basedOn w:val="Normal"/>
    <w:link w:val="TableCaptionChar"/>
    <w:autoRedefine/>
    <w:qFormat/>
    <w:rsid w:val="008835B2"/>
    <w:pPr>
      <w:keepNext/>
      <w:suppressAutoHyphens/>
      <w:spacing w:line="280" w:lineRule="atLeast"/>
      <w:jc w:val="center"/>
    </w:pPr>
    <w:rPr>
      <w:rFonts w:ascii="Arial" w:hAnsi="Arial" w:cs="Arial"/>
      <w:b/>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2253">
      <w:bodyDiv w:val="1"/>
      <w:marLeft w:val="0"/>
      <w:marRight w:val="0"/>
      <w:marTop w:val="0"/>
      <w:marBottom w:val="0"/>
      <w:divBdr>
        <w:top w:val="none" w:sz="0" w:space="0" w:color="auto"/>
        <w:left w:val="none" w:sz="0" w:space="0" w:color="auto"/>
        <w:bottom w:val="none" w:sz="0" w:space="0" w:color="auto"/>
        <w:right w:val="none" w:sz="0" w:space="0" w:color="auto"/>
      </w:divBdr>
    </w:div>
    <w:div w:id="1297495213">
      <w:bodyDiv w:val="1"/>
      <w:marLeft w:val="0"/>
      <w:marRight w:val="0"/>
      <w:marTop w:val="0"/>
      <w:marBottom w:val="0"/>
      <w:divBdr>
        <w:top w:val="none" w:sz="0" w:space="0" w:color="auto"/>
        <w:left w:val="none" w:sz="0" w:space="0" w:color="auto"/>
        <w:bottom w:val="none" w:sz="0" w:space="0" w:color="auto"/>
        <w:right w:val="none" w:sz="0" w:space="0" w:color="auto"/>
      </w:divBdr>
    </w:div>
    <w:div w:id="1516383828">
      <w:bodyDiv w:val="1"/>
      <w:marLeft w:val="0"/>
      <w:marRight w:val="0"/>
      <w:marTop w:val="0"/>
      <w:marBottom w:val="0"/>
      <w:divBdr>
        <w:top w:val="none" w:sz="0" w:space="0" w:color="auto"/>
        <w:left w:val="none" w:sz="0" w:space="0" w:color="auto"/>
        <w:bottom w:val="none" w:sz="0" w:space="0" w:color="auto"/>
        <w:right w:val="none" w:sz="0" w:space="0" w:color="auto"/>
      </w:divBdr>
    </w:div>
    <w:div w:id="1601064839">
      <w:bodyDiv w:val="1"/>
      <w:marLeft w:val="0"/>
      <w:marRight w:val="0"/>
      <w:marTop w:val="0"/>
      <w:marBottom w:val="0"/>
      <w:divBdr>
        <w:top w:val="none" w:sz="0" w:space="0" w:color="auto"/>
        <w:left w:val="none" w:sz="0" w:space="0" w:color="auto"/>
        <w:bottom w:val="none" w:sz="0" w:space="0" w:color="auto"/>
        <w:right w:val="none" w:sz="0" w:space="0" w:color="auto"/>
      </w:divBdr>
    </w:div>
    <w:div w:id="21451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C92D-4B26-4E40-8DF6-8D621335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Ann</dc:creator>
  <cp:keywords/>
  <dc:description/>
  <cp:lastModifiedBy>Calfee, Worth</cp:lastModifiedBy>
  <cp:revision>2</cp:revision>
  <dcterms:created xsi:type="dcterms:W3CDTF">2018-09-11T16:41:00Z</dcterms:created>
  <dcterms:modified xsi:type="dcterms:W3CDTF">2018-09-11T16:41:00Z</dcterms:modified>
</cp:coreProperties>
</file>