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313" w:rsidRDefault="00333313" w:rsidP="00085824">
      <w:pPr>
        <w:pStyle w:val="BHNormal"/>
        <w:tabs>
          <w:tab w:val="left" w:pos="3330"/>
        </w:tabs>
        <w:spacing w:line="48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Supplemental </w:t>
      </w:r>
      <w:r w:rsidR="00085824">
        <w:rPr>
          <w:rFonts w:eastAsia="Times New Roman"/>
          <w:b/>
        </w:rPr>
        <w:t>Material</w:t>
      </w:r>
    </w:p>
    <w:p w:rsidR="00E81584" w:rsidRPr="004C6AB6" w:rsidRDefault="00E81584" w:rsidP="00E81584">
      <w:pPr>
        <w:pStyle w:val="BHNormal"/>
        <w:spacing w:line="480" w:lineRule="auto"/>
        <w:rPr>
          <w:b/>
        </w:rPr>
      </w:pPr>
      <w:r w:rsidRPr="004C6AB6">
        <w:rPr>
          <w:rFonts w:eastAsia="Times New Roman"/>
          <w:b/>
        </w:rPr>
        <w:t>Physiologic</w:t>
      </w:r>
      <w:r>
        <w:rPr>
          <w:rFonts w:eastAsia="Times New Roman"/>
          <w:b/>
        </w:rPr>
        <w:t>a</w:t>
      </w:r>
      <w:r w:rsidRPr="004C6AB6">
        <w:rPr>
          <w:rFonts w:eastAsia="Times New Roman"/>
          <w:b/>
        </w:rPr>
        <w:t xml:space="preserve">l responses to </w:t>
      </w:r>
      <w:r>
        <w:rPr>
          <w:rFonts w:eastAsia="Times New Roman"/>
          <w:b/>
        </w:rPr>
        <w:t xml:space="preserve">multiple </w:t>
      </w:r>
      <w:r w:rsidRPr="004C6AB6">
        <w:rPr>
          <w:rFonts w:eastAsia="Times New Roman"/>
          <w:b/>
        </w:rPr>
        <w:t>low</w:t>
      </w:r>
      <w:r>
        <w:rPr>
          <w:rFonts w:eastAsia="Times New Roman"/>
          <w:b/>
        </w:rPr>
        <w:t>-</w:t>
      </w:r>
      <w:r w:rsidRPr="004C6AB6">
        <w:rPr>
          <w:rFonts w:eastAsia="Times New Roman"/>
          <w:b/>
        </w:rPr>
        <w:t xml:space="preserve">doses of </w:t>
      </w:r>
      <w:r w:rsidRPr="004C6AB6">
        <w:rPr>
          <w:rFonts w:eastAsia="Times New Roman"/>
          <w:b/>
          <w:i/>
        </w:rPr>
        <w:t>Bacillus anthracis</w:t>
      </w:r>
      <w:r w:rsidRPr="004C6AB6">
        <w:rPr>
          <w:rFonts w:eastAsia="Times New Roman"/>
          <w:b/>
        </w:rPr>
        <w:t xml:space="preserve"> </w:t>
      </w:r>
      <w:r w:rsidRPr="004C6AB6">
        <w:rPr>
          <w:b/>
        </w:rPr>
        <w:t xml:space="preserve">spores </w:t>
      </w:r>
      <w:r w:rsidRPr="004C6AB6">
        <w:rPr>
          <w:rFonts w:eastAsia="Times New Roman"/>
          <w:b/>
        </w:rPr>
        <w:t>in the rabbit model of inhalation anthrax</w:t>
      </w:r>
      <w:r>
        <w:rPr>
          <w:rFonts w:eastAsia="Times New Roman"/>
          <w:b/>
        </w:rPr>
        <w:t xml:space="preserve"> </w:t>
      </w:r>
    </w:p>
    <w:p w:rsidR="00E81584" w:rsidRPr="00323500" w:rsidRDefault="00E81584" w:rsidP="00E81584">
      <w:pPr>
        <w:pStyle w:val="BHNormal"/>
        <w:spacing w:line="480" w:lineRule="auto"/>
        <w:rPr>
          <w:sz w:val="24"/>
        </w:rPr>
      </w:pPr>
      <w:r w:rsidRPr="00323500">
        <w:rPr>
          <w:sz w:val="24"/>
        </w:rPr>
        <w:t>Sarah C. Taft</w:t>
      </w:r>
      <w:r w:rsidRPr="00323500">
        <w:rPr>
          <w:sz w:val="24"/>
          <w:vertAlign w:val="superscript"/>
        </w:rPr>
        <w:t>1#</w:t>
      </w:r>
      <w:r w:rsidRPr="00323500">
        <w:rPr>
          <w:sz w:val="24"/>
        </w:rPr>
        <w:t>, Tonya L. Nichols</w:t>
      </w:r>
      <w:r w:rsidRPr="00323500">
        <w:rPr>
          <w:sz w:val="24"/>
          <w:vertAlign w:val="superscript"/>
        </w:rPr>
        <w:t>1</w:t>
      </w:r>
      <w:r w:rsidRPr="00323500">
        <w:rPr>
          <w:sz w:val="24"/>
        </w:rPr>
        <w:t>, Stephanie A. Hines</w:t>
      </w:r>
      <w:r w:rsidRPr="00323500">
        <w:rPr>
          <w:sz w:val="24"/>
          <w:vertAlign w:val="superscript"/>
        </w:rPr>
        <w:t>2</w:t>
      </w:r>
      <w:r w:rsidRPr="00323500">
        <w:rPr>
          <w:sz w:val="24"/>
        </w:rPr>
        <w:t>, Roy E. Barnewall</w:t>
      </w:r>
      <w:r w:rsidRPr="00323500">
        <w:rPr>
          <w:sz w:val="24"/>
          <w:vertAlign w:val="superscript"/>
        </w:rPr>
        <w:t>2</w:t>
      </w:r>
      <w:r w:rsidRPr="00323500">
        <w:rPr>
          <w:sz w:val="24"/>
        </w:rPr>
        <w:t>, Gregory V. Stark</w:t>
      </w:r>
      <w:r w:rsidRPr="00323500">
        <w:rPr>
          <w:sz w:val="24"/>
          <w:vertAlign w:val="superscript"/>
        </w:rPr>
        <w:t>2</w:t>
      </w:r>
      <w:r w:rsidRPr="00323500">
        <w:rPr>
          <w:sz w:val="24"/>
        </w:rPr>
        <w:t>, Jason E. Comer</w:t>
      </w:r>
      <w:r w:rsidRPr="00323500">
        <w:rPr>
          <w:sz w:val="24"/>
          <w:vertAlign w:val="superscript"/>
        </w:rPr>
        <w:t>3,4,5</w:t>
      </w:r>
    </w:p>
    <w:p w:rsidR="00E81584" w:rsidRPr="00323500" w:rsidRDefault="00E81584" w:rsidP="00E81584">
      <w:pPr>
        <w:pStyle w:val="BHNormal"/>
        <w:spacing w:line="480" w:lineRule="auto"/>
        <w:rPr>
          <w:i/>
          <w:sz w:val="24"/>
        </w:rPr>
      </w:pPr>
      <w:r w:rsidRPr="00323500">
        <w:rPr>
          <w:i/>
          <w:sz w:val="24"/>
          <w:vertAlign w:val="superscript"/>
        </w:rPr>
        <w:t>1</w:t>
      </w:r>
      <w:r w:rsidRPr="00323500">
        <w:rPr>
          <w:i/>
          <w:sz w:val="24"/>
        </w:rPr>
        <w:t xml:space="preserve">U.S. Environmental Protection Agency. National Homeland Security Research Center, Cincinnati, OH. </w:t>
      </w:r>
    </w:p>
    <w:p w:rsidR="00E81584" w:rsidRPr="00323500" w:rsidRDefault="00E81584" w:rsidP="00E81584">
      <w:pPr>
        <w:pStyle w:val="BHNormal"/>
        <w:spacing w:line="480" w:lineRule="auto"/>
        <w:rPr>
          <w:i/>
          <w:sz w:val="24"/>
        </w:rPr>
      </w:pPr>
      <w:r w:rsidRPr="00323500">
        <w:rPr>
          <w:i/>
          <w:sz w:val="24"/>
          <w:vertAlign w:val="superscript"/>
        </w:rPr>
        <w:t>2</w:t>
      </w:r>
      <w:r w:rsidRPr="00323500">
        <w:rPr>
          <w:i/>
          <w:sz w:val="24"/>
        </w:rPr>
        <w:t>Battelle Memorial Institute, Columbus, OH.</w:t>
      </w:r>
    </w:p>
    <w:p w:rsidR="00E81584" w:rsidRPr="00323500" w:rsidRDefault="00E81584" w:rsidP="00E81584">
      <w:pPr>
        <w:rPr>
          <w:i/>
          <w:sz w:val="24"/>
        </w:rPr>
      </w:pPr>
      <w:r w:rsidRPr="00323500">
        <w:rPr>
          <w:i/>
          <w:sz w:val="24"/>
          <w:vertAlign w:val="superscript"/>
        </w:rPr>
        <w:t>3</w:t>
      </w:r>
      <w:r w:rsidRPr="00323500">
        <w:rPr>
          <w:i/>
          <w:sz w:val="24"/>
        </w:rPr>
        <w:t>Institutional Office of Regulated Nonclinical Studies, University of Texas Medical Branch at Galveston, Galveston, TX.</w:t>
      </w:r>
    </w:p>
    <w:p w:rsidR="00E81584" w:rsidRPr="00323500" w:rsidRDefault="00E81584" w:rsidP="00E81584">
      <w:pPr>
        <w:rPr>
          <w:i/>
          <w:sz w:val="24"/>
        </w:rPr>
      </w:pPr>
      <w:r w:rsidRPr="00323500">
        <w:rPr>
          <w:i/>
          <w:sz w:val="24"/>
          <w:vertAlign w:val="superscript"/>
        </w:rPr>
        <w:t>4</w:t>
      </w:r>
      <w:r w:rsidRPr="00323500">
        <w:rPr>
          <w:i/>
          <w:sz w:val="24"/>
        </w:rPr>
        <w:t>Department of Microbiology and Immunology, University of Texas Medical Branch at Galveston, Galveston, TX.</w:t>
      </w:r>
    </w:p>
    <w:p w:rsidR="00E81584" w:rsidRPr="00323500" w:rsidRDefault="00E81584" w:rsidP="00E81584">
      <w:pPr>
        <w:rPr>
          <w:i/>
          <w:sz w:val="24"/>
        </w:rPr>
      </w:pPr>
      <w:r w:rsidRPr="00323500">
        <w:rPr>
          <w:i/>
          <w:sz w:val="24"/>
          <w:vertAlign w:val="superscript"/>
        </w:rPr>
        <w:t>5</w:t>
      </w:r>
      <w:r w:rsidRPr="00323500">
        <w:rPr>
          <w:i/>
          <w:sz w:val="24"/>
        </w:rPr>
        <w:t>Sealy Center for Vaccine Development, University of Texas Medical Branch at Galveston, Galveston, TX.</w:t>
      </w:r>
    </w:p>
    <w:p w:rsidR="00E81584" w:rsidRPr="00323500" w:rsidRDefault="00E81584" w:rsidP="00E81584">
      <w:pPr>
        <w:pStyle w:val="BHNormal"/>
        <w:spacing w:line="480" w:lineRule="auto"/>
        <w:rPr>
          <w:sz w:val="24"/>
        </w:rPr>
      </w:pPr>
      <w:r w:rsidRPr="00323500">
        <w:rPr>
          <w:sz w:val="24"/>
          <w:vertAlign w:val="superscript"/>
        </w:rPr>
        <w:t>#</w:t>
      </w:r>
      <w:r w:rsidRPr="00323500">
        <w:rPr>
          <w:sz w:val="24"/>
        </w:rPr>
        <w:t xml:space="preserve"> Corresponding author. Mailing address: 26 West Martin Luther King Drive,</w:t>
      </w:r>
      <w:r w:rsidR="00CD6FA9">
        <w:rPr>
          <w:sz w:val="24"/>
        </w:rPr>
        <w:t xml:space="preserve"> Cincinnati, OH </w:t>
      </w:r>
      <w:r w:rsidRPr="00323500">
        <w:rPr>
          <w:sz w:val="24"/>
        </w:rPr>
        <w:t xml:space="preserve">45268. </w:t>
      </w:r>
    </w:p>
    <w:p w:rsidR="00E81584" w:rsidRPr="00323500" w:rsidRDefault="00E81584" w:rsidP="00E81584">
      <w:pPr>
        <w:pStyle w:val="BHNormal"/>
        <w:spacing w:line="480" w:lineRule="auto"/>
        <w:rPr>
          <w:sz w:val="24"/>
        </w:rPr>
      </w:pPr>
      <w:r w:rsidRPr="00323500">
        <w:rPr>
          <w:sz w:val="24"/>
        </w:rPr>
        <w:t xml:space="preserve">Phone: 513-569-7037. Fax: 513-487-2555. E-mail: </w:t>
      </w:r>
      <w:hyperlink r:id="rId7" w:history="1">
        <w:r w:rsidRPr="00323500">
          <w:rPr>
            <w:rStyle w:val="Hyperlink"/>
            <w:sz w:val="24"/>
          </w:rPr>
          <w:t>Taft.Sarah@epa.gov</w:t>
        </w:r>
      </w:hyperlink>
      <w:r w:rsidRPr="00323500">
        <w:rPr>
          <w:sz w:val="24"/>
        </w:rPr>
        <w:t xml:space="preserve"> </w:t>
      </w:r>
    </w:p>
    <w:p w:rsidR="00E81584" w:rsidRPr="00323500" w:rsidRDefault="00E81584" w:rsidP="00E81584">
      <w:pPr>
        <w:pStyle w:val="BHNormal"/>
        <w:spacing w:line="480" w:lineRule="auto"/>
        <w:rPr>
          <w:sz w:val="24"/>
        </w:rPr>
      </w:pPr>
    </w:p>
    <w:p w:rsidR="00E81584" w:rsidRPr="00323500" w:rsidRDefault="00E81584" w:rsidP="00E81584">
      <w:pPr>
        <w:pStyle w:val="BHNormal"/>
        <w:spacing w:line="480" w:lineRule="auto"/>
        <w:rPr>
          <w:sz w:val="24"/>
        </w:rPr>
      </w:pPr>
      <w:r w:rsidRPr="00323500">
        <w:rPr>
          <w:sz w:val="24"/>
        </w:rPr>
        <w:t>Keywords:</w:t>
      </w:r>
      <w:r w:rsidRPr="00323500">
        <w:rPr>
          <w:i/>
          <w:sz w:val="24"/>
        </w:rPr>
        <w:t xml:space="preserve"> Bacillus anthracis, </w:t>
      </w:r>
      <w:r w:rsidRPr="00323500">
        <w:rPr>
          <w:sz w:val="24"/>
        </w:rPr>
        <w:t>anthrax</w:t>
      </w:r>
      <w:r w:rsidRPr="00323500">
        <w:rPr>
          <w:i/>
          <w:sz w:val="24"/>
        </w:rPr>
        <w:t xml:space="preserve">, </w:t>
      </w:r>
      <w:r w:rsidRPr="00323500">
        <w:rPr>
          <w:sz w:val="24"/>
        </w:rPr>
        <w:t xml:space="preserve">low-dose, multiple dose, dose-response, physiological response, pathology </w:t>
      </w:r>
    </w:p>
    <w:p w:rsidR="00E81584" w:rsidRDefault="00E81584">
      <w:pPr>
        <w:spacing w:line="240" w:lineRule="auto"/>
        <w:rPr>
          <w:rFonts w:eastAsia="Times New Roman"/>
          <w:b/>
          <w:bCs/>
          <w:sz w:val="24"/>
        </w:rPr>
      </w:pPr>
      <w:r>
        <w:rPr>
          <w:bCs/>
        </w:rPr>
        <w:br w:type="page"/>
      </w:r>
    </w:p>
    <w:p w:rsidR="00223C9B" w:rsidRDefault="00223C9B" w:rsidP="00223C9B">
      <w:pPr>
        <w:pStyle w:val="BRCTABLE"/>
        <w:spacing w:after="80" w:line="480" w:lineRule="auto"/>
        <w:rPr>
          <w:b w:val="0"/>
          <w:sz w:val="20"/>
          <w:szCs w:val="20"/>
        </w:rPr>
      </w:pPr>
      <w:r w:rsidRPr="007D4BCB">
        <w:rPr>
          <w:bCs/>
        </w:rPr>
        <w:lastRenderedPageBreak/>
        <w:t xml:space="preserve">Table </w:t>
      </w:r>
      <w:r>
        <w:rPr>
          <w:bCs/>
        </w:rPr>
        <w:t>S1</w:t>
      </w:r>
      <w:r w:rsidRPr="007D4BCB">
        <w:rPr>
          <w:bCs/>
        </w:rPr>
        <w:t>.</w:t>
      </w:r>
      <w:r>
        <w:rPr>
          <w:bCs/>
        </w:rPr>
        <w:t xml:space="preserve"> </w:t>
      </w:r>
      <w:r w:rsidRPr="00FB6199">
        <w:rPr>
          <w:bCs/>
        </w:rPr>
        <w:t xml:space="preserve">Summary </w:t>
      </w:r>
      <w:r w:rsidR="00CD6FA9">
        <w:rPr>
          <w:bCs/>
        </w:rPr>
        <w:t>table for s</w:t>
      </w:r>
      <w:r>
        <w:rPr>
          <w:bCs/>
        </w:rPr>
        <w:t xml:space="preserve">ingle and </w:t>
      </w:r>
      <w:r w:rsidR="00CD6FA9">
        <w:rPr>
          <w:bCs/>
        </w:rPr>
        <w:t>multiple dose study d</w:t>
      </w:r>
      <w:r>
        <w:rPr>
          <w:bCs/>
        </w:rPr>
        <w:t>ata</w:t>
      </w:r>
    </w:p>
    <w:p w:rsidR="00223C9B" w:rsidRPr="006C1D2F" w:rsidRDefault="00223C9B" w:rsidP="00223C9B">
      <w:pPr>
        <w:spacing w:line="240" w:lineRule="auto"/>
        <w:rPr>
          <w:b/>
          <w:sz w:val="20"/>
          <w:szCs w:val="20"/>
        </w:rPr>
      </w:pPr>
      <w:r w:rsidRPr="006C1D2F">
        <w:rPr>
          <w:b/>
          <w:sz w:val="20"/>
          <w:szCs w:val="20"/>
        </w:rPr>
        <w:t xml:space="preserve">Single Dose </w:t>
      </w:r>
      <w:r w:rsidR="00DD509F">
        <w:rPr>
          <w:b/>
          <w:sz w:val="20"/>
          <w:szCs w:val="20"/>
        </w:rPr>
        <w:fldChar w:fldCharType="begin"/>
      </w:r>
      <w:r w:rsidR="00DD509F">
        <w:rPr>
          <w:b/>
          <w:sz w:val="20"/>
          <w:szCs w:val="20"/>
        </w:rPr>
        <w:instrText xml:space="preserve"> ADDIN EN.CITE &lt;EndNote&gt;&lt;Cite&gt;&lt;Author&gt;Taft&lt;/Author&gt;&lt;Year&gt;2017&lt;/Year&gt;&lt;RecNum&gt;2983&lt;/RecNum&gt;&lt;DisplayText&gt;(1)&lt;/DisplayText&gt;&lt;record&gt;&lt;rec-number&gt;2983&lt;/rec-number&gt;&lt;foreign-keys&gt;&lt;key app="EN" db-id="wfe5e0d5dd2dzlev2thpprtuwfsss5p59r9x"&gt;2983&lt;/key&gt;&lt;/foreign-keys&gt;&lt;ref-type name="Journal Article"&gt;17&lt;/ref-type&gt;&lt;contributors&gt;&lt;authors&gt;&lt;author&gt;Taft, Sarah C.,&lt;/author&gt;&lt;author&gt;Nichols, Tonya L.,&lt;/author&gt;&lt;author&gt;Hines, Stephanie A.,&lt;/author&gt;&lt;author&gt;Barnewall, Roy E.,&lt;/author&gt;&lt;author&gt;Stark, Gregory V.,&lt;/author&gt;&lt;author&gt;Comer, Jason E.,&lt;/author&gt;&lt;/authors&gt;&lt;/contributors&gt;&lt;titles&gt;&lt;title&gt;&lt;style face="normal" font="default" size="100%"&gt;Physiological responses to a single low-dose of&lt;/style&gt;&lt;style face="italic" font="default" size="100%"&gt; Bacillus anthracis&lt;/style&gt;&lt;style face="normal" font="default" size="100%"&gt; spores in the rabbit model of inhalational anthrax&lt;/style&gt;&lt;/title&gt;&lt;secondary-title&gt;Submitted to Infection and Immunity as First Article of Two Companion Articles&lt;/secondary-title&gt;&lt;/titles&gt;&lt;periodical&gt;&lt;full-title&gt;Submitted to Infection and Immunity as First Article of Two Companion Articles&lt;/full-title&gt;&lt;/periodical&gt;&lt;dates&gt;&lt;year&gt;2017&lt;/year&gt;&lt;/dates&gt;&lt;urls&gt;&lt;/urls&gt;&lt;/record&gt;&lt;/Cite&gt;&lt;/EndNote&gt;</w:instrText>
      </w:r>
      <w:r w:rsidR="00DD509F">
        <w:rPr>
          <w:b/>
          <w:sz w:val="20"/>
          <w:szCs w:val="20"/>
        </w:rPr>
        <w:fldChar w:fldCharType="separate"/>
      </w:r>
      <w:r w:rsidR="00DD509F">
        <w:rPr>
          <w:b/>
          <w:noProof/>
          <w:sz w:val="20"/>
          <w:szCs w:val="20"/>
        </w:rPr>
        <w:t>(</w:t>
      </w:r>
      <w:hyperlink w:anchor="_ENREF_1" w:tooltip="Taft, 2017 #2983" w:history="1">
        <w:r w:rsidR="00182D56">
          <w:rPr>
            <w:b/>
            <w:noProof/>
            <w:sz w:val="20"/>
            <w:szCs w:val="20"/>
          </w:rPr>
          <w:t>1</w:t>
        </w:r>
      </w:hyperlink>
      <w:r w:rsidR="00DD509F">
        <w:rPr>
          <w:b/>
          <w:noProof/>
          <w:sz w:val="20"/>
          <w:szCs w:val="20"/>
        </w:rPr>
        <w:t>)</w:t>
      </w:r>
      <w:r w:rsidR="00DD509F">
        <w:rPr>
          <w:b/>
          <w:sz w:val="20"/>
          <w:szCs w:val="20"/>
        </w:rPr>
        <w:fldChar w:fldCharType="end"/>
      </w:r>
      <w:r w:rsidRPr="006C1D2F">
        <w:rPr>
          <w:b/>
          <w:sz w:val="20"/>
          <w:szCs w:val="20"/>
        </w:rPr>
        <w:tab/>
      </w:r>
      <w:r w:rsidRPr="006C1D2F">
        <w:rPr>
          <w:b/>
          <w:sz w:val="20"/>
          <w:szCs w:val="20"/>
        </w:rPr>
        <w:tab/>
      </w:r>
      <w:r w:rsidRPr="006C1D2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C1D2F">
        <w:rPr>
          <w:b/>
          <w:sz w:val="20"/>
          <w:szCs w:val="20"/>
        </w:rPr>
        <w:t>Multiple Dose</w:t>
      </w:r>
    </w:p>
    <w:tbl>
      <w:tblPr>
        <w:tblStyle w:val="LightShading1"/>
        <w:tblW w:w="8075" w:type="dxa"/>
        <w:tblLook w:val="04A0" w:firstRow="1" w:lastRow="0" w:firstColumn="1" w:lastColumn="0" w:noHBand="0" w:noVBand="1"/>
      </w:tblPr>
      <w:tblGrid>
        <w:gridCol w:w="1167"/>
        <w:gridCol w:w="1049"/>
        <w:gridCol w:w="1257"/>
        <w:gridCol w:w="939"/>
        <w:gridCol w:w="1257"/>
        <w:gridCol w:w="1236"/>
        <w:gridCol w:w="1170"/>
      </w:tblGrid>
      <w:tr w:rsidR="00223C9B" w:rsidRPr="006C1D2F" w:rsidTr="00AE6DC6">
        <w:trPr>
          <w:trHeight w:val="916"/>
        </w:trPr>
        <w:tc>
          <w:tcPr>
            <w:tcW w:w="99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23C9B" w:rsidRPr="006C1D2F" w:rsidRDefault="00223C9B" w:rsidP="00333313">
            <w:pPr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6C1D2F">
              <w:rPr>
                <w:b/>
                <w:sz w:val="18"/>
                <w:szCs w:val="18"/>
              </w:rPr>
              <w:t>Order of Magnitude Dose for Comparison</w:t>
            </w:r>
          </w:p>
        </w:tc>
        <w:tc>
          <w:tcPr>
            <w:tcW w:w="122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223C9B" w:rsidRDefault="00223C9B" w:rsidP="00333313">
            <w:pPr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6C1D2F">
              <w:rPr>
                <w:b/>
                <w:sz w:val="18"/>
                <w:szCs w:val="18"/>
              </w:rPr>
              <w:t xml:space="preserve">Mean Dose Group </w:t>
            </w:r>
            <w:r>
              <w:rPr>
                <w:b/>
                <w:sz w:val="18"/>
                <w:szCs w:val="18"/>
              </w:rPr>
              <w:t>Inhaled Dose (GSD</w:t>
            </w:r>
            <w:r w:rsidRPr="006C1D2F">
              <w:rPr>
                <w:b/>
                <w:sz w:val="18"/>
                <w:szCs w:val="18"/>
              </w:rPr>
              <w:t>)</w:t>
            </w:r>
          </w:p>
          <w:p w:rsidR="00AE6DC6" w:rsidRPr="006C1D2F" w:rsidRDefault="00AE6DC6" w:rsidP="00333313">
            <w:pPr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(Colony Forming Units (CFU))</w:t>
            </w:r>
            <w:bookmarkStart w:id="0" w:name="_GoBack"/>
            <w:bookmarkEnd w:id="0"/>
          </w:p>
        </w:tc>
        <w:tc>
          <w:tcPr>
            <w:tcW w:w="1257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noWrap/>
          </w:tcPr>
          <w:p w:rsidR="00223C9B" w:rsidRPr="006C1D2F" w:rsidRDefault="00223C9B" w:rsidP="00333313">
            <w:pPr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Rabbit Identification</w:t>
            </w:r>
          </w:p>
        </w:tc>
        <w:tc>
          <w:tcPr>
            <w:tcW w:w="93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3C9B" w:rsidRPr="006C1D2F" w:rsidRDefault="00223C9B" w:rsidP="00333313">
            <w:pPr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6C1D2F">
              <w:rPr>
                <w:b/>
                <w:sz w:val="18"/>
                <w:szCs w:val="18"/>
              </w:rPr>
              <w:t>Survival</w:t>
            </w:r>
            <w:r>
              <w:rPr>
                <w:b/>
                <w:sz w:val="18"/>
                <w:szCs w:val="18"/>
              </w:rPr>
              <w:t xml:space="preserve"> or Day of Death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23C9B" w:rsidRPr="006C1D2F" w:rsidRDefault="00223C9B" w:rsidP="00333313">
            <w:pPr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6C1D2F">
              <w:rPr>
                <w:b/>
                <w:sz w:val="18"/>
                <w:szCs w:val="18"/>
              </w:rPr>
              <w:t>Rabbit</w:t>
            </w:r>
          </w:p>
          <w:p w:rsidR="00223C9B" w:rsidRPr="006C1D2F" w:rsidRDefault="00223C9B" w:rsidP="00333313">
            <w:pPr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6C1D2F">
              <w:rPr>
                <w:b/>
                <w:sz w:val="18"/>
                <w:szCs w:val="18"/>
              </w:rPr>
              <w:t>Identification</w:t>
            </w:r>
          </w:p>
        </w:tc>
        <w:tc>
          <w:tcPr>
            <w:tcW w:w="123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223C9B" w:rsidRPr="006C1D2F" w:rsidRDefault="00333313" w:rsidP="00333313">
            <w:pPr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Individual Rabbit Accumulated</w:t>
            </w:r>
            <w:r w:rsidR="00223C9B" w:rsidRPr="006C1D2F">
              <w:rPr>
                <w:b/>
                <w:sz w:val="18"/>
                <w:szCs w:val="18"/>
              </w:rPr>
              <w:t xml:space="preserve"> Dose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auto"/>
            </w:tcBorders>
          </w:tcPr>
          <w:p w:rsidR="00223C9B" w:rsidRPr="006C1D2F" w:rsidRDefault="00223C9B" w:rsidP="00333313">
            <w:pPr>
              <w:spacing w:line="240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6C1D2F">
              <w:rPr>
                <w:b/>
                <w:sz w:val="18"/>
                <w:szCs w:val="18"/>
              </w:rPr>
              <w:t>Survival</w:t>
            </w:r>
            <w:r>
              <w:rPr>
                <w:b/>
                <w:sz w:val="18"/>
                <w:szCs w:val="18"/>
              </w:rPr>
              <w:t xml:space="preserve"> or </w:t>
            </w:r>
            <w:r w:rsidRPr="006C1D2F">
              <w:rPr>
                <w:b/>
                <w:sz w:val="18"/>
                <w:szCs w:val="18"/>
              </w:rPr>
              <w:t>Day of Death</w:t>
            </w:r>
            <w:r>
              <w:rPr>
                <w:b/>
                <w:sz w:val="18"/>
                <w:szCs w:val="18"/>
              </w:rPr>
              <w:t xml:space="preserve"> after First Dose</w:t>
            </w:r>
          </w:p>
        </w:tc>
      </w:tr>
      <w:tr w:rsidR="00223C9B" w:rsidRPr="006C1D2F" w:rsidTr="00AE6DC6">
        <w:trPr>
          <w:trHeight w:val="375"/>
        </w:trPr>
        <w:tc>
          <w:tcPr>
            <w:tcW w:w="990" w:type="dxa"/>
            <w:tcBorders>
              <w:right w:val="single" w:sz="8" w:space="0" w:color="000000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left w:val="nil"/>
              <w:right w:val="nil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2.06 x 10</w:t>
            </w:r>
            <w:r w:rsidRPr="006C1D2F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57" w:type="dxa"/>
            <w:tcBorders>
              <w:left w:val="nil"/>
              <w:right w:val="nil"/>
            </w:tcBorders>
            <w:noWrap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L23217</w:t>
            </w:r>
          </w:p>
        </w:tc>
        <w:tc>
          <w:tcPr>
            <w:tcW w:w="939" w:type="dxa"/>
            <w:tcBorders>
              <w:left w:val="nil"/>
              <w:right w:val="single" w:sz="4" w:space="0" w:color="auto"/>
            </w:tcBorders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Survived</w:t>
            </w:r>
          </w:p>
        </w:tc>
        <w:tc>
          <w:tcPr>
            <w:tcW w:w="1257" w:type="dxa"/>
            <w:tcBorders>
              <w:left w:val="single" w:sz="4" w:space="0" w:color="auto"/>
              <w:right w:val="nil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13</w:t>
            </w:r>
          </w:p>
        </w:tc>
        <w:tc>
          <w:tcPr>
            <w:tcW w:w="1236" w:type="dxa"/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5.78 × 10</w:t>
            </w:r>
            <w:r w:rsidRPr="006C1D2F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70" w:type="dxa"/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Survived</w:t>
            </w:r>
          </w:p>
        </w:tc>
      </w:tr>
      <w:tr w:rsidR="00223C9B" w:rsidRPr="006C1D2F" w:rsidTr="00AE6DC6">
        <w:trPr>
          <w:trHeight w:val="375"/>
        </w:trPr>
        <w:tc>
          <w:tcPr>
            <w:tcW w:w="990" w:type="dxa"/>
            <w:tcBorders>
              <w:right w:val="single" w:sz="8" w:space="0" w:color="000000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left w:val="nil"/>
              <w:right w:val="nil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(3.42 x 10</w:t>
            </w:r>
            <w:r w:rsidRPr="006C1D2F">
              <w:rPr>
                <w:sz w:val="18"/>
                <w:szCs w:val="18"/>
                <w:vertAlign w:val="superscript"/>
              </w:rPr>
              <w:t>2</w:t>
            </w:r>
            <w:r w:rsidRPr="006C1D2F">
              <w:rPr>
                <w:sz w:val="18"/>
                <w:szCs w:val="18"/>
              </w:rPr>
              <w:t>)</w:t>
            </w:r>
          </w:p>
        </w:tc>
        <w:tc>
          <w:tcPr>
            <w:tcW w:w="1257" w:type="dxa"/>
            <w:tcBorders>
              <w:left w:val="nil"/>
              <w:right w:val="nil"/>
            </w:tcBorders>
            <w:noWrap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L23230</w:t>
            </w:r>
          </w:p>
        </w:tc>
        <w:tc>
          <w:tcPr>
            <w:tcW w:w="939" w:type="dxa"/>
            <w:tcBorders>
              <w:left w:val="nil"/>
              <w:right w:val="single" w:sz="4" w:space="0" w:color="auto"/>
            </w:tcBorders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Survived</w:t>
            </w:r>
          </w:p>
        </w:tc>
        <w:tc>
          <w:tcPr>
            <w:tcW w:w="1257" w:type="dxa"/>
            <w:tcBorders>
              <w:left w:val="single" w:sz="4" w:space="0" w:color="auto"/>
              <w:right w:val="nil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34</w:t>
            </w:r>
          </w:p>
        </w:tc>
        <w:tc>
          <w:tcPr>
            <w:tcW w:w="1236" w:type="dxa"/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4.76 × 10</w:t>
            </w:r>
            <w:r w:rsidRPr="006C1D2F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70" w:type="dxa"/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Survived</w:t>
            </w:r>
          </w:p>
        </w:tc>
      </w:tr>
      <w:tr w:rsidR="00223C9B" w:rsidRPr="006C1D2F" w:rsidTr="00AE6DC6">
        <w:trPr>
          <w:trHeight w:val="375"/>
        </w:trPr>
        <w:tc>
          <w:tcPr>
            <w:tcW w:w="990" w:type="dxa"/>
            <w:tcBorders>
              <w:right w:val="single" w:sz="8" w:space="0" w:color="000000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10</w:t>
            </w:r>
            <w:r w:rsidRPr="006C1D2F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26" w:type="dxa"/>
            <w:tcBorders>
              <w:left w:val="nil"/>
              <w:right w:val="nil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nil"/>
              <w:right w:val="nil"/>
            </w:tcBorders>
            <w:noWrap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L23228</w:t>
            </w:r>
          </w:p>
        </w:tc>
        <w:tc>
          <w:tcPr>
            <w:tcW w:w="939" w:type="dxa"/>
            <w:tcBorders>
              <w:left w:val="nil"/>
              <w:right w:val="single" w:sz="4" w:space="0" w:color="auto"/>
            </w:tcBorders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Survived</w:t>
            </w:r>
          </w:p>
        </w:tc>
        <w:tc>
          <w:tcPr>
            <w:tcW w:w="1257" w:type="dxa"/>
            <w:tcBorders>
              <w:left w:val="single" w:sz="4" w:space="0" w:color="auto"/>
              <w:right w:val="nil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25</w:t>
            </w:r>
          </w:p>
        </w:tc>
        <w:tc>
          <w:tcPr>
            <w:tcW w:w="1236" w:type="dxa"/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4.19 × 10</w:t>
            </w:r>
            <w:r w:rsidRPr="006C1D2F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70" w:type="dxa"/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Survived</w:t>
            </w:r>
          </w:p>
        </w:tc>
      </w:tr>
      <w:tr w:rsidR="00223C9B" w:rsidRPr="006C1D2F" w:rsidTr="00AE6DC6">
        <w:trPr>
          <w:trHeight w:val="375"/>
        </w:trPr>
        <w:tc>
          <w:tcPr>
            <w:tcW w:w="990" w:type="dxa"/>
            <w:tcBorders>
              <w:right w:val="single" w:sz="8" w:space="0" w:color="000000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left w:val="nil"/>
              <w:right w:val="nil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nil"/>
              <w:right w:val="nil"/>
            </w:tcBorders>
            <w:noWrap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L23227</w:t>
            </w:r>
          </w:p>
        </w:tc>
        <w:tc>
          <w:tcPr>
            <w:tcW w:w="939" w:type="dxa"/>
            <w:tcBorders>
              <w:left w:val="nil"/>
              <w:right w:val="single" w:sz="4" w:space="0" w:color="auto"/>
            </w:tcBorders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Survived</w:t>
            </w:r>
          </w:p>
        </w:tc>
        <w:tc>
          <w:tcPr>
            <w:tcW w:w="1257" w:type="dxa"/>
            <w:tcBorders>
              <w:left w:val="single" w:sz="4" w:space="0" w:color="auto"/>
              <w:right w:val="nil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15</w:t>
            </w:r>
          </w:p>
        </w:tc>
        <w:tc>
          <w:tcPr>
            <w:tcW w:w="1236" w:type="dxa"/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4.76 × 10</w:t>
            </w:r>
            <w:r w:rsidRPr="006C1D2F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70" w:type="dxa"/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Survived</w:t>
            </w:r>
          </w:p>
        </w:tc>
      </w:tr>
      <w:tr w:rsidR="00223C9B" w:rsidRPr="006C1D2F" w:rsidTr="00AE6DC6">
        <w:trPr>
          <w:trHeight w:val="375"/>
        </w:trPr>
        <w:tc>
          <w:tcPr>
            <w:tcW w:w="990" w:type="dxa"/>
            <w:tcBorders>
              <w:right w:val="single" w:sz="8" w:space="0" w:color="000000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left w:val="nil"/>
              <w:right w:val="nil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nil"/>
              <w:right w:val="nil"/>
            </w:tcBorders>
            <w:noWrap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L23229</w:t>
            </w:r>
          </w:p>
        </w:tc>
        <w:tc>
          <w:tcPr>
            <w:tcW w:w="939" w:type="dxa"/>
            <w:tcBorders>
              <w:left w:val="nil"/>
              <w:right w:val="single" w:sz="4" w:space="0" w:color="auto"/>
            </w:tcBorders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Survived</w:t>
            </w:r>
          </w:p>
        </w:tc>
        <w:tc>
          <w:tcPr>
            <w:tcW w:w="1257" w:type="dxa"/>
            <w:tcBorders>
              <w:left w:val="single" w:sz="4" w:space="0" w:color="auto"/>
              <w:right w:val="nil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30</w:t>
            </w:r>
          </w:p>
        </w:tc>
        <w:tc>
          <w:tcPr>
            <w:tcW w:w="1236" w:type="dxa"/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4.07 × 10</w:t>
            </w:r>
            <w:r w:rsidRPr="006C1D2F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70" w:type="dxa"/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Survived</w:t>
            </w:r>
          </w:p>
        </w:tc>
      </w:tr>
      <w:tr w:rsidR="00223C9B" w:rsidRPr="006C1D2F" w:rsidTr="00AE6DC6">
        <w:trPr>
          <w:trHeight w:val="375"/>
        </w:trPr>
        <w:tc>
          <w:tcPr>
            <w:tcW w:w="990" w:type="dxa"/>
            <w:tcBorders>
              <w:right w:val="single" w:sz="8" w:space="0" w:color="000000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left w:val="nil"/>
              <w:right w:val="nil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nil"/>
              <w:right w:val="nil"/>
            </w:tcBorders>
            <w:noWrap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nil"/>
              <w:right w:val="single" w:sz="4" w:space="0" w:color="auto"/>
            </w:tcBorders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nil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28</w:t>
            </w:r>
          </w:p>
        </w:tc>
        <w:tc>
          <w:tcPr>
            <w:tcW w:w="1236" w:type="dxa"/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3.51 × 10</w:t>
            </w:r>
            <w:r w:rsidRPr="006C1D2F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70" w:type="dxa"/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Survived</w:t>
            </w:r>
          </w:p>
        </w:tc>
      </w:tr>
      <w:tr w:rsidR="00223C9B" w:rsidRPr="006C1D2F" w:rsidTr="00AE6DC6">
        <w:trPr>
          <w:trHeight w:val="375"/>
        </w:trPr>
        <w:tc>
          <w:tcPr>
            <w:tcW w:w="990" w:type="dxa"/>
            <w:tcBorders>
              <w:bottom w:val="nil"/>
              <w:right w:val="single" w:sz="8" w:space="0" w:color="000000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left w:val="nil"/>
              <w:bottom w:val="nil"/>
              <w:right w:val="nil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nil"/>
              <w:bottom w:val="nil"/>
              <w:right w:val="nil"/>
            </w:tcBorders>
            <w:noWrap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nil"/>
              <w:bottom w:val="nil"/>
              <w:right w:val="single" w:sz="4" w:space="0" w:color="auto"/>
            </w:tcBorders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nil"/>
              <w:right w:val="nil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19</w:t>
            </w:r>
          </w:p>
        </w:tc>
        <w:tc>
          <w:tcPr>
            <w:tcW w:w="1236" w:type="dxa"/>
            <w:tcBorders>
              <w:bottom w:val="nil"/>
            </w:tcBorders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3.48 × 10</w:t>
            </w:r>
            <w:r w:rsidRPr="006C1D2F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70" w:type="dxa"/>
            <w:tcBorders>
              <w:bottom w:val="nil"/>
            </w:tcBorders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Survived</w:t>
            </w:r>
          </w:p>
        </w:tc>
      </w:tr>
      <w:tr w:rsidR="00223C9B" w:rsidRPr="006C1D2F" w:rsidTr="00AE6DC6">
        <w:trPr>
          <w:trHeight w:val="375"/>
        </w:trPr>
        <w:tc>
          <w:tcPr>
            <w:tcW w:w="990" w:type="dxa"/>
            <w:tcBorders>
              <w:top w:val="single" w:sz="4" w:space="0" w:color="auto"/>
              <w:right w:val="single" w:sz="8" w:space="0" w:color="000000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right w:val="nil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2.54 x 10</w:t>
            </w:r>
            <w:r w:rsidRPr="006C1D2F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L23235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11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14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1.11 × 10</w:t>
            </w:r>
            <w:r w:rsidRPr="006C1D2F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Survived</w:t>
            </w:r>
          </w:p>
        </w:tc>
      </w:tr>
      <w:tr w:rsidR="00223C9B" w:rsidRPr="006C1D2F" w:rsidTr="00AE6DC6">
        <w:trPr>
          <w:trHeight w:val="375"/>
        </w:trPr>
        <w:tc>
          <w:tcPr>
            <w:tcW w:w="990" w:type="dxa"/>
            <w:tcBorders>
              <w:right w:val="single" w:sz="8" w:space="0" w:color="000000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left w:val="nil"/>
              <w:right w:val="nil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(5.21 x 10</w:t>
            </w:r>
            <w:r w:rsidRPr="006C1D2F">
              <w:rPr>
                <w:sz w:val="18"/>
                <w:szCs w:val="18"/>
                <w:vertAlign w:val="superscript"/>
              </w:rPr>
              <w:t>3</w:t>
            </w:r>
            <w:r w:rsidRPr="006C1D2F">
              <w:rPr>
                <w:sz w:val="18"/>
                <w:szCs w:val="18"/>
              </w:rPr>
              <w:t>)</w:t>
            </w:r>
          </w:p>
        </w:tc>
        <w:tc>
          <w:tcPr>
            <w:tcW w:w="1257" w:type="dxa"/>
            <w:tcBorders>
              <w:left w:val="nil"/>
              <w:right w:val="nil"/>
            </w:tcBorders>
            <w:noWrap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L23205</w:t>
            </w:r>
          </w:p>
        </w:tc>
        <w:tc>
          <w:tcPr>
            <w:tcW w:w="939" w:type="dxa"/>
            <w:tcBorders>
              <w:left w:val="nil"/>
              <w:right w:val="single" w:sz="4" w:space="0" w:color="auto"/>
            </w:tcBorders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Survived</w:t>
            </w:r>
          </w:p>
        </w:tc>
        <w:tc>
          <w:tcPr>
            <w:tcW w:w="1257" w:type="dxa"/>
            <w:tcBorders>
              <w:left w:val="single" w:sz="4" w:space="0" w:color="auto"/>
              <w:right w:val="nil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11</w:t>
            </w:r>
          </w:p>
        </w:tc>
        <w:tc>
          <w:tcPr>
            <w:tcW w:w="1236" w:type="dxa"/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1.68 × 10</w:t>
            </w:r>
            <w:r w:rsidRPr="006C1D2F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70" w:type="dxa"/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Survived</w:t>
            </w:r>
          </w:p>
        </w:tc>
      </w:tr>
      <w:tr w:rsidR="00223C9B" w:rsidRPr="006C1D2F" w:rsidTr="00AE6DC6">
        <w:trPr>
          <w:trHeight w:val="375"/>
        </w:trPr>
        <w:tc>
          <w:tcPr>
            <w:tcW w:w="990" w:type="dxa"/>
            <w:tcBorders>
              <w:right w:val="single" w:sz="8" w:space="0" w:color="000000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left w:val="nil"/>
              <w:right w:val="nil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nil"/>
              <w:right w:val="nil"/>
            </w:tcBorders>
            <w:noWrap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L23225</w:t>
            </w:r>
          </w:p>
        </w:tc>
        <w:tc>
          <w:tcPr>
            <w:tcW w:w="939" w:type="dxa"/>
            <w:tcBorders>
              <w:left w:val="nil"/>
              <w:right w:val="single" w:sz="4" w:space="0" w:color="auto"/>
            </w:tcBorders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4</w:t>
            </w:r>
          </w:p>
        </w:tc>
        <w:tc>
          <w:tcPr>
            <w:tcW w:w="1257" w:type="dxa"/>
            <w:tcBorders>
              <w:left w:val="single" w:sz="4" w:space="0" w:color="auto"/>
              <w:right w:val="nil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2</w:t>
            </w:r>
          </w:p>
        </w:tc>
        <w:tc>
          <w:tcPr>
            <w:tcW w:w="1236" w:type="dxa"/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1.86 × 10</w:t>
            </w:r>
            <w:r w:rsidRPr="006C1D2F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70" w:type="dxa"/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17.9</w:t>
            </w:r>
          </w:p>
        </w:tc>
      </w:tr>
      <w:tr w:rsidR="00223C9B" w:rsidRPr="006C1D2F" w:rsidTr="00AE6DC6">
        <w:trPr>
          <w:trHeight w:val="375"/>
        </w:trPr>
        <w:tc>
          <w:tcPr>
            <w:tcW w:w="990" w:type="dxa"/>
            <w:tcBorders>
              <w:right w:val="single" w:sz="8" w:space="0" w:color="000000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left w:val="nil"/>
              <w:right w:val="nil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nil"/>
              <w:right w:val="nil"/>
            </w:tcBorders>
            <w:noWrap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L23231</w:t>
            </w:r>
          </w:p>
        </w:tc>
        <w:tc>
          <w:tcPr>
            <w:tcW w:w="939" w:type="dxa"/>
            <w:tcBorders>
              <w:left w:val="nil"/>
              <w:right w:val="single" w:sz="4" w:space="0" w:color="auto"/>
            </w:tcBorders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Survived</w:t>
            </w:r>
          </w:p>
        </w:tc>
        <w:tc>
          <w:tcPr>
            <w:tcW w:w="1257" w:type="dxa"/>
            <w:tcBorders>
              <w:left w:val="single" w:sz="4" w:space="0" w:color="auto"/>
              <w:right w:val="nil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8</w:t>
            </w:r>
          </w:p>
        </w:tc>
        <w:tc>
          <w:tcPr>
            <w:tcW w:w="1236" w:type="dxa"/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2.10 × 10</w:t>
            </w:r>
            <w:r w:rsidRPr="006C1D2F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70" w:type="dxa"/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Survived</w:t>
            </w:r>
          </w:p>
        </w:tc>
      </w:tr>
      <w:tr w:rsidR="00223C9B" w:rsidRPr="006C1D2F" w:rsidTr="00AE6DC6">
        <w:trPr>
          <w:trHeight w:val="375"/>
        </w:trPr>
        <w:tc>
          <w:tcPr>
            <w:tcW w:w="990" w:type="dxa"/>
            <w:tcBorders>
              <w:right w:val="single" w:sz="8" w:space="0" w:color="000000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10</w:t>
            </w:r>
            <w:r w:rsidRPr="006C1D2F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26" w:type="dxa"/>
            <w:tcBorders>
              <w:left w:val="nil"/>
              <w:right w:val="nil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nil"/>
              <w:right w:val="nil"/>
            </w:tcBorders>
            <w:noWrap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L23207</w:t>
            </w:r>
          </w:p>
        </w:tc>
        <w:tc>
          <w:tcPr>
            <w:tcW w:w="939" w:type="dxa"/>
            <w:tcBorders>
              <w:left w:val="nil"/>
              <w:right w:val="single" w:sz="4" w:space="0" w:color="auto"/>
            </w:tcBorders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Survived</w:t>
            </w:r>
          </w:p>
        </w:tc>
        <w:tc>
          <w:tcPr>
            <w:tcW w:w="1257" w:type="dxa"/>
            <w:tcBorders>
              <w:left w:val="single" w:sz="4" w:space="0" w:color="auto"/>
              <w:right w:val="nil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12</w:t>
            </w:r>
          </w:p>
        </w:tc>
        <w:tc>
          <w:tcPr>
            <w:tcW w:w="1236" w:type="dxa"/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1.95 × 10</w:t>
            </w:r>
            <w:r w:rsidRPr="006C1D2F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70" w:type="dxa"/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Survived</w:t>
            </w:r>
          </w:p>
        </w:tc>
      </w:tr>
      <w:tr w:rsidR="00223C9B" w:rsidRPr="006C1D2F" w:rsidTr="00AE6DC6">
        <w:trPr>
          <w:trHeight w:val="375"/>
        </w:trPr>
        <w:tc>
          <w:tcPr>
            <w:tcW w:w="990" w:type="dxa"/>
            <w:tcBorders>
              <w:right w:val="single" w:sz="8" w:space="0" w:color="000000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left w:val="nil"/>
              <w:right w:val="nil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nil"/>
              <w:right w:val="nil"/>
            </w:tcBorders>
            <w:noWrap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nil"/>
              <w:right w:val="single" w:sz="4" w:space="0" w:color="auto"/>
            </w:tcBorders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nil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18</w:t>
            </w:r>
          </w:p>
        </w:tc>
        <w:tc>
          <w:tcPr>
            <w:tcW w:w="1236" w:type="dxa"/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1.85 × 10</w:t>
            </w:r>
            <w:r w:rsidRPr="006C1D2F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70" w:type="dxa"/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Survived</w:t>
            </w:r>
          </w:p>
        </w:tc>
      </w:tr>
      <w:tr w:rsidR="00223C9B" w:rsidRPr="006C1D2F" w:rsidTr="00AE6DC6">
        <w:trPr>
          <w:trHeight w:val="375"/>
        </w:trPr>
        <w:tc>
          <w:tcPr>
            <w:tcW w:w="990" w:type="dxa"/>
            <w:tcBorders>
              <w:right w:val="single" w:sz="8" w:space="0" w:color="000000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left w:val="nil"/>
              <w:right w:val="nil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nil"/>
              <w:right w:val="nil"/>
            </w:tcBorders>
            <w:noWrap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nil"/>
              <w:right w:val="single" w:sz="4" w:space="0" w:color="auto"/>
            </w:tcBorders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nil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32</w:t>
            </w:r>
          </w:p>
        </w:tc>
        <w:tc>
          <w:tcPr>
            <w:tcW w:w="1236" w:type="dxa"/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2.83 × 10</w:t>
            </w:r>
            <w:r w:rsidRPr="006C1D2F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70" w:type="dxa"/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Survived</w:t>
            </w:r>
          </w:p>
        </w:tc>
      </w:tr>
      <w:tr w:rsidR="00223C9B" w:rsidRPr="006C1D2F" w:rsidTr="00AE6DC6">
        <w:trPr>
          <w:trHeight w:val="375"/>
        </w:trPr>
        <w:tc>
          <w:tcPr>
            <w:tcW w:w="990" w:type="dxa"/>
            <w:tcBorders>
              <w:right w:val="single" w:sz="8" w:space="0" w:color="000000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left w:val="nil"/>
              <w:right w:val="nil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nil"/>
              <w:right w:val="nil"/>
            </w:tcBorders>
            <w:noWrap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nil"/>
              <w:right w:val="single" w:sz="4" w:space="0" w:color="auto"/>
            </w:tcBorders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nil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6</w:t>
            </w:r>
          </w:p>
        </w:tc>
        <w:tc>
          <w:tcPr>
            <w:tcW w:w="1236" w:type="dxa"/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5.77 × 10</w:t>
            </w:r>
            <w:r w:rsidRPr="006C1D2F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70" w:type="dxa"/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10.9</w:t>
            </w:r>
          </w:p>
        </w:tc>
      </w:tr>
      <w:tr w:rsidR="00223C9B" w:rsidRPr="006C1D2F" w:rsidTr="00AE6DC6">
        <w:trPr>
          <w:trHeight w:val="375"/>
        </w:trPr>
        <w:tc>
          <w:tcPr>
            <w:tcW w:w="990" w:type="dxa"/>
            <w:tcBorders>
              <w:bottom w:val="nil"/>
              <w:right w:val="single" w:sz="8" w:space="0" w:color="000000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left w:val="nil"/>
              <w:bottom w:val="nil"/>
              <w:right w:val="nil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nil"/>
              <w:bottom w:val="nil"/>
              <w:right w:val="nil"/>
            </w:tcBorders>
            <w:noWrap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39" w:type="dxa"/>
            <w:tcBorders>
              <w:left w:val="nil"/>
              <w:bottom w:val="nil"/>
              <w:right w:val="single" w:sz="4" w:space="0" w:color="auto"/>
            </w:tcBorders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nil"/>
              <w:right w:val="nil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33</w:t>
            </w:r>
          </w:p>
        </w:tc>
        <w:tc>
          <w:tcPr>
            <w:tcW w:w="1236" w:type="dxa"/>
            <w:tcBorders>
              <w:bottom w:val="nil"/>
            </w:tcBorders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9.75 × 10</w:t>
            </w:r>
            <w:r w:rsidRPr="006C1D2F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70" w:type="dxa"/>
            <w:tcBorders>
              <w:bottom w:val="nil"/>
            </w:tcBorders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12.7</w:t>
            </w:r>
          </w:p>
        </w:tc>
      </w:tr>
      <w:tr w:rsidR="00223C9B" w:rsidRPr="006C1D2F" w:rsidTr="00AE6DC6">
        <w:trPr>
          <w:trHeight w:val="375"/>
        </w:trPr>
        <w:tc>
          <w:tcPr>
            <w:tcW w:w="990" w:type="dxa"/>
            <w:tcBorders>
              <w:top w:val="single" w:sz="4" w:space="0" w:color="auto"/>
              <w:right w:val="single" w:sz="8" w:space="0" w:color="000000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right w:val="nil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2.75 x 10</w:t>
            </w:r>
            <w:r w:rsidRPr="006C1D2F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L23201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27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1.51 × 10</w:t>
            </w:r>
            <w:r w:rsidRPr="006C1D2F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20.8</w:t>
            </w:r>
          </w:p>
        </w:tc>
      </w:tr>
      <w:tr w:rsidR="00223C9B" w:rsidRPr="006C1D2F" w:rsidTr="00AE6DC6">
        <w:trPr>
          <w:trHeight w:val="375"/>
        </w:trPr>
        <w:tc>
          <w:tcPr>
            <w:tcW w:w="990" w:type="dxa"/>
            <w:tcBorders>
              <w:right w:val="single" w:sz="8" w:space="0" w:color="000000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left w:val="nil"/>
              <w:right w:val="nil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(7.41 x 10</w:t>
            </w:r>
            <w:r w:rsidRPr="006C1D2F">
              <w:rPr>
                <w:sz w:val="18"/>
                <w:szCs w:val="18"/>
                <w:vertAlign w:val="superscript"/>
              </w:rPr>
              <w:t>4</w:t>
            </w:r>
            <w:r w:rsidRPr="006C1D2F">
              <w:rPr>
                <w:sz w:val="18"/>
                <w:szCs w:val="18"/>
              </w:rPr>
              <w:t>)</w:t>
            </w:r>
          </w:p>
        </w:tc>
        <w:tc>
          <w:tcPr>
            <w:tcW w:w="1257" w:type="dxa"/>
            <w:tcBorders>
              <w:left w:val="nil"/>
              <w:right w:val="nil"/>
            </w:tcBorders>
            <w:noWrap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L23234</w:t>
            </w:r>
          </w:p>
        </w:tc>
        <w:tc>
          <w:tcPr>
            <w:tcW w:w="939" w:type="dxa"/>
            <w:tcBorders>
              <w:left w:val="nil"/>
              <w:right w:val="single" w:sz="4" w:space="0" w:color="auto"/>
            </w:tcBorders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6</w:t>
            </w:r>
          </w:p>
        </w:tc>
        <w:tc>
          <w:tcPr>
            <w:tcW w:w="1257" w:type="dxa"/>
            <w:tcBorders>
              <w:left w:val="single" w:sz="4" w:space="0" w:color="auto"/>
              <w:right w:val="nil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31</w:t>
            </w:r>
          </w:p>
        </w:tc>
        <w:tc>
          <w:tcPr>
            <w:tcW w:w="1236" w:type="dxa"/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1.37 × 10</w:t>
            </w:r>
            <w:r w:rsidRPr="006C1D2F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170" w:type="dxa"/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14.7</w:t>
            </w:r>
          </w:p>
        </w:tc>
      </w:tr>
      <w:tr w:rsidR="00223C9B" w:rsidRPr="006C1D2F" w:rsidTr="00AE6DC6">
        <w:trPr>
          <w:trHeight w:val="375"/>
        </w:trPr>
        <w:tc>
          <w:tcPr>
            <w:tcW w:w="990" w:type="dxa"/>
            <w:tcBorders>
              <w:right w:val="single" w:sz="8" w:space="0" w:color="000000"/>
            </w:tcBorders>
          </w:tcPr>
          <w:p w:rsidR="00223C9B" w:rsidRPr="006C1D2F" w:rsidRDefault="00262D18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10</w:t>
            </w:r>
            <w:r w:rsidRPr="006C1D2F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226" w:type="dxa"/>
            <w:tcBorders>
              <w:left w:val="nil"/>
              <w:right w:val="nil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nil"/>
              <w:right w:val="nil"/>
            </w:tcBorders>
            <w:noWrap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L23212</w:t>
            </w:r>
          </w:p>
        </w:tc>
        <w:tc>
          <w:tcPr>
            <w:tcW w:w="939" w:type="dxa"/>
            <w:tcBorders>
              <w:left w:val="nil"/>
              <w:right w:val="single" w:sz="4" w:space="0" w:color="auto"/>
            </w:tcBorders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 xml:space="preserve">Survived </w:t>
            </w:r>
          </w:p>
        </w:tc>
        <w:tc>
          <w:tcPr>
            <w:tcW w:w="1257" w:type="dxa"/>
            <w:tcBorders>
              <w:left w:val="single" w:sz="4" w:space="0" w:color="auto"/>
              <w:right w:val="nil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39</w:t>
            </w:r>
          </w:p>
        </w:tc>
        <w:tc>
          <w:tcPr>
            <w:tcW w:w="1236" w:type="dxa"/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2.16 × 10</w:t>
            </w:r>
            <w:r w:rsidRPr="006C1D2F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170" w:type="dxa"/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Survived</w:t>
            </w:r>
          </w:p>
        </w:tc>
      </w:tr>
      <w:tr w:rsidR="00223C9B" w:rsidRPr="006C1D2F" w:rsidTr="00AE6DC6">
        <w:trPr>
          <w:trHeight w:val="375"/>
        </w:trPr>
        <w:tc>
          <w:tcPr>
            <w:tcW w:w="990" w:type="dxa"/>
            <w:tcBorders>
              <w:right w:val="single" w:sz="8" w:space="0" w:color="000000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left w:val="nil"/>
              <w:right w:val="nil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nil"/>
              <w:right w:val="nil"/>
            </w:tcBorders>
            <w:noWrap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L23200</w:t>
            </w:r>
          </w:p>
        </w:tc>
        <w:tc>
          <w:tcPr>
            <w:tcW w:w="939" w:type="dxa"/>
            <w:tcBorders>
              <w:left w:val="nil"/>
              <w:right w:val="single" w:sz="4" w:space="0" w:color="auto"/>
            </w:tcBorders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3</w:t>
            </w:r>
          </w:p>
        </w:tc>
        <w:tc>
          <w:tcPr>
            <w:tcW w:w="1257" w:type="dxa"/>
            <w:tcBorders>
              <w:left w:val="single" w:sz="4" w:space="0" w:color="auto"/>
              <w:right w:val="nil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21</w:t>
            </w:r>
          </w:p>
        </w:tc>
        <w:tc>
          <w:tcPr>
            <w:tcW w:w="1236" w:type="dxa"/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1.98 × 10</w:t>
            </w:r>
            <w:r w:rsidRPr="006C1D2F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170" w:type="dxa"/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Survived</w:t>
            </w:r>
          </w:p>
        </w:tc>
      </w:tr>
      <w:tr w:rsidR="00223C9B" w:rsidRPr="006C1D2F" w:rsidTr="00AE6DC6">
        <w:trPr>
          <w:trHeight w:val="375"/>
        </w:trPr>
        <w:tc>
          <w:tcPr>
            <w:tcW w:w="990" w:type="dxa"/>
            <w:tcBorders>
              <w:right w:val="single" w:sz="8" w:space="0" w:color="000000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left w:val="nil"/>
              <w:right w:val="nil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nil"/>
              <w:right w:val="nil"/>
            </w:tcBorders>
            <w:noWrap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L23214</w:t>
            </w:r>
          </w:p>
        </w:tc>
        <w:tc>
          <w:tcPr>
            <w:tcW w:w="939" w:type="dxa"/>
            <w:tcBorders>
              <w:left w:val="nil"/>
              <w:right w:val="single" w:sz="4" w:space="0" w:color="auto"/>
            </w:tcBorders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6</w:t>
            </w:r>
          </w:p>
        </w:tc>
        <w:tc>
          <w:tcPr>
            <w:tcW w:w="1257" w:type="dxa"/>
            <w:tcBorders>
              <w:left w:val="single" w:sz="4" w:space="0" w:color="auto"/>
              <w:right w:val="nil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38</w:t>
            </w:r>
          </w:p>
        </w:tc>
        <w:tc>
          <w:tcPr>
            <w:tcW w:w="1236" w:type="dxa"/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1.91 × 10</w:t>
            </w:r>
            <w:r w:rsidRPr="006C1D2F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170" w:type="dxa"/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Survived</w:t>
            </w:r>
          </w:p>
        </w:tc>
      </w:tr>
      <w:tr w:rsidR="00223C9B" w:rsidRPr="006C1D2F" w:rsidTr="00AE6DC6">
        <w:trPr>
          <w:trHeight w:val="345"/>
        </w:trPr>
        <w:tc>
          <w:tcPr>
            <w:tcW w:w="990" w:type="dxa"/>
            <w:tcBorders>
              <w:top w:val="single" w:sz="4" w:space="0" w:color="auto"/>
              <w:right w:val="single" w:sz="8" w:space="0" w:color="000000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right w:val="nil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8.27 x 10</w:t>
            </w:r>
            <w:r w:rsidRPr="006C1D2F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L23204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N/A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</w:tr>
      <w:tr w:rsidR="00223C9B" w:rsidRPr="006C1D2F" w:rsidTr="00AE6DC6">
        <w:trPr>
          <w:trHeight w:val="345"/>
        </w:trPr>
        <w:tc>
          <w:tcPr>
            <w:tcW w:w="990" w:type="dxa"/>
            <w:tcBorders>
              <w:right w:val="single" w:sz="8" w:space="0" w:color="000000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left w:val="nil"/>
              <w:right w:val="nil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(1.69 x 10</w:t>
            </w:r>
            <w:r w:rsidRPr="006C1D2F">
              <w:rPr>
                <w:sz w:val="18"/>
                <w:szCs w:val="18"/>
                <w:vertAlign w:val="superscript"/>
              </w:rPr>
              <w:t>6</w:t>
            </w:r>
            <w:r w:rsidRPr="006C1D2F">
              <w:rPr>
                <w:sz w:val="18"/>
                <w:szCs w:val="18"/>
              </w:rPr>
              <w:t>)</w:t>
            </w:r>
          </w:p>
        </w:tc>
        <w:tc>
          <w:tcPr>
            <w:tcW w:w="1257" w:type="dxa"/>
            <w:tcBorders>
              <w:left w:val="nil"/>
              <w:right w:val="nil"/>
            </w:tcBorders>
            <w:noWrap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L23203</w:t>
            </w:r>
          </w:p>
        </w:tc>
        <w:tc>
          <w:tcPr>
            <w:tcW w:w="939" w:type="dxa"/>
            <w:tcBorders>
              <w:left w:val="nil"/>
              <w:right w:val="single" w:sz="4" w:space="0" w:color="auto"/>
            </w:tcBorders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5</w:t>
            </w:r>
          </w:p>
        </w:tc>
        <w:tc>
          <w:tcPr>
            <w:tcW w:w="1257" w:type="dxa"/>
            <w:tcBorders>
              <w:left w:val="single" w:sz="4" w:space="0" w:color="auto"/>
              <w:right w:val="nil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236" w:type="dxa"/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</w:tr>
      <w:tr w:rsidR="00223C9B" w:rsidRPr="006C1D2F" w:rsidTr="00AE6DC6">
        <w:trPr>
          <w:trHeight w:val="300"/>
        </w:trPr>
        <w:tc>
          <w:tcPr>
            <w:tcW w:w="990" w:type="dxa"/>
            <w:tcBorders>
              <w:right w:val="single" w:sz="8" w:space="0" w:color="000000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10</w:t>
            </w:r>
            <w:r w:rsidRPr="006C1D2F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226" w:type="dxa"/>
            <w:tcBorders>
              <w:left w:val="nil"/>
              <w:right w:val="nil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nil"/>
              <w:right w:val="nil"/>
            </w:tcBorders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L23213</w:t>
            </w:r>
          </w:p>
        </w:tc>
        <w:tc>
          <w:tcPr>
            <w:tcW w:w="939" w:type="dxa"/>
            <w:tcBorders>
              <w:left w:val="nil"/>
              <w:right w:val="single" w:sz="4" w:space="0" w:color="auto"/>
            </w:tcBorders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3</w:t>
            </w:r>
          </w:p>
        </w:tc>
        <w:tc>
          <w:tcPr>
            <w:tcW w:w="1257" w:type="dxa"/>
            <w:tcBorders>
              <w:left w:val="single" w:sz="4" w:space="0" w:color="auto"/>
              <w:right w:val="nil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236" w:type="dxa"/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</w:tr>
      <w:tr w:rsidR="00223C9B" w:rsidRPr="006C1D2F" w:rsidTr="00AE6DC6">
        <w:trPr>
          <w:trHeight w:val="300"/>
        </w:trPr>
        <w:tc>
          <w:tcPr>
            <w:tcW w:w="990" w:type="dxa"/>
            <w:tcBorders>
              <w:right w:val="single" w:sz="8" w:space="0" w:color="000000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left w:val="nil"/>
              <w:bottom w:val="nil"/>
              <w:right w:val="nil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nil"/>
              <w:bottom w:val="nil"/>
              <w:right w:val="nil"/>
            </w:tcBorders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L23221</w:t>
            </w:r>
          </w:p>
        </w:tc>
        <w:tc>
          <w:tcPr>
            <w:tcW w:w="939" w:type="dxa"/>
            <w:tcBorders>
              <w:left w:val="nil"/>
              <w:right w:val="single" w:sz="4" w:space="0" w:color="auto"/>
            </w:tcBorders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2</w:t>
            </w:r>
          </w:p>
        </w:tc>
        <w:tc>
          <w:tcPr>
            <w:tcW w:w="1257" w:type="dxa"/>
            <w:tcBorders>
              <w:left w:val="single" w:sz="4" w:space="0" w:color="auto"/>
              <w:right w:val="nil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236" w:type="dxa"/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</w:tr>
      <w:tr w:rsidR="00223C9B" w:rsidRPr="006C1D2F" w:rsidTr="00AE6DC6">
        <w:trPr>
          <w:trHeight w:val="300"/>
        </w:trPr>
        <w:tc>
          <w:tcPr>
            <w:tcW w:w="990" w:type="dxa"/>
            <w:tcBorders>
              <w:bottom w:val="single" w:sz="8" w:space="0" w:color="000000"/>
              <w:right w:val="single" w:sz="4" w:space="0" w:color="auto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bottom w:val="single" w:sz="8" w:space="0" w:color="000000"/>
              <w:right w:val="nil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L23232</w:t>
            </w:r>
          </w:p>
        </w:tc>
        <w:tc>
          <w:tcPr>
            <w:tcW w:w="939" w:type="dxa"/>
            <w:tcBorders>
              <w:left w:val="nil"/>
              <w:right w:val="single" w:sz="4" w:space="0" w:color="auto"/>
            </w:tcBorders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6C1D2F">
              <w:rPr>
                <w:sz w:val="18"/>
                <w:szCs w:val="18"/>
              </w:rPr>
              <w:t>4</w:t>
            </w:r>
          </w:p>
        </w:tc>
        <w:tc>
          <w:tcPr>
            <w:tcW w:w="1257" w:type="dxa"/>
            <w:tcBorders>
              <w:left w:val="single" w:sz="4" w:space="0" w:color="auto"/>
              <w:right w:val="nil"/>
            </w:tcBorders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236" w:type="dxa"/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170" w:type="dxa"/>
            <w:noWrap/>
            <w:hideMark/>
          </w:tcPr>
          <w:p w:rsidR="00223C9B" w:rsidRPr="006C1D2F" w:rsidRDefault="00223C9B" w:rsidP="002C435D">
            <w:pPr>
              <w:spacing w:line="240" w:lineRule="auto"/>
              <w:contextualSpacing/>
              <w:rPr>
                <w:sz w:val="18"/>
                <w:szCs w:val="18"/>
              </w:rPr>
            </w:pPr>
          </w:p>
        </w:tc>
      </w:tr>
    </w:tbl>
    <w:p w:rsidR="00223C9B" w:rsidRDefault="00223C9B" w:rsidP="00223C9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GSD geometric standard deviation</w:t>
      </w:r>
    </w:p>
    <w:p w:rsidR="00223C9B" w:rsidRDefault="00223C9B" w:rsidP="00223C9B">
      <w:pPr>
        <w:spacing w:line="240" w:lineRule="auto"/>
        <w:rPr>
          <w:rFonts w:eastAsia="Times New Roman"/>
          <w:b/>
          <w:bCs/>
          <w:sz w:val="24"/>
        </w:rPr>
      </w:pPr>
      <w:r w:rsidRPr="007E76B8">
        <w:rPr>
          <w:sz w:val="20"/>
          <w:szCs w:val="20"/>
        </w:rPr>
        <w:lastRenderedPageBreak/>
        <w:t xml:space="preserve">N/A Not applicable, no testing performed at this dose </w:t>
      </w:r>
      <w:r>
        <w:rPr>
          <w:bCs/>
        </w:rPr>
        <w:br w:type="page"/>
      </w:r>
    </w:p>
    <w:p w:rsidR="00BA4BEB" w:rsidRPr="00FB6199" w:rsidRDefault="00BA4BEB" w:rsidP="00BA4BEB">
      <w:pPr>
        <w:pStyle w:val="BRCTABLE"/>
        <w:spacing w:after="80" w:line="480" w:lineRule="auto"/>
        <w:rPr>
          <w:bCs/>
        </w:rPr>
      </w:pPr>
      <w:r w:rsidRPr="007D4BCB">
        <w:rPr>
          <w:bCs/>
        </w:rPr>
        <w:lastRenderedPageBreak/>
        <w:t xml:space="preserve">Table </w:t>
      </w:r>
      <w:r w:rsidR="00223C9B">
        <w:rPr>
          <w:bCs/>
        </w:rPr>
        <w:t>S2</w:t>
      </w:r>
      <w:r w:rsidRPr="007D4BCB">
        <w:rPr>
          <w:bCs/>
        </w:rPr>
        <w:t>.</w:t>
      </w:r>
      <w:r>
        <w:rPr>
          <w:bCs/>
        </w:rPr>
        <w:t xml:space="preserve"> </w:t>
      </w:r>
      <w:r w:rsidR="00CD6FA9">
        <w:rPr>
          <w:bCs/>
        </w:rPr>
        <w:t>Summary of individual gross and microscopic o</w:t>
      </w:r>
      <w:r w:rsidRPr="00FB6199">
        <w:rPr>
          <w:bCs/>
        </w:rPr>
        <w:t>bservations</w:t>
      </w:r>
      <w:r>
        <w:rPr>
          <w:bCs/>
        </w:rPr>
        <w:t xml:space="preserve"> </w:t>
      </w:r>
    </w:p>
    <w:tbl>
      <w:tblPr>
        <w:tblStyle w:val="TableGrid"/>
        <w:tblW w:w="9261" w:type="dxa"/>
        <w:jc w:val="center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3"/>
        <w:gridCol w:w="1738"/>
        <w:gridCol w:w="1660"/>
        <w:gridCol w:w="4590"/>
      </w:tblGrid>
      <w:tr w:rsidR="00BA4BEB" w:rsidRPr="00FB6199" w:rsidTr="006A6315">
        <w:trPr>
          <w:tblHeader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Dose </w:t>
            </w:r>
            <w:r w:rsidRPr="00321085">
              <w:rPr>
                <w:b/>
                <w:sz w:val="24"/>
              </w:rPr>
              <w:t>Group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jc w:val="center"/>
              <w:rPr>
                <w:b/>
                <w:sz w:val="24"/>
              </w:rPr>
            </w:pPr>
            <w:r w:rsidRPr="00FB6199">
              <w:rPr>
                <w:b/>
                <w:sz w:val="24"/>
              </w:rPr>
              <w:t>Animal Number/ Death Status</w:t>
            </w:r>
            <w:r w:rsidRPr="00FB6199">
              <w:rPr>
                <w:b/>
                <w:sz w:val="24"/>
                <w:vertAlign w:val="superscript"/>
              </w:rPr>
              <w:t>a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jc w:val="center"/>
              <w:rPr>
                <w:b/>
                <w:sz w:val="24"/>
              </w:rPr>
            </w:pPr>
            <w:r w:rsidRPr="00FB6199">
              <w:rPr>
                <w:b/>
                <w:sz w:val="24"/>
              </w:rPr>
              <w:t>Gross Findings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jc w:val="center"/>
              <w:rPr>
                <w:b/>
                <w:sz w:val="24"/>
              </w:rPr>
            </w:pPr>
            <w:r w:rsidRPr="00FB6199">
              <w:rPr>
                <w:b/>
                <w:sz w:val="24"/>
              </w:rPr>
              <w:t>Microscopic Findings</w:t>
            </w:r>
          </w:p>
        </w:tc>
      </w:tr>
      <w:tr w:rsidR="00BA4BEB" w:rsidRPr="00FB6199" w:rsidTr="006A6315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jc w:val="center"/>
              <w:rPr>
                <w:sz w:val="24"/>
              </w:rPr>
            </w:pPr>
            <w:r w:rsidRPr="00FB6199">
              <w:rPr>
                <w:sz w:val="24"/>
              </w:rPr>
              <w:t>Control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40/FS</w:t>
            </w:r>
          </w:p>
        </w:tc>
        <w:tc>
          <w:tcPr>
            <w:tcW w:w="1660" w:type="dxa"/>
            <w:tcBorders>
              <w:top w:val="single" w:sz="4" w:space="0" w:color="auto"/>
              <w:bottom w:val="nil"/>
            </w:tcBorders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nil"/>
            </w:tcBorders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Lung:  Unremarkable.</w:t>
            </w:r>
          </w:p>
        </w:tc>
      </w:tr>
      <w:tr w:rsidR="00BA4BEB" w:rsidRPr="00FB6199" w:rsidTr="006A6315">
        <w:trPr>
          <w:jc w:val="center"/>
        </w:trPr>
        <w:tc>
          <w:tcPr>
            <w:tcW w:w="0" w:type="auto"/>
            <w:vMerge/>
            <w:tcBorders>
              <w:top w:val="nil"/>
            </w:tcBorders>
            <w:vAlign w:val="center"/>
            <w:hideMark/>
          </w:tcPr>
          <w:p w:rsidR="00BA4BEB" w:rsidRPr="00FB6199" w:rsidRDefault="00BA4BEB" w:rsidP="006A631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7/FS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Lung:  Unremarkable.</w:t>
            </w:r>
          </w:p>
        </w:tc>
      </w:tr>
      <w:tr w:rsidR="00BA4BEB" w:rsidRPr="00FB6199" w:rsidTr="006A6315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A4BEB" w:rsidRPr="00FB6199" w:rsidRDefault="00BA4BEB" w:rsidP="006A631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5/FS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Lung:  Perivascular eosinophils, minimal.</w:t>
            </w:r>
          </w:p>
        </w:tc>
      </w:tr>
      <w:tr w:rsidR="00BA4BEB" w:rsidRPr="00FB6199" w:rsidTr="006A6315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A4BEB" w:rsidRPr="00FB6199" w:rsidRDefault="00BA4BEB" w:rsidP="006A631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9/FS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Lung:  Perivascular eosinophils, minimal.</w:t>
            </w:r>
          </w:p>
        </w:tc>
      </w:tr>
      <w:tr w:rsidR="00BA4BEB" w:rsidRPr="00FB6199" w:rsidTr="006A6315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A4BEB" w:rsidRPr="00FB6199" w:rsidRDefault="00BA4BEB" w:rsidP="006A631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37/FS</w:t>
            </w:r>
          </w:p>
        </w:tc>
        <w:tc>
          <w:tcPr>
            <w:tcW w:w="1660" w:type="dxa"/>
            <w:tcBorders>
              <w:top w:val="nil"/>
              <w:bottom w:val="single" w:sz="4" w:space="0" w:color="auto"/>
            </w:tcBorders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</w:p>
        </w:tc>
        <w:tc>
          <w:tcPr>
            <w:tcW w:w="4590" w:type="dxa"/>
            <w:tcBorders>
              <w:top w:val="nil"/>
              <w:bottom w:val="single" w:sz="4" w:space="0" w:color="auto"/>
            </w:tcBorders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Lung:  Unremarkable.</w:t>
            </w:r>
          </w:p>
        </w:tc>
      </w:tr>
      <w:tr w:rsidR="00BA4BEB" w:rsidRPr="00FB6199" w:rsidTr="006A6315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 xml:space="preserve">100 </w:t>
            </w:r>
            <w:r w:rsidRPr="00FB6199">
              <w:rPr>
                <w:caps/>
                <w:sz w:val="24"/>
              </w:rPr>
              <w:t>CFU</w:t>
            </w:r>
          </w:p>
        </w:tc>
        <w:tc>
          <w:tcPr>
            <w:tcW w:w="0" w:type="auto"/>
            <w:tcBorders>
              <w:bottom w:val="nil"/>
            </w:tcBorders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13/FS</w:t>
            </w:r>
          </w:p>
        </w:tc>
        <w:tc>
          <w:tcPr>
            <w:tcW w:w="1660" w:type="dxa"/>
            <w:tcBorders>
              <w:bottom w:val="nil"/>
            </w:tcBorders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</w:p>
        </w:tc>
        <w:tc>
          <w:tcPr>
            <w:tcW w:w="4590" w:type="dxa"/>
            <w:tcBorders>
              <w:bottom w:val="nil"/>
            </w:tcBorders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Lung:  Perivascular eosinophils, minimal.</w:t>
            </w:r>
          </w:p>
        </w:tc>
      </w:tr>
      <w:tr w:rsidR="00BA4BEB" w:rsidRPr="00FB6199" w:rsidTr="006A6315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A4BEB" w:rsidRPr="00FB6199" w:rsidRDefault="00BA4BEB" w:rsidP="006A6315">
            <w:pPr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34/FS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Lung:  Foreign body, mild.</w:t>
            </w:r>
          </w:p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Lung:  Multinucleated giant cells, mild.</w:t>
            </w:r>
          </w:p>
        </w:tc>
      </w:tr>
      <w:tr w:rsidR="00BA4BEB" w:rsidRPr="00FB6199" w:rsidTr="006A6315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A4BEB" w:rsidRPr="00FB6199" w:rsidRDefault="00BA4BEB" w:rsidP="006A6315">
            <w:pPr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25/FS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Lung:  Unremarkable.</w:t>
            </w:r>
          </w:p>
        </w:tc>
      </w:tr>
      <w:tr w:rsidR="00BA4BEB" w:rsidRPr="00FB6199" w:rsidTr="006A6315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A4BEB" w:rsidRPr="00FB6199" w:rsidRDefault="00BA4BEB" w:rsidP="006A6315">
            <w:pPr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15/FS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Lung:  Perivascular eosinophils, minimal.</w:t>
            </w:r>
          </w:p>
        </w:tc>
      </w:tr>
      <w:tr w:rsidR="00BA4BEB" w:rsidRPr="00FB6199" w:rsidTr="006A6315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A4BEB" w:rsidRPr="00FB6199" w:rsidRDefault="00BA4BEB" w:rsidP="006A6315">
            <w:pPr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30/FS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Lung:  Unremarkable.</w:t>
            </w:r>
          </w:p>
        </w:tc>
      </w:tr>
      <w:tr w:rsidR="00BA4BEB" w:rsidRPr="00FB6199" w:rsidTr="006A6315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A4BEB" w:rsidRPr="00FB6199" w:rsidRDefault="00BA4BEB" w:rsidP="006A6315">
            <w:pPr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28/FS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Lung:  Perivascular eosinophils, mild.</w:t>
            </w:r>
          </w:p>
        </w:tc>
      </w:tr>
      <w:tr w:rsidR="00BA4BEB" w:rsidRPr="00FB6199" w:rsidTr="006A6315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BA4BEB" w:rsidRPr="00FB6199" w:rsidRDefault="00BA4BEB" w:rsidP="006A6315">
            <w:pPr>
              <w:rPr>
                <w:sz w:val="24"/>
              </w:rPr>
            </w:pPr>
          </w:p>
        </w:tc>
        <w:tc>
          <w:tcPr>
            <w:tcW w:w="1738" w:type="dxa"/>
            <w:tcBorders>
              <w:top w:val="nil"/>
              <w:bottom w:val="single" w:sz="4" w:space="0" w:color="auto"/>
            </w:tcBorders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19/FS</w:t>
            </w:r>
          </w:p>
        </w:tc>
        <w:tc>
          <w:tcPr>
            <w:tcW w:w="1660" w:type="dxa"/>
            <w:tcBorders>
              <w:top w:val="nil"/>
              <w:bottom w:val="single" w:sz="4" w:space="0" w:color="auto"/>
            </w:tcBorders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</w:p>
        </w:tc>
        <w:tc>
          <w:tcPr>
            <w:tcW w:w="4590" w:type="dxa"/>
            <w:tcBorders>
              <w:top w:val="nil"/>
              <w:bottom w:val="single" w:sz="4" w:space="0" w:color="auto"/>
            </w:tcBorders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Lung:  Unremarkable.</w:t>
            </w:r>
          </w:p>
        </w:tc>
      </w:tr>
      <w:tr w:rsidR="00BA4BEB" w:rsidRPr="00FB6199" w:rsidTr="006A6315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 xml:space="preserve">1000 </w:t>
            </w:r>
            <w:r w:rsidRPr="00FB6199">
              <w:rPr>
                <w:caps/>
                <w:sz w:val="24"/>
              </w:rPr>
              <w:t>CFU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14/FS</w:t>
            </w:r>
          </w:p>
        </w:tc>
        <w:tc>
          <w:tcPr>
            <w:tcW w:w="1660" w:type="dxa"/>
            <w:tcBorders>
              <w:top w:val="single" w:sz="4" w:space="0" w:color="auto"/>
              <w:bottom w:val="nil"/>
            </w:tcBorders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nil"/>
            </w:tcBorders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Lung:  Perivascular eosinophils, minimal.</w:t>
            </w:r>
          </w:p>
        </w:tc>
      </w:tr>
      <w:tr w:rsidR="00BA4BEB" w:rsidRPr="00FB6199" w:rsidTr="006A631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A4BEB" w:rsidRPr="00FB6199" w:rsidRDefault="00BA4BEB" w:rsidP="006A631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11/FS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Lung:  Perivascular eosinophils, minimal.</w:t>
            </w:r>
          </w:p>
        </w:tc>
      </w:tr>
      <w:tr w:rsidR="00BA4BEB" w:rsidRPr="00FB6199" w:rsidTr="006A631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A4BEB" w:rsidRPr="00FB6199" w:rsidRDefault="00BA4BEB" w:rsidP="006A631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2/FD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Lung:  Hemorrhage, minimal.</w:t>
            </w:r>
          </w:p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Lung:  Inflammation, suppurative, minimal.</w:t>
            </w:r>
          </w:p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Lung:  Bacteria, minimal.</w:t>
            </w:r>
          </w:p>
        </w:tc>
      </w:tr>
      <w:tr w:rsidR="00BA4BEB" w:rsidRPr="00FB6199" w:rsidTr="006A631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A4BEB" w:rsidRPr="00FB6199" w:rsidRDefault="00BA4BEB" w:rsidP="006A631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8/FS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Unremarkable.</w:t>
            </w:r>
          </w:p>
        </w:tc>
      </w:tr>
      <w:tr w:rsidR="00BA4BEB" w:rsidRPr="00FB6199" w:rsidTr="006A631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A4BEB" w:rsidRPr="00FB6199" w:rsidRDefault="00BA4BEB" w:rsidP="006A631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12/FS</w:t>
            </w:r>
          </w:p>
        </w:tc>
        <w:tc>
          <w:tcPr>
            <w:tcW w:w="1660" w:type="dxa"/>
            <w:tcBorders>
              <w:top w:val="nil"/>
              <w:bottom w:val="nil"/>
            </w:tcBorders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Skin:  Laceration(s), hindlimb, red, left hindlimb, 40 x 20 mm</w:t>
            </w:r>
          </w:p>
        </w:tc>
        <w:tc>
          <w:tcPr>
            <w:tcW w:w="4590" w:type="dxa"/>
            <w:tcBorders>
              <w:top w:val="nil"/>
              <w:bottom w:val="nil"/>
            </w:tcBorders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Lung: Foreign body, minimal.</w:t>
            </w:r>
          </w:p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Lung:  Multinucleated giant cells, mild.</w:t>
            </w:r>
          </w:p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Skin:  Inflammation, necrosuppurative, marked.</w:t>
            </w:r>
          </w:p>
        </w:tc>
      </w:tr>
      <w:tr w:rsidR="00BA4BEB" w:rsidRPr="00FB6199" w:rsidTr="006A631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A4BEB" w:rsidRPr="00FB6199" w:rsidRDefault="00BA4BEB" w:rsidP="006A631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306 (18)/FS</w:t>
            </w:r>
          </w:p>
        </w:tc>
        <w:tc>
          <w:tcPr>
            <w:tcW w:w="1660" w:type="dxa"/>
            <w:tcBorders>
              <w:top w:val="nil"/>
              <w:bottom w:val="nil"/>
            </w:tcBorders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Lung:  Unremarkable.</w:t>
            </w:r>
          </w:p>
        </w:tc>
      </w:tr>
      <w:tr w:rsidR="00BA4BEB" w:rsidRPr="00FB6199" w:rsidTr="006A631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A4BEB" w:rsidRPr="00FB6199" w:rsidRDefault="00BA4BEB" w:rsidP="006A6315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307 (32)/FS</w:t>
            </w:r>
          </w:p>
        </w:tc>
        <w:tc>
          <w:tcPr>
            <w:tcW w:w="1660" w:type="dxa"/>
            <w:tcBorders>
              <w:top w:val="nil"/>
              <w:bottom w:val="single" w:sz="4" w:space="0" w:color="auto"/>
            </w:tcBorders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</w:p>
        </w:tc>
        <w:tc>
          <w:tcPr>
            <w:tcW w:w="4590" w:type="dxa"/>
            <w:tcBorders>
              <w:top w:val="nil"/>
              <w:bottom w:val="single" w:sz="4" w:space="0" w:color="auto"/>
            </w:tcBorders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Lung:  Perivascular eosinophils, minimal.</w:t>
            </w:r>
          </w:p>
        </w:tc>
      </w:tr>
    </w:tbl>
    <w:p w:rsidR="00BA4BEB" w:rsidRPr="00FB6199" w:rsidRDefault="00BA4BEB" w:rsidP="00BA4BEB">
      <w:pPr>
        <w:rPr>
          <w:sz w:val="24"/>
        </w:rPr>
      </w:pPr>
      <w:r w:rsidRPr="00FB6199">
        <w:rPr>
          <w:sz w:val="24"/>
        </w:rPr>
        <w:t>FD = Found Dead, FS = Final Phase Sacrifice, mm = millimeters</w:t>
      </w:r>
    </w:p>
    <w:p w:rsidR="00BA4BEB" w:rsidRPr="00FB6199" w:rsidRDefault="00BA4BEB" w:rsidP="00BA4BEB">
      <w:pPr>
        <w:rPr>
          <w:b/>
          <w:sz w:val="24"/>
        </w:rPr>
      </w:pPr>
    </w:p>
    <w:tbl>
      <w:tblPr>
        <w:tblStyle w:val="TableGrid"/>
        <w:tblW w:w="9738" w:type="dxa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080"/>
        <w:gridCol w:w="1890"/>
        <w:gridCol w:w="5670"/>
      </w:tblGrid>
      <w:tr w:rsidR="00BA4BEB" w:rsidRPr="00FB6199" w:rsidTr="006A6315">
        <w:trPr>
          <w:jc w:val="center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Dose</w:t>
            </w:r>
            <w:r w:rsidRPr="00FB6199">
              <w:rPr>
                <w:b/>
                <w:sz w:val="24"/>
              </w:rPr>
              <w:t xml:space="preserve"> Number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jc w:val="center"/>
              <w:rPr>
                <w:b/>
                <w:sz w:val="24"/>
              </w:rPr>
            </w:pPr>
            <w:r w:rsidRPr="00FB6199">
              <w:rPr>
                <w:b/>
                <w:sz w:val="24"/>
              </w:rPr>
              <w:t>Animal Number/ Death Status</w:t>
            </w:r>
            <w:r w:rsidRPr="00FB6199">
              <w:rPr>
                <w:b/>
                <w:sz w:val="24"/>
                <w:vertAlign w:val="superscript"/>
              </w:rPr>
              <w:t>a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jc w:val="center"/>
              <w:rPr>
                <w:b/>
                <w:sz w:val="24"/>
              </w:rPr>
            </w:pPr>
            <w:r w:rsidRPr="00FB6199">
              <w:rPr>
                <w:b/>
                <w:sz w:val="24"/>
              </w:rPr>
              <w:t>Gross Findings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jc w:val="center"/>
              <w:rPr>
                <w:b/>
                <w:sz w:val="24"/>
              </w:rPr>
            </w:pPr>
            <w:r w:rsidRPr="00FB6199">
              <w:rPr>
                <w:b/>
                <w:sz w:val="24"/>
              </w:rPr>
              <w:t>Microscopic Findings</w:t>
            </w:r>
          </w:p>
        </w:tc>
      </w:tr>
      <w:tr w:rsidR="00BA4BEB" w:rsidRPr="00FB6199" w:rsidTr="006A6315">
        <w:trPr>
          <w:jc w:val="center"/>
        </w:trPr>
        <w:tc>
          <w:tcPr>
            <w:tcW w:w="1098" w:type="dxa"/>
            <w:vMerge w:val="restart"/>
            <w:vAlign w:val="center"/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</w:p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</w:p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 xml:space="preserve">10,000 </w:t>
            </w:r>
            <w:r w:rsidRPr="00FB6199">
              <w:rPr>
                <w:caps/>
                <w:sz w:val="24"/>
              </w:rPr>
              <w:t>CFU</w:t>
            </w:r>
          </w:p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</w:p>
        </w:tc>
        <w:tc>
          <w:tcPr>
            <w:tcW w:w="1080" w:type="dxa"/>
            <w:tcBorders>
              <w:bottom w:val="nil"/>
            </w:tcBorders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6/FD</w:t>
            </w:r>
          </w:p>
        </w:tc>
        <w:tc>
          <w:tcPr>
            <w:tcW w:w="1890" w:type="dxa"/>
            <w:tcBorders>
              <w:bottom w:val="nil"/>
            </w:tcBorders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Cecum:  Accumulation (gas)</w:t>
            </w:r>
            <w:r w:rsidRPr="00FB6199">
              <w:rPr>
                <w:i/>
                <w:sz w:val="24"/>
              </w:rPr>
              <w:t xml:space="preserve">. </w:t>
            </w:r>
            <w:r w:rsidRPr="00FB6199">
              <w:rPr>
                <w:sz w:val="24"/>
              </w:rPr>
              <w:t xml:space="preserve">Samples of cecum, colon, jejunum, and appendix were </w:t>
            </w:r>
            <w:r w:rsidRPr="00FB6199">
              <w:rPr>
                <w:sz w:val="24"/>
              </w:rPr>
              <w:lastRenderedPageBreak/>
              <w:t>collected to confirm lesion.</w:t>
            </w:r>
          </w:p>
        </w:tc>
        <w:tc>
          <w:tcPr>
            <w:tcW w:w="5670" w:type="dxa"/>
            <w:tcBorders>
              <w:bottom w:val="nil"/>
            </w:tcBorders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lastRenderedPageBreak/>
              <w:t>Cecum:  Edema, mild.</w:t>
            </w:r>
          </w:p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Cecum:  Edema, hemorrhage and necrosis.</w:t>
            </w:r>
          </w:p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Cecum:  Hemorrhage, moderate.</w:t>
            </w:r>
          </w:p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Cecum:  Necrosis, moderate.</w:t>
            </w:r>
          </w:p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Lung:  Perivascular eosinophils, minimal.</w:t>
            </w:r>
          </w:p>
        </w:tc>
      </w:tr>
      <w:tr w:rsidR="00BA4BEB" w:rsidRPr="00FB6199" w:rsidTr="006A6315">
        <w:trPr>
          <w:jc w:val="center"/>
        </w:trPr>
        <w:tc>
          <w:tcPr>
            <w:tcW w:w="1098" w:type="dxa"/>
            <w:vMerge/>
            <w:tcBorders>
              <w:bottom w:val="nil"/>
            </w:tcBorders>
            <w:vAlign w:val="center"/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33/FD</w:t>
            </w:r>
          </w:p>
        </w:tc>
        <w:tc>
          <w:tcPr>
            <w:tcW w:w="1890" w:type="dxa"/>
            <w:tcBorders>
              <w:top w:val="nil"/>
              <w:bottom w:val="nil"/>
            </w:tcBorders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Lymph Node, Mediastinal:  Enlarged, dark, 3x.</w:t>
            </w:r>
          </w:p>
        </w:tc>
        <w:tc>
          <w:tcPr>
            <w:tcW w:w="5670" w:type="dxa"/>
            <w:tcBorders>
              <w:top w:val="nil"/>
              <w:bottom w:val="nil"/>
            </w:tcBorders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Lung:  Bacteria, mild.</w:t>
            </w:r>
          </w:p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Lung:  Hemorrhage, minimal.</w:t>
            </w:r>
          </w:p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Lung:  Inflammation, suppurative, mild.</w:t>
            </w:r>
          </w:p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Lung:  Perivascular eosinophils, minimal.</w:t>
            </w:r>
          </w:p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Lymph Node, Mediastinal:  Bacteria, Marked.</w:t>
            </w:r>
          </w:p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Lymph Node, Mediastinal:  Edema, fibrin, mild.</w:t>
            </w:r>
          </w:p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Lymph Node, Mediastinal:  Hemorrhage, minimal.</w:t>
            </w:r>
          </w:p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Lymph Node, Mediastinal:  Necrosis/depletion, lymphoid, marked.</w:t>
            </w:r>
          </w:p>
        </w:tc>
      </w:tr>
      <w:tr w:rsidR="00BA4BEB" w:rsidRPr="00FB6199" w:rsidTr="006A6315">
        <w:trPr>
          <w:trHeight w:val="1932"/>
          <w:jc w:val="center"/>
        </w:trPr>
        <w:tc>
          <w:tcPr>
            <w:tcW w:w="1098" w:type="dxa"/>
            <w:vMerge/>
            <w:tcBorders>
              <w:top w:val="nil"/>
            </w:tcBorders>
            <w:vAlign w:val="center"/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27FD</w:t>
            </w:r>
          </w:p>
        </w:tc>
        <w:tc>
          <w:tcPr>
            <w:tcW w:w="1890" w:type="dxa"/>
            <w:tcBorders>
              <w:top w:val="nil"/>
              <w:bottom w:val="nil"/>
            </w:tcBorders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Appendix:  Foci, multiple, red, up to 2 x 2</w:t>
            </w:r>
          </w:p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mm.</w:t>
            </w:r>
          </w:p>
        </w:tc>
        <w:tc>
          <w:tcPr>
            <w:tcW w:w="5670" w:type="dxa"/>
            <w:tcBorders>
              <w:top w:val="nil"/>
              <w:bottom w:val="nil"/>
            </w:tcBorders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Appendix:  Hemorrhage, mild.</w:t>
            </w:r>
          </w:p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Appendix:  Necrosis/depletion, lymphoid, moderate.</w:t>
            </w:r>
          </w:p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Appendix:  Infiltration cellular, macrophages, moderate.</w:t>
            </w:r>
          </w:p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Appendix:  Note: hemorrhage and necrosis.</w:t>
            </w:r>
          </w:p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Lung:  Bacteria, minimal.</w:t>
            </w:r>
          </w:p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Lung:  Inflammation, suppurative, minimal.</w:t>
            </w:r>
          </w:p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Lung:  Perivascular eosinophils, minimal.</w:t>
            </w:r>
          </w:p>
        </w:tc>
      </w:tr>
      <w:tr w:rsidR="00BA4BEB" w:rsidRPr="00FB6199" w:rsidTr="006A6315">
        <w:trPr>
          <w:jc w:val="center"/>
        </w:trPr>
        <w:tc>
          <w:tcPr>
            <w:tcW w:w="1098" w:type="dxa"/>
            <w:vMerge/>
            <w:vAlign w:val="center"/>
            <w:hideMark/>
          </w:tcPr>
          <w:p w:rsidR="00BA4BEB" w:rsidRPr="00FB6199" w:rsidRDefault="00BA4BEB" w:rsidP="006A6315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31/FD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Lung:  Bacteria, mild.</w:t>
            </w:r>
          </w:p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Lung:  Inflammation, suppurative, minimal.</w:t>
            </w:r>
          </w:p>
        </w:tc>
      </w:tr>
      <w:tr w:rsidR="00BA4BEB" w:rsidRPr="00FB6199" w:rsidTr="006A6315">
        <w:trPr>
          <w:jc w:val="center"/>
        </w:trPr>
        <w:tc>
          <w:tcPr>
            <w:tcW w:w="1098" w:type="dxa"/>
            <w:vMerge/>
            <w:vAlign w:val="center"/>
            <w:hideMark/>
          </w:tcPr>
          <w:p w:rsidR="00BA4BEB" w:rsidRPr="00FB6199" w:rsidRDefault="00BA4BEB" w:rsidP="006A6315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39/FS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Lung:  Foreign body, minimal.</w:t>
            </w:r>
          </w:p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Lung:  Multinucleated giant cells, minimal.</w:t>
            </w:r>
          </w:p>
        </w:tc>
      </w:tr>
      <w:tr w:rsidR="00BA4BEB" w:rsidRPr="00FB6199" w:rsidTr="006A6315">
        <w:trPr>
          <w:jc w:val="center"/>
        </w:trPr>
        <w:tc>
          <w:tcPr>
            <w:tcW w:w="1098" w:type="dxa"/>
            <w:vMerge/>
            <w:vAlign w:val="center"/>
            <w:hideMark/>
          </w:tcPr>
          <w:p w:rsidR="00BA4BEB" w:rsidRPr="00FB6199" w:rsidRDefault="00BA4BEB" w:rsidP="006A6315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21/FS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</w:p>
        </w:tc>
        <w:tc>
          <w:tcPr>
            <w:tcW w:w="5670" w:type="dxa"/>
            <w:tcBorders>
              <w:top w:val="nil"/>
              <w:bottom w:val="nil"/>
            </w:tcBorders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Lung:  Unremarkable.</w:t>
            </w:r>
          </w:p>
        </w:tc>
      </w:tr>
      <w:tr w:rsidR="00BA4BEB" w:rsidRPr="00FB6199" w:rsidTr="006A6315">
        <w:trPr>
          <w:jc w:val="center"/>
        </w:trPr>
        <w:tc>
          <w:tcPr>
            <w:tcW w:w="1098" w:type="dxa"/>
            <w:vMerge/>
            <w:vAlign w:val="center"/>
            <w:hideMark/>
          </w:tcPr>
          <w:p w:rsidR="00BA4BEB" w:rsidRPr="00FB6199" w:rsidRDefault="00BA4BEB" w:rsidP="006A6315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38/FS</w:t>
            </w:r>
          </w:p>
        </w:tc>
        <w:tc>
          <w:tcPr>
            <w:tcW w:w="1890" w:type="dxa"/>
            <w:tcBorders>
              <w:top w:val="nil"/>
            </w:tcBorders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Lung:  Discoloration(s), apical lobe, pale, firm.</w:t>
            </w:r>
          </w:p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 xml:space="preserve">Skin:  Laceration(s), abdominal, red, </w:t>
            </w:r>
          </w:p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20 x 15 mm.</w:t>
            </w:r>
          </w:p>
        </w:tc>
        <w:tc>
          <w:tcPr>
            <w:tcW w:w="5670" w:type="dxa"/>
            <w:tcBorders>
              <w:top w:val="nil"/>
            </w:tcBorders>
            <w:hideMark/>
          </w:tcPr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Lung:  Foreign body, moderate.</w:t>
            </w:r>
          </w:p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Lung:  Granuloma/pyrogranuloma, moderate.</w:t>
            </w:r>
          </w:p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Lung:  Perivascular eosinophils, minimal.</w:t>
            </w:r>
          </w:p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Skin:  Inflammation, necrosuppurative, moderate.</w:t>
            </w:r>
          </w:p>
          <w:p w:rsidR="00BA4BEB" w:rsidRPr="00FB6199" w:rsidRDefault="00BA4BEB" w:rsidP="006A6315">
            <w:pPr>
              <w:pStyle w:val="BHNormal"/>
              <w:spacing w:line="480" w:lineRule="auto"/>
              <w:rPr>
                <w:sz w:val="24"/>
              </w:rPr>
            </w:pPr>
            <w:r w:rsidRPr="00FB6199">
              <w:rPr>
                <w:sz w:val="24"/>
              </w:rPr>
              <w:t>Skin:  Thrombosis, artery, mild.</w:t>
            </w:r>
          </w:p>
        </w:tc>
      </w:tr>
    </w:tbl>
    <w:p w:rsidR="00BA4BEB" w:rsidRPr="00FB6199" w:rsidRDefault="00BA4BEB" w:rsidP="00BA4BEB">
      <w:pPr>
        <w:rPr>
          <w:sz w:val="24"/>
        </w:rPr>
      </w:pPr>
      <w:r w:rsidRPr="00FB6199">
        <w:rPr>
          <w:sz w:val="24"/>
        </w:rPr>
        <w:t>FD = Found Dead, FS = Final Phase Sacrifice, mm = millimeters</w:t>
      </w:r>
    </w:p>
    <w:p w:rsidR="00BA4BEB" w:rsidRDefault="00BA4BEB">
      <w:pPr>
        <w:spacing w:line="240" w:lineRule="auto"/>
      </w:pPr>
      <w:r>
        <w:br w:type="page"/>
      </w:r>
    </w:p>
    <w:p w:rsidR="00F51BF0" w:rsidRDefault="00F51BF0" w:rsidP="00F51BF0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>TABLE</w:t>
      </w:r>
      <w:r w:rsidR="002C435D">
        <w:rPr>
          <w:rFonts w:cstheme="minorHAnsi"/>
          <w:b/>
          <w:sz w:val="24"/>
        </w:rPr>
        <w:t xml:space="preserve"> S</w:t>
      </w:r>
      <w:r w:rsidR="00225998">
        <w:rPr>
          <w:rFonts w:cstheme="minorHAnsi"/>
          <w:b/>
          <w:sz w:val="24"/>
        </w:rPr>
        <w:t>3</w:t>
      </w:r>
      <w:r w:rsidRPr="00B55F27">
        <w:rPr>
          <w:rFonts w:cstheme="minorHAnsi"/>
          <w:b/>
          <w:sz w:val="24"/>
        </w:rPr>
        <w:t>.</w:t>
      </w:r>
      <w:r>
        <w:rPr>
          <w:rFonts w:cstheme="minorHAnsi"/>
          <w:sz w:val="24"/>
        </w:rPr>
        <w:t xml:space="preserve"> </w:t>
      </w:r>
      <w:r w:rsidR="00CD6FA9">
        <w:rPr>
          <w:rFonts w:cstheme="minorHAnsi"/>
          <w:b/>
          <w:sz w:val="24"/>
        </w:rPr>
        <w:t>Bacteremia m</w:t>
      </w:r>
      <w:r w:rsidRPr="00B55F27">
        <w:rPr>
          <w:rFonts w:cstheme="minorHAnsi"/>
          <w:b/>
          <w:sz w:val="24"/>
        </w:rPr>
        <w:t>easurements</w:t>
      </w:r>
      <w:r w:rsidR="00CD6FA9">
        <w:rPr>
          <w:rFonts w:cstheme="minorHAnsi"/>
          <w:b/>
          <w:sz w:val="24"/>
        </w:rPr>
        <w:t xml:space="preserve"> in colony f</w:t>
      </w:r>
      <w:r>
        <w:rPr>
          <w:rFonts w:cstheme="minorHAnsi"/>
          <w:b/>
          <w:sz w:val="24"/>
        </w:rPr>
        <w:t xml:space="preserve">orming </w:t>
      </w:r>
      <w:r w:rsidR="00CD6FA9">
        <w:rPr>
          <w:rFonts w:cstheme="minorHAnsi"/>
          <w:b/>
          <w:sz w:val="24"/>
        </w:rPr>
        <w:t>u</w:t>
      </w:r>
      <w:r>
        <w:rPr>
          <w:rFonts w:cstheme="minorHAnsi"/>
          <w:b/>
          <w:sz w:val="24"/>
        </w:rPr>
        <w:t>nits (CFU)</w:t>
      </w:r>
      <w:r w:rsidR="00425C70">
        <w:rPr>
          <w:rFonts w:cstheme="minorHAnsi"/>
          <w:b/>
          <w:sz w:val="24"/>
        </w:rPr>
        <w:t xml:space="preserve"> for </w:t>
      </w:r>
      <w:r w:rsidR="00CD6FA9">
        <w:rPr>
          <w:rFonts w:cstheme="minorHAnsi"/>
          <w:b/>
          <w:sz w:val="24"/>
        </w:rPr>
        <w:t>a</w:t>
      </w:r>
      <w:r w:rsidRPr="00B55F27">
        <w:rPr>
          <w:rFonts w:cstheme="minorHAnsi"/>
          <w:b/>
          <w:sz w:val="24"/>
        </w:rPr>
        <w:t xml:space="preserve">nimals in </w:t>
      </w:r>
      <w:r>
        <w:rPr>
          <w:rFonts w:cstheme="minorHAnsi"/>
          <w:b/>
          <w:sz w:val="24"/>
        </w:rPr>
        <w:t xml:space="preserve">the </w:t>
      </w:r>
      <w:r w:rsidR="00CD6FA9">
        <w:rPr>
          <w:rFonts w:cstheme="minorHAnsi"/>
          <w:b/>
          <w:sz w:val="24"/>
        </w:rPr>
        <w:t>single dose s</w:t>
      </w:r>
      <w:r w:rsidRPr="00B55F27">
        <w:rPr>
          <w:rFonts w:cstheme="minorHAnsi"/>
          <w:b/>
          <w:sz w:val="24"/>
        </w:rPr>
        <w:t>tudy</w:t>
      </w:r>
      <w:r w:rsidR="00425C70">
        <w:rPr>
          <w:rFonts w:cstheme="minorHAnsi"/>
          <w:b/>
          <w:sz w:val="24"/>
        </w:rPr>
        <w:t xml:space="preserve"> </w:t>
      </w:r>
      <w:r w:rsidR="00425C70" w:rsidRPr="00425C70">
        <w:rPr>
          <w:rFonts w:cstheme="minorHAnsi"/>
          <w:b/>
          <w:sz w:val="24"/>
        </w:rPr>
        <w:t xml:space="preserve">Taft et al. </w:t>
      </w:r>
      <w:r w:rsidR="00DD509F">
        <w:rPr>
          <w:rFonts w:cstheme="minorHAnsi"/>
          <w:b/>
          <w:sz w:val="24"/>
        </w:rPr>
        <w:fldChar w:fldCharType="begin"/>
      </w:r>
      <w:r w:rsidR="00DD509F">
        <w:rPr>
          <w:rFonts w:cstheme="minorHAnsi"/>
          <w:b/>
          <w:sz w:val="24"/>
        </w:rPr>
        <w:instrText xml:space="preserve"> ADDIN EN.CITE &lt;EndNote&gt;&lt;Cite&gt;&lt;Author&gt;Taft&lt;/Author&gt;&lt;Year&gt;2017&lt;/Year&gt;&lt;RecNum&gt;2983&lt;/RecNum&gt;&lt;DisplayText&gt;(1)&lt;/DisplayText&gt;&lt;record&gt;&lt;rec-number&gt;2983&lt;/rec-number&gt;&lt;foreign-keys&gt;&lt;key app="EN" db-id="wfe5e0d5dd2dzlev2thpprtuwfsss5p59r9x"&gt;2983&lt;/key&gt;&lt;/foreign-keys&gt;&lt;ref-type name="Journal Article"&gt;17&lt;/ref-type&gt;&lt;contributors&gt;&lt;authors&gt;&lt;author&gt;Taft, Sarah C.,&lt;/author&gt;&lt;author&gt;Nichols, Tonya L.,&lt;/author&gt;&lt;author&gt;Hines, Stephanie A.,&lt;/author&gt;&lt;author&gt;Barnewall, Roy E.,&lt;/author&gt;&lt;author&gt;Stark, Gregory V.,&lt;/author&gt;&lt;author&gt;Comer, Jason E.,&lt;/author&gt;&lt;/authors&gt;&lt;/contributors&gt;&lt;titles&gt;&lt;title&gt;&lt;style face="normal" font="default" size="100%"&gt;Physiological responses to a single low-dose of&lt;/style&gt;&lt;style face="italic" font="default" size="100%"&gt; Bacillus anthracis&lt;/style&gt;&lt;style face="normal" font="default" size="100%"&gt; spores in the rabbit model of inhalational anthrax&lt;/style&gt;&lt;/title&gt;&lt;secondary-title&gt;Submitted to Infection and Immunity as First Article of Two Companion Articles&lt;/secondary-title&gt;&lt;/titles&gt;&lt;periodical&gt;&lt;full-title&gt;Submitted to Infection and Immunity as First Article of Two Companion Articles&lt;/full-title&gt;&lt;/periodical&gt;&lt;dates&gt;&lt;year&gt;2017&lt;/year&gt;&lt;/dates&gt;&lt;urls&gt;&lt;/urls&gt;&lt;/record&gt;&lt;/Cite&gt;&lt;/EndNote&gt;</w:instrText>
      </w:r>
      <w:r w:rsidR="00DD509F">
        <w:rPr>
          <w:rFonts w:cstheme="minorHAnsi"/>
          <w:b/>
          <w:sz w:val="24"/>
        </w:rPr>
        <w:fldChar w:fldCharType="separate"/>
      </w:r>
      <w:r w:rsidR="00DD509F">
        <w:rPr>
          <w:rFonts w:cstheme="minorHAnsi"/>
          <w:b/>
          <w:noProof/>
          <w:sz w:val="24"/>
        </w:rPr>
        <w:t>(</w:t>
      </w:r>
      <w:hyperlink w:anchor="_ENREF_1" w:tooltip="Taft, 2017 #2983" w:history="1">
        <w:r w:rsidR="00182D56">
          <w:rPr>
            <w:rFonts w:cstheme="minorHAnsi"/>
            <w:b/>
            <w:noProof/>
            <w:sz w:val="24"/>
          </w:rPr>
          <w:t>1</w:t>
        </w:r>
      </w:hyperlink>
      <w:r w:rsidR="00DD509F">
        <w:rPr>
          <w:rFonts w:cstheme="minorHAnsi"/>
          <w:b/>
          <w:noProof/>
          <w:sz w:val="24"/>
        </w:rPr>
        <w:t>)</w:t>
      </w:r>
      <w:r w:rsidR="00DD509F">
        <w:rPr>
          <w:rFonts w:cstheme="minorHAnsi"/>
          <w:b/>
          <w:sz w:val="24"/>
        </w:rPr>
        <w:fldChar w:fldCharType="end"/>
      </w:r>
      <w:r w:rsidRPr="00B55F27">
        <w:rPr>
          <w:rFonts w:cstheme="minorHAnsi"/>
          <w:b/>
          <w:sz w:val="24"/>
        </w:rPr>
        <w:t xml:space="preserve"> with </w:t>
      </w:r>
      <w:r w:rsidR="00CD6FA9">
        <w:rPr>
          <w:rFonts w:cstheme="minorHAnsi"/>
          <w:b/>
          <w:sz w:val="24"/>
        </w:rPr>
        <w:t>m</w:t>
      </w:r>
      <w:r>
        <w:rPr>
          <w:rFonts w:cstheme="minorHAnsi"/>
          <w:b/>
          <w:sz w:val="24"/>
        </w:rPr>
        <w:t xml:space="preserve">easured </w:t>
      </w:r>
      <w:r w:rsidR="00CD6FA9">
        <w:rPr>
          <w:rFonts w:cstheme="minorHAnsi"/>
          <w:b/>
          <w:sz w:val="24"/>
        </w:rPr>
        <w:t>positive b</w:t>
      </w:r>
      <w:r w:rsidRPr="00B55F27">
        <w:rPr>
          <w:rFonts w:cstheme="minorHAnsi"/>
          <w:b/>
          <w:sz w:val="24"/>
        </w:rPr>
        <w:t>acteremia results</w:t>
      </w:r>
    </w:p>
    <w:tbl>
      <w:tblPr>
        <w:tblStyle w:val="PlainTable41"/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1440"/>
        <w:gridCol w:w="1526"/>
        <w:gridCol w:w="1526"/>
        <w:gridCol w:w="1526"/>
        <w:gridCol w:w="1526"/>
      </w:tblGrid>
      <w:tr w:rsidR="00F51BF0" w:rsidRPr="002C435D" w:rsidTr="006A6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right w:val="single" w:sz="12" w:space="0" w:color="auto"/>
            </w:tcBorders>
          </w:tcPr>
          <w:p w:rsidR="00F51BF0" w:rsidRPr="002C435D" w:rsidRDefault="00F51BF0" w:rsidP="006A6315">
            <w:pPr>
              <w:spacing w:before="60" w:after="60"/>
              <w:rPr>
                <w:rFonts w:ascii="Times New Roman" w:hAnsi="Times New Roman" w:cs="Times New Roman"/>
                <w:i/>
                <w:sz w:val="24"/>
              </w:rPr>
            </w:pPr>
            <w:r w:rsidRPr="002C435D">
              <w:rPr>
                <w:rFonts w:ascii="Times New Roman" w:hAnsi="Times New Roman" w:cs="Times New Roman"/>
                <w:i/>
                <w:sz w:val="24"/>
              </w:rPr>
              <w:t>Dose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F51BF0" w:rsidRPr="002C435D" w:rsidRDefault="00F51BF0" w:rsidP="006A6315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  <w:r w:rsidRPr="002C435D">
              <w:rPr>
                <w:rFonts w:ascii="Times New Roman" w:hAnsi="Times New Roman" w:cs="Times New Roman"/>
                <w:i/>
                <w:sz w:val="24"/>
              </w:rPr>
              <w:t>Animal</w:t>
            </w:r>
          </w:p>
        </w:tc>
        <w:tc>
          <w:tcPr>
            <w:tcW w:w="1526" w:type="dxa"/>
          </w:tcPr>
          <w:p w:rsidR="00F51BF0" w:rsidRPr="002C435D" w:rsidRDefault="00F51BF0" w:rsidP="006A6315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sz w:val="24"/>
              </w:rPr>
            </w:pPr>
            <w:r w:rsidRPr="002C435D">
              <w:rPr>
                <w:rFonts w:ascii="Times New Roman" w:hAnsi="Times New Roman" w:cs="Times New Roman"/>
                <w:i/>
                <w:sz w:val="24"/>
              </w:rPr>
              <w:t>Day 1</w:t>
            </w:r>
          </w:p>
        </w:tc>
        <w:tc>
          <w:tcPr>
            <w:tcW w:w="1526" w:type="dxa"/>
          </w:tcPr>
          <w:p w:rsidR="00F51BF0" w:rsidRPr="002C435D" w:rsidRDefault="00F51BF0" w:rsidP="006A6315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sz w:val="24"/>
              </w:rPr>
            </w:pPr>
            <w:r w:rsidRPr="002C435D">
              <w:rPr>
                <w:rFonts w:ascii="Times New Roman" w:hAnsi="Times New Roman" w:cs="Times New Roman"/>
                <w:i/>
                <w:sz w:val="24"/>
              </w:rPr>
              <w:t>Day 2</w:t>
            </w:r>
          </w:p>
        </w:tc>
        <w:tc>
          <w:tcPr>
            <w:tcW w:w="1526" w:type="dxa"/>
          </w:tcPr>
          <w:p w:rsidR="00F51BF0" w:rsidRPr="002C435D" w:rsidRDefault="00F51BF0" w:rsidP="006A6315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sz w:val="24"/>
              </w:rPr>
            </w:pPr>
            <w:r w:rsidRPr="002C435D">
              <w:rPr>
                <w:rFonts w:ascii="Times New Roman" w:hAnsi="Times New Roman" w:cs="Times New Roman"/>
                <w:i/>
                <w:sz w:val="24"/>
              </w:rPr>
              <w:t>Day 3</w:t>
            </w:r>
          </w:p>
        </w:tc>
        <w:tc>
          <w:tcPr>
            <w:tcW w:w="1526" w:type="dxa"/>
          </w:tcPr>
          <w:p w:rsidR="00F51BF0" w:rsidRPr="002C435D" w:rsidRDefault="00F51BF0" w:rsidP="006A6315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sz w:val="24"/>
                <w:vertAlign w:val="superscript"/>
              </w:rPr>
            </w:pPr>
            <w:r w:rsidRPr="002C435D">
              <w:rPr>
                <w:rFonts w:ascii="Times New Roman" w:hAnsi="Times New Roman" w:cs="Times New Roman"/>
                <w:i/>
                <w:sz w:val="24"/>
              </w:rPr>
              <w:t>Day 4 and Later</w:t>
            </w:r>
            <w:r w:rsidRPr="002C435D">
              <w:rPr>
                <w:rFonts w:ascii="Times New Roman" w:hAnsi="Times New Roman" w:cs="Times New Roman"/>
                <w:i/>
                <w:sz w:val="24"/>
                <w:vertAlign w:val="superscript"/>
              </w:rPr>
              <w:t>a</w:t>
            </w:r>
          </w:p>
        </w:tc>
      </w:tr>
      <w:tr w:rsidR="00F51BF0" w:rsidRPr="002C435D" w:rsidTr="006A6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BF0" w:rsidRPr="002C435D" w:rsidRDefault="00F51BF0" w:rsidP="006A6315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2C435D">
              <w:rPr>
                <w:rFonts w:ascii="Times New Roman" w:hAnsi="Times New Roman" w:cs="Times New Roman"/>
                <w:sz w:val="24"/>
              </w:rPr>
              <w:t>2.54 x 10</w:t>
            </w:r>
            <w:r w:rsidRPr="002C435D">
              <w:rPr>
                <w:rFonts w:ascii="Times New Roman" w:hAnsi="Times New Roman" w:cs="Times New Roman"/>
                <w:sz w:val="24"/>
                <w:vertAlign w:val="superscript"/>
              </w:rPr>
              <w:t>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F51BF0" w:rsidRPr="002C435D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C435D">
              <w:rPr>
                <w:rFonts w:ascii="Times New Roman" w:hAnsi="Times New Roman" w:cs="Times New Roman"/>
                <w:sz w:val="24"/>
              </w:rPr>
              <w:t>L23235</w:t>
            </w:r>
          </w:p>
        </w:tc>
        <w:tc>
          <w:tcPr>
            <w:tcW w:w="1526" w:type="dxa"/>
            <w:tcBorders>
              <w:top w:val="single" w:sz="12" w:space="0" w:color="auto"/>
            </w:tcBorders>
          </w:tcPr>
          <w:p w:rsidR="00F51BF0" w:rsidRPr="002C435D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C435D">
              <w:rPr>
                <w:rFonts w:ascii="Times New Roman" w:hAnsi="Times New Roman" w:cs="Times New Roman"/>
                <w:sz w:val="24"/>
              </w:rPr>
              <w:t>ND</w:t>
            </w:r>
          </w:p>
        </w:tc>
        <w:tc>
          <w:tcPr>
            <w:tcW w:w="1526" w:type="dxa"/>
            <w:tcBorders>
              <w:top w:val="single" w:sz="12" w:space="0" w:color="auto"/>
            </w:tcBorders>
          </w:tcPr>
          <w:p w:rsidR="00F51BF0" w:rsidRPr="002C435D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C435D">
              <w:rPr>
                <w:rFonts w:ascii="Times New Roman" w:hAnsi="Times New Roman" w:cs="Times New Roman"/>
                <w:sz w:val="24"/>
              </w:rPr>
              <w:t>ND</w:t>
            </w:r>
          </w:p>
        </w:tc>
        <w:tc>
          <w:tcPr>
            <w:tcW w:w="1526" w:type="dxa"/>
            <w:tcBorders>
              <w:top w:val="single" w:sz="12" w:space="0" w:color="auto"/>
            </w:tcBorders>
          </w:tcPr>
          <w:p w:rsidR="00F51BF0" w:rsidRPr="002C435D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C435D">
              <w:rPr>
                <w:rFonts w:ascii="Times New Roman" w:hAnsi="Times New Roman" w:cs="Times New Roman"/>
                <w:sz w:val="24"/>
              </w:rPr>
              <w:t>ND</w:t>
            </w:r>
          </w:p>
        </w:tc>
        <w:tc>
          <w:tcPr>
            <w:tcW w:w="1526" w:type="dxa"/>
            <w:tcBorders>
              <w:top w:val="single" w:sz="12" w:space="0" w:color="auto"/>
            </w:tcBorders>
          </w:tcPr>
          <w:p w:rsidR="00F51BF0" w:rsidRPr="002C435D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C435D">
              <w:rPr>
                <w:rFonts w:ascii="Times New Roman" w:hAnsi="Times New Roman" w:cs="Times New Roman"/>
                <w:sz w:val="24"/>
              </w:rPr>
              <w:t>ND on Day 7</w:t>
            </w:r>
          </w:p>
          <w:p w:rsidR="00F51BF0" w:rsidRPr="002C435D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C435D">
              <w:rPr>
                <w:rFonts w:ascii="Times New Roman" w:hAnsi="Times New Roman" w:cs="Times New Roman"/>
                <w:sz w:val="24"/>
              </w:rPr>
              <w:t>TTD = 11      1.7 x 10</w:t>
            </w:r>
            <w:r w:rsidRPr="002C435D">
              <w:rPr>
                <w:rFonts w:ascii="Times New Roman" w:hAnsi="Times New Roman" w:cs="Times New Roman"/>
                <w:sz w:val="24"/>
                <w:vertAlign w:val="superscript"/>
              </w:rPr>
              <w:t>6</w:t>
            </w:r>
          </w:p>
        </w:tc>
      </w:tr>
      <w:tr w:rsidR="00F51BF0" w:rsidRPr="002C435D" w:rsidTr="006A6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BF0" w:rsidRPr="002C435D" w:rsidRDefault="00F51BF0" w:rsidP="006A6315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</w:tcPr>
          <w:p w:rsidR="00F51BF0" w:rsidRPr="002C435D" w:rsidRDefault="00F51BF0" w:rsidP="006A631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C435D">
              <w:rPr>
                <w:rFonts w:ascii="Times New Roman" w:hAnsi="Times New Roman" w:cs="Times New Roman"/>
                <w:sz w:val="24"/>
              </w:rPr>
              <w:t>L23225</w:t>
            </w:r>
          </w:p>
        </w:tc>
        <w:tc>
          <w:tcPr>
            <w:tcW w:w="1526" w:type="dxa"/>
            <w:tcBorders>
              <w:bottom w:val="single" w:sz="12" w:space="0" w:color="auto"/>
            </w:tcBorders>
          </w:tcPr>
          <w:p w:rsidR="00F51BF0" w:rsidRPr="002C435D" w:rsidRDefault="00F51BF0" w:rsidP="006A631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C435D">
              <w:rPr>
                <w:rFonts w:ascii="Times New Roman" w:hAnsi="Times New Roman" w:cs="Times New Roman"/>
                <w:sz w:val="24"/>
              </w:rPr>
              <w:t>ND</w:t>
            </w:r>
          </w:p>
        </w:tc>
        <w:tc>
          <w:tcPr>
            <w:tcW w:w="1526" w:type="dxa"/>
            <w:tcBorders>
              <w:bottom w:val="single" w:sz="12" w:space="0" w:color="auto"/>
            </w:tcBorders>
          </w:tcPr>
          <w:p w:rsidR="00F51BF0" w:rsidRPr="002C435D" w:rsidRDefault="00F51BF0" w:rsidP="006A631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C435D">
              <w:rPr>
                <w:rFonts w:ascii="Times New Roman" w:hAnsi="Times New Roman" w:cs="Times New Roman"/>
                <w:sz w:val="24"/>
              </w:rPr>
              <w:t>4.53 x 10</w:t>
            </w:r>
            <w:r w:rsidRPr="002C435D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526" w:type="dxa"/>
            <w:tcBorders>
              <w:bottom w:val="single" w:sz="12" w:space="0" w:color="auto"/>
            </w:tcBorders>
          </w:tcPr>
          <w:p w:rsidR="00F51BF0" w:rsidRPr="002C435D" w:rsidRDefault="00F51BF0" w:rsidP="006A631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C435D">
              <w:rPr>
                <w:rFonts w:ascii="Times New Roman" w:hAnsi="Times New Roman" w:cs="Times New Roman"/>
                <w:sz w:val="24"/>
              </w:rPr>
              <w:t>&lt;2.5 x 10</w:t>
            </w:r>
            <w:r w:rsidRPr="002C435D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  <w:p w:rsidR="00F51BF0" w:rsidRPr="002C435D" w:rsidRDefault="00F51BF0" w:rsidP="006A631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C435D">
              <w:rPr>
                <w:rFonts w:ascii="Times New Roman" w:hAnsi="Times New Roman" w:cs="Times New Roman"/>
                <w:sz w:val="24"/>
              </w:rPr>
              <w:t>(&lt;LLOQ)</w:t>
            </w:r>
          </w:p>
        </w:tc>
        <w:tc>
          <w:tcPr>
            <w:tcW w:w="1526" w:type="dxa"/>
            <w:tcBorders>
              <w:bottom w:val="single" w:sz="12" w:space="0" w:color="auto"/>
            </w:tcBorders>
          </w:tcPr>
          <w:p w:rsidR="00F51BF0" w:rsidRPr="002C435D" w:rsidRDefault="00F51BF0" w:rsidP="006A631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C435D">
              <w:rPr>
                <w:rFonts w:ascii="Times New Roman" w:hAnsi="Times New Roman" w:cs="Times New Roman"/>
                <w:sz w:val="24"/>
              </w:rPr>
              <w:t>TTD = 4      8.03 x 10</w:t>
            </w:r>
            <w:r w:rsidRPr="002C435D">
              <w:rPr>
                <w:rFonts w:ascii="Times New Roman" w:hAnsi="Times New Roman" w:cs="Times New Roman"/>
                <w:sz w:val="24"/>
                <w:vertAlign w:val="superscript"/>
              </w:rPr>
              <w:t>5</w:t>
            </w:r>
          </w:p>
        </w:tc>
      </w:tr>
      <w:tr w:rsidR="00F51BF0" w:rsidRPr="002C435D" w:rsidTr="006A6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BF0" w:rsidRPr="002C435D" w:rsidRDefault="00F51BF0" w:rsidP="006A6315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2C435D">
              <w:rPr>
                <w:rFonts w:ascii="Times New Roman" w:hAnsi="Times New Roman" w:cs="Times New Roman"/>
                <w:sz w:val="24"/>
              </w:rPr>
              <w:t>2.75 x 10</w:t>
            </w:r>
            <w:r w:rsidRPr="002C435D">
              <w:rPr>
                <w:rFonts w:ascii="Times New Roman" w:hAnsi="Times New Roman" w:cs="Times New Roman"/>
                <w:sz w:val="24"/>
                <w:vertAlign w:val="superscript"/>
              </w:rPr>
              <w:t>5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F51BF0" w:rsidRPr="002C435D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C435D">
              <w:rPr>
                <w:rFonts w:ascii="Times New Roman" w:hAnsi="Times New Roman" w:cs="Times New Roman"/>
                <w:sz w:val="24"/>
              </w:rPr>
              <w:t>L23201</w:t>
            </w:r>
          </w:p>
        </w:tc>
        <w:tc>
          <w:tcPr>
            <w:tcW w:w="1526" w:type="dxa"/>
            <w:tcBorders>
              <w:top w:val="single" w:sz="12" w:space="0" w:color="auto"/>
            </w:tcBorders>
          </w:tcPr>
          <w:p w:rsidR="00F51BF0" w:rsidRPr="002C435D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C435D">
              <w:rPr>
                <w:rFonts w:ascii="Times New Roman" w:hAnsi="Times New Roman" w:cs="Times New Roman"/>
                <w:sz w:val="24"/>
              </w:rPr>
              <w:t>ND</w:t>
            </w:r>
          </w:p>
        </w:tc>
        <w:tc>
          <w:tcPr>
            <w:tcW w:w="1526" w:type="dxa"/>
            <w:tcBorders>
              <w:top w:val="single" w:sz="12" w:space="0" w:color="auto"/>
            </w:tcBorders>
          </w:tcPr>
          <w:p w:rsidR="00F51BF0" w:rsidRPr="002C435D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C435D">
              <w:rPr>
                <w:rFonts w:ascii="Times New Roman" w:hAnsi="Times New Roman" w:cs="Times New Roman"/>
                <w:sz w:val="24"/>
              </w:rPr>
              <w:t>&lt;2.5 x 10</w:t>
            </w:r>
            <w:r w:rsidRPr="002C435D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  <w:p w:rsidR="00F51BF0" w:rsidRPr="002C435D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C435D">
              <w:rPr>
                <w:rFonts w:ascii="Times New Roman" w:hAnsi="Times New Roman" w:cs="Times New Roman"/>
                <w:sz w:val="24"/>
              </w:rPr>
              <w:t>(&lt;LLOQ)</w:t>
            </w:r>
          </w:p>
        </w:tc>
        <w:tc>
          <w:tcPr>
            <w:tcW w:w="1526" w:type="dxa"/>
            <w:tcBorders>
              <w:top w:val="single" w:sz="12" w:space="0" w:color="auto"/>
            </w:tcBorders>
          </w:tcPr>
          <w:p w:rsidR="00F51BF0" w:rsidRPr="002C435D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C435D">
              <w:rPr>
                <w:rFonts w:ascii="Times New Roman" w:hAnsi="Times New Roman" w:cs="Times New Roman"/>
                <w:sz w:val="24"/>
              </w:rPr>
              <w:t>9.73 x 10</w:t>
            </w:r>
            <w:r w:rsidRPr="002C435D">
              <w:rPr>
                <w:rFonts w:ascii="Times New Roman" w:hAnsi="Times New Roman" w:cs="Times New Roman"/>
                <w:sz w:val="24"/>
                <w:vertAlign w:val="superscript"/>
              </w:rPr>
              <w:t>5</w:t>
            </w:r>
          </w:p>
        </w:tc>
        <w:tc>
          <w:tcPr>
            <w:tcW w:w="1526" w:type="dxa"/>
            <w:tcBorders>
              <w:top w:val="single" w:sz="12" w:space="0" w:color="auto"/>
            </w:tcBorders>
          </w:tcPr>
          <w:p w:rsidR="00F51BF0" w:rsidRPr="002C435D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C435D">
              <w:rPr>
                <w:rFonts w:ascii="Times New Roman" w:hAnsi="Times New Roman" w:cs="Times New Roman"/>
                <w:sz w:val="24"/>
              </w:rPr>
              <w:t>TTD = 4        9.8 x 10</w:t>
            </w:r>
            <w:r w:rsidRPr="002C435D">
              <w:rPr>
                <w:rFonts w:ascii="Times New Roman" w:hAnsi="Times New Roman" w:cs="Times New Roman"/>
                <w:sz w:val="24"/>
                <w:vertAlign w:val="superscript"/>
              </w:rPr>
              <w:t>5</w:t>
            </w:r>
          </w:p>
        </w:tc>
      </w:tr>
      <w:tr w:rsidR="00F51BF0" w:rsidRPr="002C435D" w:rsidTr="006A6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tcBorders>
              <w:right w:val="single" w:sz="12" w:space="0" w:color="auto"/>
            </w:tcBorders>
          </w:tcPr>
          <w:p w:rsidR="00F51BF0" w:rsidRPr="002C435D" w:rsidRDefault="00F51BF0" w:rsidP="006A6315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F51BF0" w:rsidRPr="002C435D" w:rsidRDefault="00F51BF0" w:rsidP="006A631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C435D">
              <w:rPr>
                <w:rFonts w:ascii="Times New Roman" w:hAnsi="Times New Roman" w:cs="Times New Roman"/>
                <w:sz w:val="24"/>
              </w:rPr>
              <w:t>L23234</w:t>
            </w:r>
          </w:p>
        </w:tc>
        <w:tc>
          <w:tcPr>
            <w:tcW w:w="1526" w:type="dxa"/>
          </w:tcPr>
          <w:p w:rsidR="00F51BF0" w:rsidRPr="002C435D" w:rsidRDefault="00F51BF0" w:rsidP="006A631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C435D">
              <w:rPr>
                <w:rFonts w:ascii="Times New Roman" w:hAnsi="Times New Roman" w:cs="Times New Roman"/>
                <w:sz w:val="24"/>
              </w:rPr>
              <w:t>ND</w:t>
            </w:r>
          </w:p>
        </w:tc>
        <w:tc>
          <w:tcPr>
            <w:tcW w:w="1526" w:type="dxa"/>
          </w:tcPr>
          <w:p w:rsidR="00F51BF0" w:rsidRPr="002C435D" w:rsidRDefault="00F51BF0" w:rsidP="006A631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C435D">
              <w:rPr>
                <w:rFonts w:ascii="Times New Roman" w:hAnsi="Times New Roman" w:cs="Times New Roman"/>
                <w:sz w:val="24"/>
              </w:rPr>
              <w:t>ND</w:t>
            </w:r>
          </w:p>
        </w:tc>
        <w:tc>
          <w:tcPr>
            <w:tcW w:w="1526" w:type="dxa"/>
          </w:tcPr>
          <w:p w:rsidR="00F51BF0" w:rsidRPr="002C435D" w:rsidRDefault="00F51BF0" w:rsidP="006A631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C435D">
              <w:rPr>
                <w:rFonts w:ascii="Times New Roman" w:hAnsi="Times New Roman" w:cs="Times New Roman"/>
                <w:sz w:val="24"/>
              </w:rPr>
              <w:t>&lt;2.5 x 10</w:t>
            </w:r>
            <w:r w:rsidRPr="002C435D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  <w:p w:rsidR="00F51BF0" w:rsidRPr="002C435D" w:rsidRDefault="00F51BF0" w:rsidP="006A631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C435D">
              <w:rPr>
                <w:rFonts w:ascii="Times New Roman" w:hAnsi="Times New Roman" w:cs="Times New Roman"/>
                <w:sz w:val="24"/>
              </w:rPr>
              <w:t>(&lt;LLOQ)</w:t>
            </w:r>
          </w:p>
        </w:tc>
        <w:tc>
          <w:tcPr>
            <w:tcW w:w="1526" w:type="dxa"/>
          </w:tcPr>
          <w:p w:rsidR="00F51BF0" w:rsidRPr="002C435D" w:rsidRDefault="00F51BF0" w:rsidP="006A631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C435D">
              <w:rPr>
                <w:rFonts w:ascii="Times New Roman" w:hAnsi="Times New Roman" w:cs="Times New Roman"/>
                <w:sz w:val="24"/>
              </w:rPr>
              <w:t>TTD = 6      5.43 x 10</w:t>
            </w:r>
            <w:r w:rsidRPr="002C435D">
              <w:rPr>
                <w:rFonts w:ascii="Times New Roman" w:hAnsi="Times New Roman" w:cs="Times New Roman"/>
                <w:sz w:val="24"/>
                <w:vertAlign w:val="superscript"/>
              </w:rPr>
              <w:t>6</w:t>
            </w:r>
          </w:p>
        </w:tc>
      </w:tr>
      <w:tr w:rsidR="00F51BF0" w:rsidRPr="002C435D" w:rsidTr="006A6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tcBorders>
              <w:right w:val="single" w:sz="12" w:space="0" w:color="auto"/>
            </w:tcBorders>
          </w:tcPr>
          <w:p w:rsidR="00F51BF0" w:rsidRPr="002C435D" w:rsidRDefault="00F51BF0" w:rsidP="006A6315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F51BF0" w:rsidRPr="002C435D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C435D">
              <w:rPr>
                <w:rFonts w:ascii="Times New Roman" w:hAnsi="Times New Roman" w:cs="Times New Roman"/>
                <w:sz w:val="24"/>
              </w:rPr>
              <w:t>L23200</w:t>
            </w:r>
          </w:p>
        </w:tc>
        <w:tc>
          <w:tcPr>
            <w:tcW w:w="1526" w:type="dxa"/>
          </w:tcPr>
          <w:p w:rsidR="00F51BF0" w:rsidRPr="002C435D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C435D">
              <w:rPr>
                <w:rFonts w:ascii="Times New Roman" w:hAnsi="Times New Roman" w:cs="Times New Roman"/>
                <w:sz w:val="24"/>
              </w:rPr>
              <w:t>&lt;2.5 x 10</w:t>
            </w:r>
            <w:r w:rsidRPr="002C435D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  <w:p w:rsidR="00F51BF0" w:rsidRPr="002C435D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C435D">
              <w:rPr>
                <w:rFonts w:ascii="Times New Roman" w:hAnsi="Times New Roman" w:cs="Times New Roman"/>
                <w:sz w:val="24"/>
              </w:rPr>
              <w:t>(&lt;LLOQ)</w:t>
            </w:r>
          </w:p>
        </w:tc>
        <w:tc>
          <w:tcPr>
            <w:tcW w:w="1526" w:type="dxa"/>
          </w:tcPr>
          <w:p w:rsidR="00F51BF0" w:rsidRPr="002C435D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C435D">
              <w:rPr>
                <w:rFonts w:ascii="Times New Roman" w:hAnsi="Times New Roman" w:cs="Times New Roman"/>
                <w:sz w:val="24"/>
              </w:rPr>
              <w:t>&lt;2.5 x 10</w:t>
            </w:r>
            <w:r w:rsidRPr="002C435D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  <w:p w:rsidR="00F51BF0" w:rsidRPr="002C435D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C435D">
              <w:rPr>
                <w:rFonts w:ascii="Times New Roman" w:hAnsi="Times New Roman" w:cs="Times New Roman"/>
                <w:sz w:val="24"/>
              </w:rPr>
              <w:t>(&lt;LLOQ)</w:t>
            </w:r>
          </w:p>
        </w:tc>
        <w:tc>
          <w:tcPr>
            <w:tcW w:w="1526" w:type="dxa"/>
          </w:tcPr>
          <w:p w:rsidR="00F51BF0" w:rsidRPr="002C435D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C435D">
              <w:rPr>
                <w:rFonts w:ascii="Times New Roman" w:hAnsi="Times New Roman" w:cs="Times New Roman"/>
                <w:sz w:val="24"/>
              </w:rPr>
              <w:t>TDD = 3       &lt;2.5 x 10</w:t>
            </w:r>
            <w:r w:rsidRPr="002C435D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526" w:type="dxa"/>
            <w:shd w:val="clear" w:color="auto" w:fill="A6A6A6" w:themeFill="background1" w:themeFillShade="A6"/>
          </w:tcPr>
          <w:p w:rsidR="00F51BF0" w:rsidRPr="002C435D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BF0" w:rsidRPr="002C435D" w:rsidTr="006A6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BF0" w:rsidRPr="002C435D" w:rsidRDefault="00F51BF0" w:rsidP="006A6315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</w:tcPr>
          <w:p w:rsidR="00F51BF0" w:rsidRPr="002C435D" w:rsidRDefault="00F51BF0" w:rsidP="006A631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C435D">
              <w:rPr>
                <w:rFonts w:ascii="Times New Roman" w:hAnsi="Times New Roman" w:cs="Times New Roman"/>
                <w:sz w:val="24"/>
              </w:rPr>
              <w:t>L23214</w:t>
            </w:r>
          </w:p>
        </w:tc>
        <w:tc>
          <w:tcPr>
            <w:tcW w:w="1526" w:type="dxa"/>
            <w:tcBorders>
              <w:bottom w:val="single" w:sz="12" w:space="0" w:color="auto"/>
            </w:tcBorders>
          </w:tcPr>
          <w:p w:rsidR="00F51BF0" w:rsidRPr="002C435D" w:rsidRDefault="00F51BF0" w:rsidP="006A631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C435D">
              <w:rPr>
                <w:rFonts w:ascii="Times New Roman" w:hAnsi="Times New Roman" w:cs="Times New Roman"/>
                <w:sz w:val="24"/>
              </w:rPr>
              <w:t>ND</w:t>
            </w:r>
          </w:p>
        </w:tc>
        <w:tc>
          <w:tcPr>
            <w:tcW w:w="1526" w:type="dxa"/>
            <w:tcBorders>
              <w:bottom w:val="single" w:sz="12" w:space="0" w:color="auto"/>
            </w:tcBorders>
          </w:tcPr>
          <w:p w:rsidR="00F51BF0" w:rsidRPr="002C435D" w:rsidRDefault="00F51BF0" w:rsidP="006A631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C435D">
              <w:rPr>
                <w:rFonts w:ascii="Times New Roman" w:hAnsi="Times New Roman" w:cs="Times New Roman"/>
                <w:sz w:val="24"/>
              </w:rPr>
              <w:t>8.23 x 10</w:t>
            </w:r>
            <w:r w:rsidRPr="002C435D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526" w:type="dxa"/>
            <w:tcBorders>
              <w:bottom w:val="single" w:sz="12" w:space="0" w:color="auto"/>
            </w:tcBorders>
          </w:tcPr>
          <w:p w:rsidR="00F51BF0" w:rsidRPr="002C435D" w:rsidRDefault="00F51BF0" w:rsidP="006A631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C435D">
              <w:rPr>
                <w:rFonts w:ascii="Times New Roman" w:hAnsi="Times New Roman" w:cs="Times New Roman"/>
                <w:sz w:val="24"/>
              </w:rPr>
              <w:t>ND using qualitative test</w:t>
            </w:r>
          </w:p>
        </w:tc>
        <w:tc>
          <w:tcPr>
            <w:tcW w:w="1526" w:type="dxa"/>
            <w:tcBorders>
              <w:bottom w:val="single" w:sz="12" w:space="0" w:color="auto"/>
            </w:tcBorders>
          </w:tcPr>
          <w:p w:rsidR="00F51BF0" w:rsidRPr="002C435D" w:rsidRDefault="00F51BF0" w:rsidP="006A631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C435D">
              <w:rPr>
                <w:rFonts w:ascii="Times New Roman" w:hAnsi="Times New Roman" w:cs="Times New Roman"/>
                <w:sz w:val="24"/>
              </w:rPr>
              <w:t>TTD = 6                ND</w:t>
            </w:r>
          </w:p>
        </w:tc>
      </w:tr>
      <w:tr w:rsidR="00F51BF0" w:rsidRPr="002C435D" w:rsidTr="006A6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BF0" w:rsidRPr="002C435D" w:rsidRDefault="00F51BF0" w:rsidP="006A6315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2C435D">
              <w:rPr>
                <w:rFonts w:ascii="Times New Roman" w:hAnsi="Times New Roman" w:cs="Times New Roman"/>
                <w:sz w:val="24"/>
              </w:rPr>
              <w:t>8.27 x 10</w:t>
            </w:r>
            <w:r w:rsidRPr="002C435D">
              <w:rPr>
                <w:rFonts w:ascii="Times New Roman" w:hAnsi="Times New Roman" w:cs="Times New Roman"/>
                <w:sz w:val="24"/>
                <w:vertAlign w:val="superscript"/>
              </w:rPr>
              <w:t>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F51BF0" w:rsidRPr="002C435D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C435D">
              <w:rPr>
                <w:rFonts w:ascii="Times New Roman" w:hAnsi="Times New Roman" w:cs="Times New Roman"/>
                <w:sz w:val="24"/>
              </w:rPr>
              <w:t>L23204</w:t>
            </w:r>
          </w:p>
        </w:tc>
        <w:tc>
          <w:tcPr>
            <w:tcW w:w="1526" w:type="dxa"/>
            <w:tcBorders>
              <w:top w:val="single" w:sz="12" w:space="0" w:color="auto"/>
            </w:tcBorders>
          </w:tcPr>
          <w:p w:rsidR="00F51BF0" w:rsidRPr="002C435D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C435D">
              <w:rPr>
                <w:rFonts w:ascii="Times New Roman" w:hAnsi="Times New Roman" w:cs="Times New Roman"/>
                <w:sz w:val="24"/>
              </w:rPr>
              <w:t>&lt;2.5 x 10</w:t>
            </w:r>
            <w:r w:rsidRPr="002C435D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  <w:p w:rsidR="00F51BF0" w:rsidRPr="002C435D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C435D">
              <w:rPr>
                <w:rFonts w:ascii="Times New Roman" w:hAnsi="Times New Roman" w:cs="Times New Roman"/>
                <w:sz w:val="24"/>
              </w:rPr>
              <w:t>(&lt;LLOQ)</w:t>
            </w:r>
          </w:p>
        </w:tc>
        <w:tc>
          <w:tcPr>
            <w:tcW w:w="1526" w:type="dxa"/>
            <w:tcBorders>
              <w:top w:val="single" w:sz="12" w:space="0" w:color="auto"/>
            </w:tcBorders>
          </w:tcPr>
          <w:p w:rsidR="00F51BF0" w:rsidRPr="002C435D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C435D">
              <w:rPr>
                <w:rFonts w:ascii="Times New Roman" w:hAnsi="Times New Roman" w:cs="Times New Roman"/>
                <w:sz w:val="24"/>
              </w:rPr>
              <w:t>&lt;2.5 x 10</w:t>
            </w:r>
            <w:r w:rsidRPr="002C435D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  <w:p w:rsidR="00F51BF0" w:rsidRPr="002C435D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C435D">
              <w:rPr>
                <w:rFonts w:ascii="Times New Roman" w:hAnsi="Times New Roman" w:cs="Times New Roman"/>
                <w:sz w:val="24"/>
              </w:rPr>
              <w:t>(&lt;LLOQ)</w:t>
            </w:r>
          </w:p>
        </w:tc>
        <w:tc>
          <w:tcPr>
            <w:tcW w:w="1526" w:type="dxa"/>
            <w:tcBorders>
              <w:top w:val="single" w:sz="12" w:space="0" w:color="auto"/>
            </w:tcBorders>
          </w:tcPr>
          <w:p w:rsidR="00F51BF0" w:rsidRPr="002C435D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C435D">
              <w:rPr>
                <w:rFonts w:ascii="Times New Roman" w:hAnsi="Times New Roman" w:cs="Times New Roman"/>
                <w:sz w:val="24"/>
              </w:rPr>
              <w:t>2.8 x 10</w:t>
            </w:r>
            <w:r w:rsidRPr="002C435D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526" w:type="dxa"/>
            <w:tcBorders>
              <w:top w:val="single" w:sz="12" w:space="0" w:color="auto"/>
            </w:tcBorders>
          </w:tcPr>
          <w:p w:rsidR="00F51BF0" w:rsidRPr="002C435D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C435D">
              <w:rPr>
                <w:rFonts w:ascii="Times New Roman" w:hAnsi="Times New Roman" w:cs="Times New Roman"/>
                <w:sz w:val="24"/>
              </w:rPr>
              <w:t>TTD = 4        1.15 x 10</w:t>
            </w:r>
            <w:r w:rsidRPr="002C435D">
              <w:rPr>
                <w:rFonts w:ascii="Times New Roman" w:hAnsi="Times New Roman" w:cs="Times New Roman"/>
                <w:sz w:val="24"/>
                <w:vertAlign w:val="superscript"/>
              </w:rPr>
              <w:t>5</w:t>
            </w:r>
          </w:p>
        </w:tc>
      </w:tr>
      <w:tr w:rsidR="00F51BF0" w:rsidRPr="002C435D" w:rsidTr="006A6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tcBorders>
              <w:right w:val="single" w:sz="12" w:space="0" w:color="auto"/>
            </w:tcBorders>
          </w:tcPr>
          <w:p w:rsidR="00F51BF0" w:rsidRPr="002C435D" w:rsidRDefault="00F51BF0" w:rsidP="006A6315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F51BF0" w:rsidRPr="002C435D" w:rsidRDefault="00F51BF0" w:rsidP="006A631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C435D">
              <w:rPr>
                <w:rFonts w:ascii="Times New Roman" w:hAnsi="Times New Roman" w:cs="Times New Roman"/>
                <w:sz w:val="24"/>
              </w:rPr>
              <w:t>L23203</w:t>
            </w:r>
          </w:p>
        </w:tc>
        <w:tc>
          <w:tcPr>
            <w:tcW w:w="1526" w:type="dxa"/>
          </w:tcPr>
          <w:p w:rsidR="00F51BF0" w:rsidRPr="002C435D" w:rsidRDefault="00F51BF0" w:rsidP="006A631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C435D">
              <w:rPr>
                <w:rFonts w:ascii="Times New Roman" w:hAnsi="Times New Roman" w:cs="Times New Roman"/>
                <w:sz w:val="24"/>
              </w:rPr>
              <w:t>ND</w:t>
            </w:r>
          </w:p>
        </w:tc>
        <w:tc>
          <w:tcPr>
            <w:tcW w:w="1526" w:type="dxa"/>
          </w:tcPr>
          <w:p w:rsidR="00F51BF0" w:rsidRPr="002C435D" w:rsidRDefault="00F51BF0" w:rsidP="006A631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C435D">
              <w:rPr>
                <w:rFonts w:ascii="Times New Roman" w:hAnsi="Times New Roman" w:cs="Times New Roman"/>
                <w:sz w:val="24"/>
              </w:rPr>
              <w:t>&lt;2.5 x 10</w:t>
            </w:r>
            <w:r w:rsidRPr="002C435D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  <w:p w:rsidR="00F51BF0" w:rsidRPr="002C435D" w:rsidRDefault="00F51BF0" w:rsidP="006A631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C435D">
              <w:rPr>
                <w:rFonts w:ascii="Times New Roman" w:hAnsi="Times New Roman" w:cs="Times New Roman"/>
                <w:sz w:val="24"/>
              </w:rPr>
              <w:t>(&lt;LLOQ)</w:t>
            </w:r>
          </w:p>
        </w:tc>
        <w:tc>
          <w:tcPr>
            <w:tcW w:w="1526" w:type="dxa"/>
          </w:tcPr>
          <w:p w:rsidR="00F51BF0" w:rsidRPr="002C435D" w:rsidRDefault="00F51BF0" w:rsidP="006A631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C435D">
              <w:rPr>
                <w:rFonts w:ascii="Times New Roman" w:hAnsi="Times New Roman" w:cs="Times New Roman"/>
                <w:sz w:val="24"/>
              </w:rPr>
              <w:t>&lt;2.5 x 10</w:t>
            </w:r>
            <w:r w:rsidRPr="002C435D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  <w:p w:rsidR="00F51BF0" w:rsidRPr="002C435D" w:rsidRDefault="00F51BF0" w:rsidP="006A631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C435D">
              <w:rPr>
                <w:rFonts w:ascii="Times New Roman" w:hAnsi="Times New Roman" w:cs="Times New Roman"/>
                <w:sz w:val="24"/>
              </w:rPr>
              <w:t>(&lt;LLOQ)</w:t>
            </w:r>
          </w:p>
        </w:tc>
        <w:tc>
          <w:tcPr>
            <w:tcW w:w="1526" w:type="dxa"/>
          </w:tcPr>
          <w:p w:rsidR="00F51BF0" w:rsidRPr="002C435D" w:rsidRDefault="00F51BF0" w:rsidP="006A631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C435D">
              <w:rPr>
                <w:rFonts w:ascii="Times New Roman" w:hAnsi="Times New Roman" w:cs="Times New Roman"/>
                <w:sz w:val="24"/>
              </w:rPr>
              <w:t>TTD = 5      3.03 x 10</w:t>
            </w:r>
            <w:r w:rsidRPr="002C435D">
              <w:rPr>
                <w:rFonts w:ascii="Times New Roman" w:hAnsi="Times New Roman" w:cs="Times New Roman"/>
                <w:sz w:val="24"/>
                <w:vertAlign w:val="superscript"/>
              </w:rPr>
              <w:t>7</w:t>
            </w:r>
          </w:p>
        </w:tc>
      </w:tr>
      <w:tr w:rsidR="00F51BF0" w:rsidRPr="002C435D" w:rsidTr="006A6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tcBorders>
              <w:right w:val="single" w:sz="12" w:space="0" w:color="auto"/>
            </w:tcBorders>
          </w:tcPr>
          <w:p w:rsidR="00F51BF0" w:rsidRPr="002C435D" w:rsidRDefault="00F51BF0" w:rsidP="006A6315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F51BF0" w:rsidRPr="002C435D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C435D">
              <w:rPr>
                <w:rFonts w:ascii="Times New Roman" w:hAnsi="Times New Roman" w:cs="Times New Roman"/>
                <w:sz w:val="24"/>
              </w:rPr>
              <w:t>L23213</w:t>
            </w:r>
          </w:p>
        </w:tc>
        <w:tc>
          <w:tcPr>
            <w:tcW w:w="1526" w:type="dxa"/>
          </w:tcPr>
          <w:p w:rsidR="00F51BF0" w:rsidRPr="002C435D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C435D">
              <w:rPr>
                <w:rFonts w:ascii="Times New Roman" w:hAnsi="Times New Roman" w:cs="Times New Roman"/>
                <w:sz w:val="24"/>
              </w:rPr>
              <w:t>ND</w:t>
            </w:r>
          </w:p>
        </w:tc>
        <w:tc>
          <w:tcPr>
            <w:tcW w:w="1526" w:type="dxa"/>
          </w:tcPr>
          <w:p w:rsidR="00F51BF0" w:rsidRPr="002C435D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C435D">
              <w:rPr>
                <w:rFonts w:ascii="Times New Roman" w:hAnsi="Times New Roman" w:cs="Times New Roman"/>
                <w:sz w:val="24"/>
              </w:rPr>
              <w:t>&lt;2.5 x 10</w:t>
            </w:r>
            <w:r w:rsidRPr="002C435D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  <w:p w:rsidR="00F51BF0" w:rsidRPr="002C435D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C435D">
              <w:rPr>
                <w:rFonts w:ascii="Times New Roman" w:hAnsi="Times New Roman" w:cs="Times New Roman"/>
                <w:sz w:val="24"/>
              </w:rPr>
              <w:t>(&lt;LLOQ)</w:t>
            </w:r>
          </w:p>
        </w:tc>
        <w:tc>
          <w:tcPr>
            <w:tcW w:w="1526" w:type="dxa"/>
          </w:tcPr>
          <w:p w:rsidR="00F51BF0" w:rsidRPr="002C435D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C435D">
              <w:rPr>
                <w:rFonts w:ascii="Times New Roman" w:hAnsi="Times New Roman" w:cs="Times New Roman"/>
                <w:sz w:val="24"/>
              </w:rPr>
              <w:t>TTD = 3        1.31 x 10</w:t>
            </w:r>
            <w:r w:rsidRPr="002C435D">
              <w:rPr>
                <w:rFonts w:ascii="Times New Roman" w:hAnsi="Times New Roman" w:cs="Times New Roman"/>
                <w:sz w:val="24"/>
                <w:vertAlign w:val="superscript"/>
              </w:rPr>
              <w:t>5</w:t>
            </w:r>
          </w:p>
        </w:tc>
        <w:tc>
          <w:tcPr>
            <w:tcW w:w="1526" w:type="dxa"/>
            <w:shd w:val="clear" w:color="auto" w:fill="A6A6A6" w:themeFill="background1" w:themeFillShade="A6"/>
          </w:tcPr>
          <w:p w:rsidR="00F51BF0" w:rsidRPr="002C435D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BF0" w:rsidRPr="002C435D" w:rsidTr="006A6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tcBorders>
              <w:right w:val="single" w:sz="12" w:space="0" w:color="auto"/>
            </w:tcBorders>
          </w:tcPr>
          <w:p w:rsidR="00F51BF0" w:rsidRPr="002C435D" w:rsidRDefault="00F51BF0" w:rsidP="006A6315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F51BF0" w:rsidRPr="002C435D" w:rsidRDefault="00F51BF0" w:rsidP="006A631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C435D">
              <w:rPr>
                <w:rFonts w:ascii="Times New Roman" w:hAnsi="Times New Roman" w:cs="Times New Roman"/>
                <w:sz w:val="24"/>
              </w:rPr>
              <w:t>L23221</w:t>
            </w:r>
          </w:p>
        </w:tc>
        <w:tc>
          <w:tcPr>
            <w:tcW w:w="1526" w:type="dxa"/>
          </w:tcPr>
          <w:p w:rsidR="00F51BF0" w:rsidRPr="002C435D" w:rsidRDefault="00F51BF0" w:rsidP="006A631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C435D">
              <w:rPr>
                <w:rFonts w:ascii="Times New Roman" w:hAnsi="Times New Roman" w:cs="Times New Roman"/>
                <w:sz w:val="24"/>
              </w:rPr>
              <w:t>NS</w:t>
            </w:r>
          </w:p>
        </w:tc>
        <w:tc>
          <w:tcPr>
            <w:tcW w:w="1526" w:type="dxa"/>
          </w:tcPr>
          <w:p w:rsidR="00F51BF0" w:rsidRPr="002C435D" w:rsidRDefault="00F51BF0" w:rsidP="006A631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C435D">
              <w:rPr>
                <w:rFonts w:ascii="Times New Roman" w:hAnsi="Times New Roman" w:cs="Times New Roman"/>
                <w:sz w:val="24"/>
              </w:rPr>
              <w:t>TTD = 2      2.58 x 10</w:t>
            </w:r>
            <w:r w:rsidRPr="002C435D">
              <w:rPr>
                <w:rFonts w:ascii="Times New Roman" w:hAnsi="Times New Roman" w:cs="Times New Roman"/>
                <w:sz w:val="24"/>
                <w:vertAlign w:val="superscript"/>
              </w:rPr>
              <w:t>6</w:t>
            </w:r>
          </w:p>
        </w:tc>
        <w:tc>
          <w:tcPr>
            <w:tcW w:w="1526" w:type="dxa"/>
            <w:shd w:val="clear" w:color="auto" w:fill="A6A6A6" w:themeFill="background1" w:themeFillShade="A6"/>
          </w:tcPr>
          <w:p w:rsidR="00F51BF0" w:rsidRPr="002C435D" w:rsidRDefault="00F51BF0" w:rsidP="006A631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6" w:type="dxa"/>
            <w:shd w:val="clear" w:color="auto" w:fill="A6A6A6" w:themeFill="background1" w:themeFillShade="A6"/>
          </w:tcPr>
          <w:p w:rsidR="00F51BF0" w:rsidRPr="002C435D" w:rsidRDefault="00F51BF0" w:rsidP="006A631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BF0" w:rsidRPr="002C435D" w:rsidTr="006A6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BF0" w:rsidRPr="002C435D" w:rsidRDefault="00F51BF0" w:rsidP="006A6315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</w:tcPr>
          <w:p w:rsidR="00F51BF0" w:rsidRPr="002C435D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C435D">
              <w:rPr>
                <w:rFonts w:ascii="Times New Roman" w:hAnsi="Times New Roman" w:cs="Times New Roman"/>
                <w:sz w:val="24"/>
              </w:rPr>
              <w:t>L23232</w:t>
            </w:r>
          </w:p>
        </w:tc>
        <w:tc>
          <w:tcPr>
            <w:tcW w:w="1526" w:type="dxa"/>
            <w:tcBorders>
              <w:bottom w:val="single" w:sz="12" w:space="0" w:color="auto"/>
            </w:tcBorders>
          </w:tcPr>
          <w:p w:rsidR="00F51BF0" w:rsidRPr="002C435D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C435D">
              <w:rPr>
                <w:rFonts w:ascii="Times New Roman" w:hAnsi="Times New Roman" w:cs="Times New Roman"/>
                <w:sz w:val="24"/>
              </w:rPr>
              <w:t>&lt;2.5 x 10</w:t>
            </w:r>
            <w:r w:rsidRPr="002C435D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  <w:p w:rsidR="00F51BF0" w:rsidRPr="002C435D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C435D">
              <w:rPr>
                <w:rFonts w:ascii="Times New Roman" w:hAnsi="Times New Roman" w:cs="Times New Roman"/>
                <w:sz w:val="24"/>
              </w:rPr>
              <w:t>(&lt;LLOQ)</w:t>
            </w:r>
          </w:p>
        </w:tc>
        <w:tc>
          <w:tcPr>
            <w:tcW w:w="1526" w:type="dxa"/>
            <w:tcBorders>
              <w:bottom w:val="single" w:sz="12" w:space="0" w:color="auto"/>
            </w:tcBorders>
          </w:tcPr>
          <w:p w:rsidR="00F51BF0" w:rsidRPr="002C435D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C435D">
              <w:rPr>
                <w:rFonts w:ascii="Times New Roman" w:hAnsi="Times New Roman" w:cs="Times New Roman"/>
                <w:sz w:val="24"/>
              </w:rPr>
              <w:t>ND</w:t>
            </w:r>
          </w:p>
        </w:tc>
        <w:tc>
          <w:tcPr>
            <w:tcW w:w="1526" w:type="dxa"/>
            <w:tcBorders>
              <w:bottom w:val="single" w:sz="12" w:space="0" w:color="auto"/>
            </w:tcBorders>
          </w:tcPr>
          <w:p w:rsidR="00F51BF0" w:rsidRPr="002C435D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C435D">
              <w:rPr>
                <w:rFonts w:ascii="Times New Roman" w:hAnsi="Times New Roman" w:cs="Times New Roman"/>
                <w:sz w:val="24"/>
              </w:rPr>
              <w:t>2.77 x 10</w:t>
            </w:r>
            <w:r w:rsidRPr="002C435D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526" w:type="dxa"/>
            <w:tcBorders>
              <w:bottom w:val="single" w:sz="12" w:space="0" w:color="auto"/>
            </w:tcBorders>
          </w:tcPr>
          <w:p w:rsidR="00F51BF0" w:rsidRPr="002C435D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C435D">
              <w:rPr>
                <w:rFonts w:ascii="Times New Roman" w:hAnsi="Times New Roman" w:cs="Times New Roman"/>
                <w:sz w:val="24"/>
              </w:rPr>
              <w:t>TTD = 4            ND using qualitative test</w:t>
            </w:r>
          </w:p>
        </w:tc>
      </w:tr>
    </w:tbl>
    <w:p w:rsidR="00F51BF0" w:rsidRPr="002B3301" w:rsidRDefault="00F51BF0" w:rsidP="00F51BF0">
      <w:pPr>
        <w:pStyle w:val="BHNormal"/>
        <w:spacing w:line="480" w:lineRule="auto"/>
        <w:rPr>
          <w:noProof/>
          <w:vertAlign w:val="superscript"/>
        </w:rPr>
      </w:pPr>
      <w:r>
        <w:rPr>
          <w:noProof/>
          <w:vertAlign w:val="superscript"/>
        </w:rPr>
        <w:t>a</w:t>
      </w:r>
      <w:r>
        <w:rPr>
          <w:noProof/>
        </w:rPr>
        <w:t xml:space="preserve"> Bacteremia measurements conducted on Study Days 1, 2, 3, 7, 14, and 21</w:t>
      </w:r>
    </w:p>
    <w:p w:rsidR="00F51BF0" w:rsidRPr="002B3301" w:rsidRDefault="00F51BF0" w:rsidP="00F51BF0">
      <w:pPr>
        <w:pStyle w:val="BHNormal"/>
        <w:spacing w:line="480" w:lineRule="auto"/>
        <w:rPr>
          <w:noProof/>
        </w:rPr>
      </w:pPr>
      <w:r>
        <w:rPr>
          <w:noProof/>
        </w:rPr>
        <w:t xml:space="preserve">LLOQ – lower level of quantification of </w:t>
      </w:r>
      <w:r w:rsidRPr="002B3301">
        <w:rPr>
          <w:noProof/>
        </w:rPr>
        <w:t>2.5 x 10</w:t>
      </w:r>
      <w:r w:rsidRPr="002B3301">
        <w:rPr>
          <w:noProof/>
          <w:vertAlign w:val="superscript"/>
        </w:rPr>
        <w:t>3</w:t>
      </w:r>
      <w:r>
        <w:rPr>
          <w:noProof/>
        </w:rPr>
        <w:t xml:space="preserve"> CFU</w:t>
      </w:r>
    </w:p>
    <w:p w:rsidR="00F51BF0" w:rsidRDefault="00F51BF0" w:rsidP="00F51BF0">
      <w:pPr>
        <w:pStyle w:val="BHNormal"/>
        <w:spacing w:line="480" w:lineRule="auto"/>
        <w:rPr>
          <w:noProof/>
        </w:rPr>
      </w:pPr>
      <w:r w:rsidRPr="002B3301">
        <w:rPr>
          <w:noProof/>
        </w:rPr>
        <w:t>ND</w:t>
      </w:r>
      <w:r>
        <w:rPr>
          <w:noProof/>
        </w:rPr>
        <w:t xml:space="preserve"> – not detected in sample</w:t>
      </w:r>
    </w:p>
    <w:p w:rsidR="00F51BF0" w:rsidRDefault="00F51BF0" w:rsidP="00F51BF0">
      <w:pPr>
        <w:pStyle w:val="BHNormal"/>
        <w:spacing w:line="480" w:lineRule="auto"/>
        <w:rPr>
          <w:noProof/>
        </w:rPr>
      </w:pPr>
      <w:r>
        <w:rPr>
          <w:noProof/>
        </w:rPr>
        <w:t>NS – no sample tested</w:t>
      </w:r>
    </w:p>
    <w:p w:rsidR="00F51BF0" w:rsidRPr="00167E18" w:rsidRDefault="00F51BF0" w:rsidP="00F51BF0">
      <w:pPr>
        <w:pStyle w:val="BHNormal"/>
        <w:spacing w:line="480" w:lineRule="auto"/>
        <w:rPr>
          <w:b/>
          <w:noProof/>
        </w:rPr>
      </w:pPr>
      <w:r>
        <w:rPr>
          <w:noProof/>
        </w:rPr>
        <w:t xml:space="preserve">TTD – time to death </w:t>
      </w:r>
      <w:r w:rsidRPr="00B22D00">
        <w:rPr>
          <w:noProof/>
        </w:rPr>
        <w:t>from challenge day</w:t>
      </w:r>
    </w:p>
    <w:p w:rsidR="00F51BF0" w:rsidRDefault="00F51BF0" w:rsidP="00F51BF0">
      <w:pPr>
        <w:pStyle w:val="BHNormal"/>
        <w:spacing w:line="480" w:lineRule="auto"/>
        <w:rPr>
          <w:b/>
          <w:noProof/>
        </w:rPr>
      </w:pPr>
    </w:p>
    <w:p w:rsidR="00F51BF0" w:rsidRDefault="00F51BF0">
      <w:pPr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br w:type="page"/>
      </w:r>
    </w:p>
    <w:p w:rsidR="00876EC2" w:rsidRPr="00073A37" w:rsidRDefault="00073A37" w:rsidP="00876EC2">
      <w:pPr>
        <w:pStyle w:val="Caption"/>
        <w:spacing w:line="480" w:lineRule="auto"/>
        <w:rPr>
          <w:b w:val="0"/>
          <w:sz w:val="24"/>
        </w:rPr>
      </w:pPr>
      <w:r>
        <w:rPr>
          <w:rFonts w:cstheme="minorHAnsi"/>
          <w:sz w:val="24"/>
        </w:rPr>
        <w:lastRenderedPageBreak/>
        <w:t>TABLE S</w:t>
      </w:r>
      <w:r w:rsidR="00876EC2" w:rsidRPr="00073A37">
        <w:rPr>
          <w:rFonts w:cstheme="minorHAnsi"/>
          <w:sz w:val="24"/>
        </w:rPr>
        <w:t>4.</w:t>
      </w:r>
      <w:r w:rsidR="00876EC2" w:rsidRPr="00073A37">
        <w:rPr>
          <w:rFonts w:cstheme="minorHAnsi"/>
          <w:b w:val="0"/>
          <w:sz w:val="24"/>
        </w:rPr>
        <w:t xml:space="preserve"> </w:t>
      </w:r>
      <w:r w:rsidR="002C5CE4">
        <w:rPr>
          <w:rFonts w:cstheme="minorHAnsi"/>
          <w:sz w:val="24"/>
        </w:rPr>
        <w:t>Comparison of multiple d</w:t>
      </w:r>
      <w:r w:rsidR="007D6A78">
        <w:rPr>
          <w:rFonts w:cstheme="minorHAnsi"/>
          <w:sz w:val="24"/>
        </w:rPr>
        <w:t>ose s</w:t>
      </w:r>
      <w:r w:rsidR="00876EC2" w:rsidRPr="00073A37">
        <w:rPr>
          <w:rFonts w:cstheme="minorHAnsi"/>
          <w:sz w:val="24"/>
        </w:rPr>
        <w:t xml:space="preserve">tudy </w:t>
      </w:r>
      <w:r w:rsidR="007D6A78">
        <w:rPr>
          <w:rFonts w:cstheme="minorHAnsi"/>
          <w:sz w:val="24"/>
        </w:rPr>
        <w:t>days between last blood draw and time to d</w:t>
      </w:r>
      <w:r w:rsidR="00876EC2" w:rsidRPr="00073A37">
        <w:rPr>
          <w:rFonts w:cstheme="minorHAnsi"/>
          <w:sz w:val="24"/>
        </w:rPr>
        <w:t>eath with Comer et al.</w:t>
      </w:r>
      <w:r w:rsidR="00876EC2" w:rsidRPr="00073A37">
        <w:rPr>
          <w:sz w:val="24"/>
        </w:rPr>
        <w:t xml:space="preserve"> </w:t>
      </w:r>
      <w:r w:rsidR="00DD509F">
        <w:rPr>
          <w:sz w:val="24"/>
        </w:rPr>
        <w:fldChar w:fldCharType="begin">
          <w:fldData xml:space="preserve">PEVuZE5vdGU+PENpdGU+PEF1dGhvcj5Db21lcjwvQXV0aG9yPjxZZWFyPjIwMTI8L1llYXI+PFJl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</w:fldData>
        </w:fldChar>
      </w:r>
      <w:r w:rsidR="00DD509F">
        <w:rPr>
          <w:sz w:val="24"/>
        </w:rPr>
        <w:instrText xml:space="preserve"> ADDIN EN.CITE </w:instrText>
      </w:r>
      <w:r w:rsidR="00DD509F">
        <w:rPr>
          <w:sz w:val="24"/>
        </w:rPr>
        <w:fldChar w:fldCharType="begin">
          <w:fldData xml:space="preserve">PEVuZE5vdGU+PENpdGU+PEF1dGhvcj5Db21lcjwvQXV0aG9yPjxZZWFyPjIwMTI8L1llYXI+PFJl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</w:fldData>
        </w:fldChar>
      </w:r>
      <w:r w:rsidR="00DD509F">
        <w:rPr>
          <w:sz w:val="24"/>
        </w:rPr>
        <w:instrText xml:space="preserve"> ADDIN EN.CITE.DATA </w:instrText>
      </w:r>
      <w:r w:rsidR="00DD509F">
        <w:rPr>
          <w:sz w:val="24"/>
        </w:rPr>
      </w:r>
      <w:r w:rsidR="00DD509F">
        <w:rPr>
          <w:sz w:val="24"/>
        </w:rPr>
        <w:fldChar w:fldCharType="end"/>
      </w:r>
      <w:r w:rsidR="00DD509F">
        <w:rPr>
          <w:sz w:val="24"/>
        </w:rPr>
      </w:r>
      <w:r w:rsidR="00DD509F">
        <w:rPr>
          <w:sz w:val="24"/>
        </w:rPr>
        <w:fldChar w:fldCharType="separate"/>
      </w:r>
      <w:r w:rsidR="00DD509F">
        <w:rPr>
          <w:noProof/>
          <w:sz w:val="24"/>
        </w:rPr>
        <w:t>(</w:t>
      </w:r>
      <w:hyperlink w:anchor="_ENREF_2" w:tooltip="Comer, 2012 #1265" w:history="1">
        <w:r w:rsidR="00182D56">
          <w:rPr>
            <w:noProof/>
            <w:sz w:val="24"/>
          </w:rPr>
          <w:t>2</w:t>
        </w:r>
      </w:hyperlink>
      <w:r w:rsidR="00DD509F">
        <w:rPr>
          <w:noProof/>
          <w:sz w:val="24"/>
        </w:rPr>
        <w:t>)</w:t>
      </w:r>
      <w:r w:rsidR="00DD509F">
        <w:rPr>
          <w:sz w:val="24"/>
        </w:rPr>
        <w:fldChar w:fldCharType="end"/>
      </w:r>
      <w:r w:rsidR="00876EC2" w:rsidRPr="00073A37">
        <w:rPr>
          <w:sz w:val="24"/>
        </w:rPr>
        <w:t xml:space="preserve">, </w:t>
      </w:r>
      <w:r w:rsidR="00876EC2" w:rsidRPr="00073A37">
        <w:rPr>
          <w:rFonts w:cstheme="minorHAnsi"/>
          <w:sz w:val="24"/>
        </w:rPr>
        <w:t xml:space="preserve">Yee et al. </w:t>
      </w:r>
      <w:r w:rsidR="00DD509F">
        <w:rPr>
          <w:sz w:val="24"/>
        </w:rPr>
        <w:fldChar w:fldCharType="begin"/>
      </w:r>
      <w:r w:rsidR="00DD509F">
        <w:rPr>
          <w:sz w:val="24"/>
        </w:rPr>
        <w:instrText xml:space="preserve"> ADDIN EN.CITE &lt;EndNote&gt;&lt;Cite&gt;&lt;Author&gt;Yee&lt;/Author&gt;&lt;Year&gt;2010&lt;/Year&gt;&lt;RecNum&gt;716&lt;/RecNum&gt;&lt;DisplayText&gt;(3)&lt;/DisplayText&gt;&lt;record&gt;&lt;rec-number&gt;716&lt;/rec-number&gt;&lt;foreign-keys&gt;&lt;key app="EN" db-id="wfe5e0d5dd2dzlev2thpprtuwfsss5p59r9x"&gt;716&lt;/key&gt;&lt;/foreign-keys&gt;&lt;ref-type name="Journal Article"&gt;17&lt;/ref-type&gt;&lt;contributors&gt;&lt;authors&gt;&lt;author&gt;Yee, Steven B.,&lt;/author&gt;&lt;author&gt;Hatkin, Joshua M.,&lt;/author&gt;&lt;author&gt;Dyer, David N.,&lt;/author&gt;&lt;author&gt;Orr, Steven A.,&lt;/author&gt;&lt;author&gt;Pitt, M. Louise M.,&lt;/author&gt;&lt;/authors&gt;&lt;/contributors&gt;&lt;titles&gt;&lt;title&gt;&lt;style face="normal" font="default" size="100%"&gt;Aerosolized &lt;/style&gt;&lt;style face="italic" font="default" size="100%"&gt;Bacillus anthracis&lt;/style&gt;&lt;style face="normal" font="default" size="100%"&gt; infection in New Zealand White Rabbits: Natural history and intravenous levofloxacin treatment&lt;/style&gt;&lt;/title&gt;&lt;secondary-title&gt;Comparative Medicine&lt;/secondary-title&gt;&lt;/titles&gt;&lt;periodical&gt;&lt;full-title&gt;Comparative Medicine&lt;/full-title&gt;&lt;abbr-1&gt;Comp. Med.&lt;/abbr-1&gt;&lt;abbr-2&gt;Comp Med&lt;/abbr-2&gt;&lt;/periodical&gt;&lt;pages&gt;461-468&lt;/pages&gt;&lt;volume&gt;60&lt;/volume&gt;&lt;number&gt;6&lt;/number&gt;&lt;keywords&gt;&lt;keyword&gt;Rabbit study three - prep,&lt;/keyword&gt;&lt;keyword&gt;PA,&lt;/keyword&gt;&lt;keyword&gt;electrochemluminescence,&lt;/keyword&gt;&lt;keyword&gt;USAMRIID,&lt;/keyword&gt;&lt;keyword&gt;biomarkers,&lt;/keyword&gt;&lt;keyword&gt;SRA poster 2012,&lt;/keyword&gt;&lt;keyword&gt;B. anthracis - Ames,&lt;/keyword&gt;&lt;keyword&gt;Time to death - dose-dependent - high-dose - Not,&lt;/keyword&gt;&lt;keyword&gt;Time to death - dose-dependent - Not,&lt;/keyword&gt;&lt;keyword&gt;fever - definition,&lt;/keyword&gt;&lt;/keywords&gt;&lt;dates&gt;&lt;year&gt;2010&lt;/year&gt;&lt;/dates&gt;&lt;urls&gt;&lt;/urls&gt;&lt;/record&gt;&lt;/Cite&gt;&lt;/EndNote&gt;</w:instrText>
      </w:r>
      <w:r w:rsidR="00DD509F">
        <w:rPr>
          <w:sz w:val="24"/>
        </w:rPr>
        <w:fldChar w:fldCharType="separate"/>
      </w:r>
      <w:r w:rsidR="00DD509F">
        <w:rPr>
          <w:noProof/>
          <w:sz w:val="24"/>
        </w:rPr>
        <w:t>(</w:t>
      </w:r>
      <w:hyperlink w:anchor="_ENREF_3" w:tooltip="Yee, 2010 #716" w:history="1">
        <w:r w:rsidR="00182D56">
          <w:rPr>
            <w:noProof/>
            <w:sz w:val="24"/>
          </w:rPr>
          <w:t>3</w:t>
        </w:r>
      </w:hyperlink>
      <w:r w:rsidR="00DD509F">
        <w:rPr>
          <w:noProof/>
          <w:sz w:val="24"/>
        </w:rPr>
        <w:t>)</w:t>
      </w:r>
      <w:r w:rsidR="00DD509F">
        <w:rPr>
          <w:sz w:val="24"/>
        </w:rPr>
        <w:fldChar w:fldCharType="end"/>
      </w:r>
      <w:r w:rsidR="00876EC2" w:rsidRPr="00073A37">
        <w:rPr>
          <w:sz w:val="24"/>
        </w:rPr>
        <w:t xml:space="preserve">, and Taft et al. </w:t>
      </w:r>
      <w:r w:rsidR="00DD509F">
        <w:rPr>
          <w:sz w:val="24"/>
        </w:rPr>
        <w:fldChar w:fldCharType="begin"/>
      </w:r>
      <w:r w:rsidR="00DD509F">
        <w:rPr>
          <w:sz w:val="24"/>
        </w:rPr>
        <w:instrText xml:space="preserve"> ADDIN EN.CITE &lt;EndNote&gt;&lt;Cite&gt;&lt;Author&gt;Taft&lt;/Author&gt;&lt;Year&gt;2017&lt;/Year&gt;&lt;RecNum&gt;2983&lt;/RecNum&gt;&lt;DisplayText&gt;(1)&lt;/DisplayText&gt;&lt;record&gt;&lt;rec-number&gt;2983&lt;/rec-number&gt;&lt;foreign-keys&gt;&lt;key app="EN" db-id="wfe5e0d5dd2dzlev2thpprtuwfsss5p59r9x"&gt;2983&lt;/key&gt;&lt;/foreign-keys&gt;&lt;ref-type name="Journal Article"&gt;17&lt;/ref-type&gt;&lt;contributors&gt;&lt;authors&gt;&lt;author&gt;Taft, Sarah C.,&lt;/author&gt;&lt;author&gt;Nichols, Tonya L.,&lt;/author&gt;&lt;author&gt;Hines, Stephanie A.,&lt;/author&gt;&lt;author&gt;Barnewall, Roy E.,&lt;/author&gt;&lt;author&gt;Stark, Gregory V.,&lt;/author&gt;&lt;author&gt;Comer, Jason E.,&lt;/author&gt;&lt;/authors&gt;&lt;/contributors&gt;&lt;titles&gt;&lt;title&gt;&lt;style face="normal" font="default" size="100%"&gt;Physiological responses to a single low-dose of&lt;/style&gt;&lt;style face="italic" font="default" size="100%"&gt; Bacillus anthracis&lt;/style&gt;&lt;style face="normal" font="default" size="100%"&gt; spores in the rabbit model of inhalational anthrax&lt;/style&gt;&lt;/title&gt;&lt;secondary-title&gt;Submitted to Infection and Immunity as First Article of Two Companion Articles&lt;/secondary-title&gt;&lt;/titles&gt;&lt;periodical&gt;&lt;full-title&gt;Submitted to Infection and Immunity as First Article of Two Companion Articles&lt;/full-title&gt;&lt;/periodical&gt;&lt;dates&gt;&lt;year&gt;2017&lt;/year&gt;&lt;/dates&gt;&lt;urls&gt;&lt;/urls&gt;&lt;/record&gt;&lt;/Cite&gt;&lt;/EndNote&gt;</w:instrText>
      </w:r>
      <w:r w:rsidR="00DD509F">
        <w:rPr>
          <w:sz w:val="24"/>
        </w:rPr>
        <w:fldChar w:fldCharType="separate"/>
      </w:r>
      <w:r w:rsidR="00DD509F">
        <w:rPr>
          <w:noProof/>
          <w:sz w:val="24"/>
        </w:rPr>
        <w:t>(</w:t>
      </w:r>
      <w:hyperlink w:anchor="_ENREF_1" w:tooltip="Taft, 2017 #2983" w:history="1">
        <w:r w:rsidR="00182D56">
          <w:rPr>
            <w:noProof/>
            <w:sz w:val="24"/>
          </w:rPr>
          <w:t>1</w:t>
        </w:r>
      </w:hyperlink>
      <w:r w:rsidR="00DD509F">
        <w:rPr>
          <w:noProof/>
          <w:sz w:val="24"/>
        </w:rPr>
        <w:t>)</w:t>
      </w:r>
      <w:r w:rsidR="00DD509F">
        <w:rPr>
          <w:sz w:val="24"/>
        </w:rPr>
        <w:fldChar w:fldCharType="end"/>
      </w:r>
      <w:r w:rsidR="007D6A78">
        <w:rPr>
          <w:sz w:val="24"/>
        </w:rPr>
        <w:t xml:space="preserve"> bacteremic days prior to d</w:t>
      </w:r>
      <w:r w:rsidR="00876EC2" w:rsidRPr="00073A37">
        <w:rPr>
          <w:sz w:val="24"/>
        </w:rPr>
        <w:t xml:space="preserve">eath </w:t>
      </w:r>
    </w:p>
    <w:p w:rsidR="00876EC2" w:rsidRPr="000251C7" w:rsidRDefault="00876EC2" w:rsidP="00876EC2">
      <w:pPr>
        <w:rPr>
          <w:b/>
        </w:rPr>
      </w:pPr>
    </w:p>
    <w:tbl>
      <w:tblPr>
        <w:tblStyle w:val="LightShading1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1542"/>
        <w:gridCol w:w="1452"/>
        <w:gridCol w:w="1614"/>
        <w:gridCol w:w="1478"/>
        <w:gridCol w:w="1498"/>
      </w:tblGrid>
      <w:tr w:rsidR="00876EC2" w:rsidRPr="002C435D" w:rsidTr="00876EC2">
        <w:trPr>
          <w:jc w:val="center"/>
        </w:trPr>
        <w:tc>
          <w:tcPr>
            <w:tcW w:w="1596" w:type="dxa"/>
          </w:tcPr>
          <w:p w:rsidR="00876EC2" w:rsidRPr="002C435D" w:rsidRDefault="00876EC2" w:rsidP="006A6315">
            <w:pPr>
              <w:jc w:val="center"/>
              <w:rPr>
                <w:b/>
                <w:sz w:val="24"/>
              </w:rPr>
            </w:pPr>
            <w:r w:rsidRPr="002C435D">
              <w:rPr>
                <w:b/>
                <w:sz w:val="24"/>
              </w:rPr>
              <w:t>Animal Number</w:t>
            </w:r>
          </w:p>
        </w:tc>
        <w:tc>
          <w:tcPr>
            <w:tcW w:w="1542" w:type="dxa"/>
          </w:tcPr>
          <w:p w:rsidR="00876EC2" w:rsidRPr="002C435D" w:rsidRDefault="00876EC2" w:rsidP="006A6315">
            <w:pPr>
              <w:jc w:val="center"/>
              <w:rPr>
                <w:b/>
                <w:sz w:val="24"/>
              </w:rPr>
            </w:pPr>
            <w:r w:rsidRPr="002C435D">
              <w:rPr>
                <w:b/>
                <w:sz w:val="24"/>
              </w:rPr>
              <w:t>Time to Death (TTD)</w:t>
            </w:r>
          </w:p>
        </w:tc>
        <w:tc>
          <w:tcPr>
            <w:tcW w:w="1452" w:type="dxa"/>
          </w:tcPr>
          <w:p w:rsidR="00876EC2" w:rsidRPr="002C435D" w:rsidRDefault="00876EC2" w:rsidP="006A6315">
            <w:pPr>
              <w:jc w:val="center"/>
              <w:rPr>
                <w:b/>
                <w:sz w:val="24"/>
              </w:rPr>
            </w:pPr>
            <w:r w:rsidRPr="002C435D">
              <w:rPr>
                <w:b/>
                <w:sz w:val="24"/>
              </w:rPr>
              <w:t>Days Between Last Blood Draw and Death</w:t>
            </w:r>
          </w:p>
        </w:tc>
        <w:tc>
          <w:tcPr>
            <w:tcW w:w="1614" w:type="dxa"/>
          </w:tcPr>
          <w:p w:rsidR="00876EC2" w:rsidRPr="002C435D" w:rsidRDefault="00876EC2" w:rsidP="006A6315">
            <w:pPr>
              <w:jc w:val="center"/>
              <w:rPr>
                <w:b/>
                <w:sz w:val="24"/>
              </w:rPr>
            </w:pPr>
            <w:r w:rsidRPr="002C435D">
              <w:rPr>
                <w:b/>
                <w:sz w:val="24"/>
              </w:rPr>
              <w:t xml:space="preserve">Potential Capture Using </w:t>
            </w:r>
          </w:p>
          <w:p w:rsidR="00876EC2" w:rsidRPr="002C435D" w:rsidRDefault="00876EC2" w:rsidP="006A6315">
            <w:pPr>
              <w:jc w:val="center"/>
              <w:rPr>
                <w:b/>
                <w:sz w:val="24"/>
              </w:rPr>
            </w:pPr>
            <w:r w:rsidRPr="002C435D">
              <w:rPr>
                <w:rFonts w:cstheme="minorBidi"/>
                <w:b/>
                <w:sz w:val="24"/>
              </w:rPr>
              <w:t xml:space="preserve">Comer et al. </w:t>
            </w:r>
            <w:r w:rsidR="00DD509F">
              <w:rPr>
                <w:b/>
                <w:sz w:val="24"/>
              </w:rPr>
              <w:fldChar w:fldCharType="begin">
                <w:fldData xml:space="preserve">PEVuZE5vdGU+PENpdGU+PEF1dGhvcj5Db21lcjwvQXV0aG9yPjxZZWFyPjIwMTI8L1llYXI+PFJl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</w:fldData>
              </w:fldChar>
            </w:r>
            <w:r w:rsidR="00DD509F">
              <w:rPr>
                <w:b/>
                <w:sz w:val="24"/>
              </w:rPr>
              <w:instrText xml:space="preserve"> ADDIN EN.CITE </w:instrText>
            </w:r>
            <w:r w:rsidR="00DD509F">
              <w:rPr>
                <w:b/>
                <w:sz w:val="24"/>
              </w:rPr>
              <w:fldChar w:fldCharType="begin">
                <w:fldData xml:space="preserve">PEVuZE5vdGU+PENpdGU+PEF1dGhvcj5Db21lcjwvQXV0aG9yPjxZZWFyPjIwMTI8L1llYXI+PFJl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</w:fldData>
              </w:fldChar>
            </w:r>
            <w:r w:rsidR="00DD509F">
              <w:rPr>
                <w:b/>
                <w:sz w:val="24"/>
              </w:rPr>
              <w:instrText xml:space="preserve"> ADDIN EN.CITE.DATA </w:instrText>
            </w:r>
            <w:r w:rsidR="00DD509F">
              <w:rPr>
                <w:b/>
                <w:sz w:val="24"/>
              </w:rPr>
            </w:r>
            <w:r w:rsidR="00DD509F">
              <w:rPr>
                <w:b/>
                <w:sz w:val="24"/>
              </w:rPr>
              <w:fldChar w:fldCharType="end"/>
            </w:r>
            <w:r w:rsidR="00DD509F">
              <w:rPr>
                <w:b/>
                <w:sz w:val="24"/>
              </w:rPr>
            </w:r>
            <w:r w:rsidR="00DD509F">
              <w:rPr>
                <w:b/>
                <w:sz w:val="24"/>
              </w:rPr>
              <w:fldChar w:fldCharType="separate"/>
            </w:r>
            <w:r w:rsidR="00DD509F">
              <w:rPr>
                <w:b/>
                <w:noProof/>
                <w:sz w:val="24"/>
              </w:rPr>
              <w:t>(</w:t>
            </w:r>
            <w:hyperlink w:anchor="_ENREF_2" w:tooltip="Comer, 2012 #1265" w:history="1">
              <w:r w:rsidR="00182D56">
                <w:rPr>
                  <w:b/>
                  <w:noProof/>
                  <w:sz w:val="24"/>
                </w:rPr>
                <w:t>2</w:t>
              </w:r>
            </w:hyperlink>
            <w:r w:rsidR="00DD509F">
              <w:rPr>
                <w:b/>
                <w:noProof/>
                <w:sz w:val="24"/>
              </w:rPr>
              <w:t>)</w:t>
            </w:r>
            <w:r w:rsidR="00DD509F">
              <w:rPr>
                <w:b/>
                <w:sz w:val="24"/>
              </w:rPr>
              <w:fldChar w:fldCharType="end"/>
            </w:r>
            <w:r w:rsidRPr="002C435D">
              <w:rPr>
                <w:b/>
                <w:sz w:val="24"/>
              </w:rPr>
              <w:t xml:space="preserve"> Range</w:t>
            </w:r>
            <w:r w:rsidRPr="002C435D">
              <w:rPr>
                <w:b/>
                <w:sz w:val="24"/>
                <w:vertAlign w:val="superscript"/>
              </w:rPr>
              <w:t>b</w:t>
            </w:r>
          </w:p>
        </w:tc>
        <w:tc>
          <w:tcPr>
            <w:tcW w:w="1478" w:type="dxa"/>
          </w:tcPr>
          <w:p w:rsidR="00876EC2" w:rsidRPr="002C435D" w:rsidRDefault="00876EC2" w:rsidP="006A6315">
            <w:pPr>
              <w:pStyle w:val="Caption"/>
              <w:spacing w:line="480" w:lineRule="auto"/>
              <w:jc w:val="center"/>
              <w:rPr>
                <w:bCs w:val="0"/>
                <w:sz w:val="24"/>
              </w:rPr>
            </w:pPr>
            <w:r w:rsidRPr="002C435D">
              <w:rPr>
                <w:bCs w:val="0"/>
                <w:sz w:val="24"/>
              </w:rPr>
              <w:t xml:space="preserve">Potential Capture Using Yee et al. </w:t>
            </w:r>
            <w:r w:rsidR="00DD509F">
              <w:rPr>
                <w:bCs w:val="0"/>
                <w:sz w:val="24"/>
              </w:rPr>
              <w:fldChar w:fldCharType="begin"/>
            </w:r>
            <w:r w:rsidR="00DD509F">
              <w:rPr>
                <w:bCs w:val="0"/>
                <w:sz w:val="24"/>
              </w:rPr>
              <w:instrText xml:space="preserve"> ADDIN EN.CITE &lt;EndNote&gt;&lt;Cite&gt;&lt;Author&gt;Yee&lt;/Author&gt;&lt;Year&gt;2010&lt;/Year&gt;&lt;RecNum&gt;716&lt;/RecNum&gt;&lt;DisplayText&gt;(3)&lt;/DisplayText&gt;&lt;record&gt;&lt;rec-number&gt;716&lt;/rec-number&gt;&lt;foreign-keys&gt;&lt;key app="EN" db-id="wfe5e0d5dd2dzlev2thpprtuwfsss5p59r9x"&gt;716&lt;/key&gt;&lt;/foreign-keys&gt;&lt;ref-type name="Journal Article"&gt;17&lt;/ref-type&gt;&lt;contributors&gt;&lt;authors&gt;&lt;author&gt;Yee, Steven B.,&lt;/author&gt;&lt;author&gt;Hatkin, Joshua M.,&lt;/author&gt;&lt;author&gt;Dyer, David N.,&lt;/author&gt;&lt;author&gt;Orr, Steven A.,&lt;/author&gt;&lt;author&gt;Pitt, M. Louise M.,&lt;/author&gt;&lt;/authors&gt;&lt;/contributors&gt;&lt;titles&gt;&lt;title&gt;&lt;style face="normal" font="default" size="100%"&gt;Aerosolized &lt;/style&gt;&lt;style face="italic" font="default" size="100%"&gt;Bacillus anthracis&lt;/style&gt;&lt;style face="normal" font="default" size="100%"&gt; infection in New Zealand White Rabbits: Natural history and intravenous levofloxacin treatment&lt;/style&gt;&lt;/title&gt;&lt;secondary-title&gt;Comparative Medicine&lt;/secondary-title&gt;&lt;/titles&gt;&lt;periodical&gt;&lt;full-title&gt;Comparative Medicine&lt;/full-title&gt;&lt;abbr-1&gt;Comp. Med.&lt;/abbr-1&gt;&lt;abbr-2&gt;Comp Med&lt;/abbr-2&gt;&lt;/periodical&gt;&lt;pages&gt;461-468&lt;/pages&gt;&lt;volume&gt;60&lt;/volume&gt;&lt;number&gt;6&lt;/number&gt;&lt;keywords&gt;&lt;keyword&gt;Rabbit study three - prep,&lt;/keyword&gt;&lt;keyword&gt;PA,&lt;/keyword&gt;&lt;keyword&gt;electrochemluminescence,&lt;/keyword&gt;&lt;keyword&gt;USAMRIID,&lt;/keyword&gt;&lt;keyword&gt;biomarkers,&lt;/keyword&gt;&lt;keyword&gt;SRA poster 2012,&lt;/keyword&gt;&lt;keyword&gt;B. anthracis - Ames,&lt;/keyword&gt;&lt;keyword&gt;Time to death - dose-dependent - high-dose - Not,&lt;/keyword&gt;&lt;keyword&gt;Time to death - dose-dependent - Not,&lt;/keyword&gt;&lt;keyword&gt;fever - definition,&lt;/keyword&gt;&lt;/keywords&gt;&lt;dates&gt;&lt;year&gt;2010&lt;/year&gt;&lt;/dates&gt;&lt;urls&gt;&lt;/urls&gt;&lt;/record&gt;&lt;/Cite&gt;&lt;/EndNote&gt;</w:instrText>
            </w:r>
            <w:r w:rsidR="00DD509F">
              <w:rPr>
                <w:bCs w:val="0"/>
                <w:sz w:val="24"/>
              </w:rPr>
              <w:fldChar w:fldCharType="separate"/>
            </w:r>
            <w:r w:rsidR="00DD509F">
              <w:rPr>
                <w:bCs w:val="0"/>
                <w:noProof/>
                <w:sz w:val="24"/>
              </w:rPr>
              <w:t>(</w:t>
            </w:r>
            <w:hyperlink w:anchor="_ENREF_3" w:tooltip="Yee, 2010 #716" w:history="1">
              <w:r w:rsidR="00182D56">
                <w:rPr>
                  <w:bCs w:val="0"/>
                  <w:noProof/>
                  <w:sz w:val="24"/>
                </w:rPr>
                <w:t>3</w:t>
              </w:r>
            </w:hyperlink>
            <w:r w:rsidR="00DD509F">
              <w:rPr>
                <w:bCs w:val="0"/>
                <w:noProof/>
                <w:sz w:val="24"/>
              </w:rPr>
              <w:t>)</w:t>
            </w:r>
            <w:r w:rsidR="00DD509F">
              <w:rPr>
                <w:bCs w:val="0"/>
                <w:sz w:val="24"/>
              </w:rPr>
              <w:fldChar w:fldCharType="end"/>
            </w:r>
            <w:r w:rsidRPr="002C435D">
              <w:rPr>
                <w:bCs w:val="0"/>
                <w:sz w:val="24"/>
              </w:rPr>
              <w:t xml:space="preserve"> Range</w:t>
            </w:r>
            <w:r w:rsidRPr="002C435D">
              <w:rPr>
                <w:bCs w:val="0"/>
                <w:sz w:val="24"/>
                <w:vertAlign w:val="superscript"/>
              </w:rPr>
              <w:t>c</w:t>
            </w:r>
          </w:p>
          <w:p w:rsidR="00876EC2" w:rsidRPr="002C435D" w:rsidRDefault="00876EC2" w:rsidP="006A6315">
            <w:pPr>
              <w:jc w:val="center"/>
              <w:rPr>
                <w:b/>
                <w:sz w:val="24"/>
              </w:rPr>
            </w:pPr>
          </w:p>
        </w:tc>
        <w:tc>
          <w:tcPr>
            <w:tcW w:w="1498" w:type="dxa"/>
          </w:tcPr>
          <w:p w:rsidR="00876EC2" w:rsidRPr="002C435D" w:rsidRDefault="00876EC2" w:rsidP="006A6315">
            <w:pPr>
              <w:pStyle w:val="Caption"/>
              <w:spacing w:line="480" w:lineRule="auto"/>
              <w:jc w:val="center"/>
              <w:rPr>
                <w:bCs w:val="0"/>
                <w:sz w:val="24"/>
              </w:rPr>
            </w:pPr>
            <w:r w:rsidRPr="002C435D">
              <w:rPr>
                <w:bCs w:val="0"/>
                <w:sz w:val="24"/>
              </w:rPr>
              <w:t xml:space="preserve">Potential Capture Using Taft et al. </w:t>
            </w:r>
            <w:r w:rsidR="00DD509F">
              <w:rPr>
                <w:sz w:val="24"/>
              </w:rPr>
              <w:fldChar w:fldCharType="begin"/>
            </w:r>
            <w:r w:rsidR="00DD509F">
              <w:rPr>
                <w:sz w:val="24"/>
              </w:rPr>
              <w:instrText xml:space="preserve"> ADDIN EN.CITE &lt;EndNote&gt;&lt;Cite&gt;&lt;Author&gt;Taft&lt;/Author&gt;&lt;Year&gt;2017&lt;/Year&gt;&lt;RecNum&gt;2983&lt;/RecNum&gt;&lt;DisplayText&gt;(1)&lt;/DisplayText&gt;&lt;record&gt;&lt;rec-number&gt;2983&lt;/rec-number&gt;&lt;foreign-keys&gt;&lt;key app="EN" db-id="wfe5e0d5dd2dzlev2thpprtuwfsss5p59r9x"&gt;2983&lt;/key&gt;&lt;/foreign-keys&gt;&lt;ref-type name="Journal Article"&gt;17&lt;/ref-type&gt;&lt;contributors&gt;&lt;authors&gt;&lt;author&gt;Taft, Sarah C.,&lt;/author&gt;&lt;author&gt;Nichols, Tonya L.,&lt;/author&gt;&lt;author&gt;Hines, Stephanie A.,&lt;/author&gt;&lt;author&gt;Barnewall, Roy E.,&lt;/author&gt;&lt;author&gt;Stark, Gregory V.,&lt;/author&gt;&lt;author&gt;Comer, Jason E.,&lt;/author&gt;&lt;/authors&gt;&lt;/contributors&gt;&lt;titles&gt;&lt;title&gt;&lt;style face="normal" font="default" size="100%"&gt;Physiological responses to a single low-dose of&lt;/style&gt;&lt;style face="italic" font="default" size="100%"&gt; Bacillus anthracis&lt;/style&gt;&lt;style face="normal" font="default" size="100%"&gt; spores in the rabbit model of inhalational anthrax&lt;/style&gt;&lt;/title&gt;&lt;secondary-title&gt;Submitted to Infection and Immunity as First Article of Two Companion Articles&lt;/secondary-title&gt;&lt;/titles&gt;&lt;periodical&gt;&lt;full-title&gt;Submitted to Infection and Immunity as First Article of Two Companion Articles&lt;/full-title&gt;&lt;/periodical&gt;&lt;dates&gt;&lt;year&gt;2017&lt;/year&gt;&lt;/dates&gt;&lt;urls&gt;&lt;/urls&gt;&lt;/record&gt;&lt;/Cite&gt;&lt;/EndNote&gt;</w:instrText>
            </w:r>
            <w:r w:rsidR="00DD509F">
              <w:rPr>
                <w:sz w:val="24"/>
              </w:rPr>
              <w:fldChar w:fldCharType="separate"/>
            </w:r>
            <w:r w:rsidR="00DD509F">
              <w:rPr>
                <w:noProof/>
                <w:sz w:val="24"/>
              </w:rPr>
              <w:t>(</w:t>
            </w:r>
            <w:hyperlink w:anchor="_ENREF_1" w:tooltip="Taft, 2017 #2983" w:history="1">
              <w:r w:rsidR="00182D56">
                <w:rPr>
                  <w:noProof/>
                  <w:sz w:val="24"/>
                </w:rPr>
                <w:t>1</w:t>
              </w:r>
            </w:hyperlink>
            <w:r w:rsidR="00DD509F">
              <w:rPr>
                <w:noProof/>
                <w:sz w:val="24"/>
              </w:rPr>
              <w:t>)</w:t>
            </w:r>
            <w:r w:rsidR="00DD509F">
              <w:rPr>
                <w:sz w:val="24"/>
              </w:rPr>
              <w:fldChar w:fldCharType="end"/>
            </w:r>
            <w:r w:rsidRPr="002C435D">
              <w:rPr>
                <w:sz w:val="24"/>
              </w:rPr>
              <w:t xml:space="preserve"> Range</w:t>
            </w:r>
            <w:r w:rsidRPr="002C435D">
              <w:rPr>
                <w:sz w:val="24"/>
                <w:vertAlign w:val="superscript"/>
              </w:rPr>
              <w:t>d</w:t>
            </w:r>
            <w:r w:rsidRPr="002C435D">
              <w:rPr>
                <w:sz w:val="24"/>
              </w:rPr>
              <w:t xml:space="preserve"> </w:t>
            </w:r>
          </w:p>
        </w:tc>
      </w:tr>
      <w:tr w:rsidR="00876EC2" w:rsidRPr="002C435D" w:rsidTr="00876EC2">
        <w:trPr>
          <w:jc w:val="center"/>
        </w:trPr>
        <w:tc>
          <w:tcPr>
            <w:tcW w:w="1596" w:type="dxa"/>
          </w:tcPr>
          <w:p w:rsidR="00876EC2" w:rsidRPr="002C435D" w:rsidRDefault="00876EC2" w:rsidP="006A6315">
            <w:pPr>
              <w:jc w:val="center"/>
              <w:rPr>
                <w:sz w:val="24"/>
              </w:rPr>
            </w:pPr>
            <w:r w:rsidRPr="002C435D">
              <w:rPr>
                <w:sz w:val="24"/>
              </w:rPr>
              <w:t>2</w:t>
            </w:r>
          </w:p>
        </w:tc>
        <w:tc>
          <w:tcPr>
            <w:tcW w:w="1542" w:type="dxa"/>
          </w:tcPr>
          <w:p w:rsidR="00876EC2" w:rsidRPr="002C435D" w:rsidRDefault="00876EC2" w:rsidP="006A6315">
            <w:pPr>
              <w:jc w:val="center"/>
              <w:rPr>
                <w:sz w:val="24"/>
              </w:rPr>
            </w:pPr>
            <w:r w:rsidRPr="002C435D">
              <w:rPr>
                <w:sz w:val="24"/>
              </w:rPr>
              <w:t>17.9</w:t>
            </w:r>
          </w:p>
        </w:tc>
        <w:tc>
          <w:tcPr>
            <w:tcW w:w="1452" w:type="dxa"/>
          </w:tcPr>
          <w:p w:rsidR="00876EC2" w:rsidRPr="002C435D" w:rsidRDefault="00876EC2" w:rsidP="006A6315">
            <w:pPr>
              <w:jc w:val="center"/>
              <w:rPr>
                <w:sz w:val="24"/>
              </w:rPr>
            </w:pPr>
            <w:r w:rsidRPr="002C435D">
              <w:rPr>
                <w:sz w:val="24"/>
              </w:rPr>
              <w:t>1.9</w:t>
            </w:r>
          </w:p>
        </w:tc>
        <w:tc>
          <w:tcPr>
            <w:tcW w:w="1614" w:type="dxa"/>
          </w:tcPr>
          <w:p w:rsidR="00876EC2" w:rsidRPr="002C435D" w:rsidRDefault="00876EC2" w:rsidP="006A6315">
            <w:pPr>
              <w:jc w:val="center"/>
              <w:rPr>
                <w:sz w:val="24"/>
              </w:rPr>
            </w:pPr>
            <w:r w:rsidRPr="002C435D">
              <w:rPr>
                <w:sz w:val="24"/>
              </w:rPr>
              <w:t>Yes</w:t>
            </w:r>
          </w:p>
        </w:tc>
        <w:tc>
          <w:tcPr>
            <w:tcW w:w="1478" w:type="dxa"/>
          </w:tcPr>
          <w:p w:rsidR="00876EC2" w:rsidRPr="002C435D" w:rsidRDefault="00876EC2" w:rsidP="006A6315">
            <w:pPr>
              <w:jc w:val="center"/>
              <w:rPr>
                <w:sz w:val="24"/>
              </w:rPr>
            </w:pPr>
            <w:r w:rsidRPr="002C435D">
              <w:rPr>
                <w:sz w:val="24"/>
              </w:rPr>
              <w:t>No</w:t>
            </w:r>
          </w:p>
        </w:tc>
        <w:tc>
          <w:tcPr>
            <w:tcW w:w="1498" w:type="dxa"/>
          </w:tcPr>
          <w:p w:rsidR="00876EC2" w:rsidRPr="002C435D" w:rsidRDefault="00692507" w:rsidP="006A6315">
            <w:pPr>
              <w:jc w:val="center"/>
              <w:rPr>
                <w:sz w:val="24"/>
              </w:rPr>
            </w:pPr>
            <w:r w:rsidRPr="002C435D">
              <w:rPr>
                <w:sz w:val="24"/>
              </w:rPr>
              <w:t>Yes</w:t>
            </w:r>
          </w:p>
        </w:tc>
      </w:tr>
      <w:tr w:rsidR="00876EC2" w:rsidRPr="002C435D" w:rsidTr="00876EC2">
        <w:trPr>
          <w:jc w:val="center"/>
        </w:trPr>
        <w:tc>
          <w:tcPr>
            <w:tcW w:w="1596" w:type="dxa"/>
          </w:tcPr>
          <w:p w:rsidR="00876EC2" w:rsidRPr="002C435D" w:rsidRDefault="00876EC2" w:rsidP="006A6315">
            <w:pPr>
              <w:jc w:val="center"/>
              <w:rPr>
                <w:sz w:val="24"/>
              </w:rPr>
            </w:pPr>
            <w:r w:rsidRPr="002C435D">
              <w:rPr>
                <w:sz w:val="24"/>
              </w:rPr>
              <w:t>6</w:t>
            </w:r>
          </w:p>
        </w:tc>
        <w:tc>
          <w:tcPr>
            <w:tcW w:w="1542" w:type="dxa"/>
          </w:tcPr>
          <w:p w:rsidR="00876EC2" w:rsidRPr="002C435D" w:rsidRDefault="00876EC2" w:rsidP="006A6315">
            <w:pPr>
              <w:jc w:val="center"/>
              <w:rPr>
                <w:sz w:val="24"/>
              </w:rPr>
            </w:pPr>
            <w:r w:rsidRPr="002C435D">
              <w:rPr>
                <w:sz w:val="24"/>
              </w:rPr>
              <w:t>10.9</w:t>
            </w:r>
          </w:p>
        </w:tc>
        <w:tc>
          <w:tcPr>
            <w:tcW w:w="1452" w:type="dxa"/>
          </w:tcPr>
          <w:p w:rsidR="00876EC2" w:rsidRPr="002C435D" w:rsidRDefault="00876EC2" w:rsidP="006A6315">
            <w:pPr>
              <w:jc w:val="center"/>
              <w:rPr>
                <w:sz w:val="24"/>
              </w:rPr>
            </w:pPr>
            <w:r w:rsidRPr="002C435D">
              <w:rPr>
                <w:sz w:val="24"/>
              </w:rPr>
              <w:t>1.9</w:t>
            </w:r>
          </w:p>
        </w:tc>
        <w:tc>
          <w:tcPr>
            <w:tcW w:w="1614" w:type="dxa"/>
          </w:tcPr>
          <w:p w:rsidR="00876EC2" w:rsidRPr="002C435D" w:rsidRDefault="00876EC2" w:rsidP="006A6315">
            <w:pPr>
              <w:jc w:val="center"/>
              <w:rPr>
                <w:sz w:val="24"/>
              </w:rPr>
            </w:pPr>
            <w:r w:rsidRPr="002C435D">
              <w:rPr>
                <w:sz w:val="24"/>
              </w:rPr>
              <w:t>Yes</w:t>
            </w:r>
          </w:p>
        </w:tc>
        <w:tc>
          <w:tcPr>
            <w:tcW w:w="1478" w:type="dxa"/>
          </w:tcPr>
          <w:p w:rsidR="00876EC2" w:rsidRPr="002C435D" w:rsidRDefault="00876EC2" w:rsidP="006A6315">
            <w:pPr>
              <w:jc w:val="center"/>
              <w:rPr>
                <w:sz w:val="24"/>
              </w:rPr>
            </w:pPr>
            <w:r w:rsidRPr="002C435D">
              <w:rPr>
                <w:sz w:val="24"/>
              </w:rPr>
              <w:t>No</w:t>
            </w:r>
          </w:p>
        </w:tc>
        <w:tc>
          <w:tcPr>
            <w:tcW w:w="1498" w:type="dxa"/>
          </w:tcPr>
          <w:p w:rsidR="00876EC2" w:rsidRPr="002C435D" w:rsidRDefault="00692507" w:rsidP="006A6315">
            <w:pPr>
              <w:jc w:val="center"/>
              <w:rPr>
                <w:sz w:val="24"/>
              </w:rPr>
            </w:pPr>
            <w:r w:rsidRPr="002C435D">
              <w:rPr>
                <w:sz w:val="24"/>
              </w:rPr>
              <w:t>Yes</w:t>
            </w:r>
          </w:p>
        </w:tc>
      </w:tr>
      <w:tr w:rsidR="00876EC2" w:rsidRPr="002C435D" w:rsidTr="00876EC2">
        <w:trPr>
          <w:jc w:val="center"/>
        </w:trPr>
        <w:tc>
          <w:tcPr>
            <w:tcW w:w="1596" w:type="dxa"/>
          </w:tcPr>
          <w:p w:rsidR="00876EC2" w:rsidRPr="002C435D" w:rsidRDefault="00876EC2" w:rsidP="006A6315">
            <w:pPr>
              <w:jc w:val="center"/>
              <w:rPr>
                <w:sz w:val="24"/>
              </w:rPr>
            </w:pPr>
            <w:r w:rsidRPr="002C435D">
              <w:rPr>
                <w:sz w:val="24"/>
              </w:rPr>
              <w:t>33</w:t>
            </w:r>
          </w:p>
        </w:tc>
        <w:tc>
          <w:tcPr>
            <w:tcW w:w="1542" w:type="dxa"/>
          </w:tcPr>
          <w:p w:rsidR="00876EC2" w:rsidRPr="002C435D" w:rsidRDefault="00876EC2" w:rsidP="006A6315">
            <w:pPr>
              <w:jc w:val="center"/>
              <w:rPr>
                <w:sz w:val="24"/>
              </w:rPr>
            </w:pPr>
            <w:r w:rsidRPr="002C435D">
              <w:rPr>
                <w:sz w:val="24"/>
              </w:rPr>
              <w:t>12.7</w:t>
            </w:r>
          </w:p>
        </w:tc>
        <w:tc>
          <w:tcPr>
            <w:tcW w:w="1452" w:type="dxa"/>
          </w:tcPr>
          <w:p w:rsidR="00876EC2" w:rsidRPr="002C435D" w:rsidRDefault="00876EC2" w:rsidP="006A6315">
            <w:pPr>
              <w:jc w:val="center"/>
              <w:rPr>
                <w:sz w:val="24"/>
              </w:rPr>
            </w:pPr>
            <w:r w:rsidRPr="002C435D">
              <w:rPr>
                <w:sz w:val="24"/>
              </w:rPr>
              <w:t>1.7</w:t>
            </w:r>
          </w:p>
        </w:tc>
        <w:tc>
          <w:tcPr>
            <w:tcW w:w="1614" w:type="dxa"/>
          </w:tcPr>
          <w:p w:rsidR="00876EC2" w:rsidRPr="002C435D" w:rsidRDefault="00876EC2" w:rsidP="006A6315">
            <w:pPr>
              <w:jc w:val="center"/>
              <w:rPr>
                <w:sz w:val="24"/>
              </w:rPr>
            </w:pPr>
            <w:r w:rsidRPr="002C435D">
              <w:rPr>
                <w:sz w:val="24"/>
              </w:rPr>
              <w:t>Yes</w:t>
            </w:r>
          </w:p>
        </w:tc>
        <w:tc>
          <w:tcPr>
            <w:tcW w:w="1478" w:type="dxa"/>
          </w:tcPr>
          <w:p w:rsidR="00876EC2" w:rsidRPr="002C435D" w:rsidRDefault="00876EC2" w:rsidP="006A6315">
            <w:pPr>
              <w:jc w:val="center"/>
              <w:rPr>
                <w:sz w:val="24"/>
              </w:rPr>
            </w:pPr>
            <w:r w:rsidRPr="002C435D">
              <w:rPr>
                <w:sz w:val="24"/>
              </w:rPr>
              <w:t>Yes</w:t>
            </w:r>
          </w:p>
        </w:tc>
        <w:tc>
          <w:tcPr>
            <w:tcW w:w="1498" w:type="dxa"/>
          </w:tcPr>
          <w:p w:rsidR="00876EC2" w:rsidRPr="002C435D" w:rsidRDefault="00692507" w:rsidP="006A6315">
            <w:pPr>
              <w:jc w:val="center"/>
              <w:rPr>
                <w:sz w:val="24"/>
              </w:rPr>
            </w:pPr>
            <w:r w:rsidRPr="002C435D">
              <w:rPr>
                <w:sz w:val="24"/>
              </w:rPr>
              <w:t>No</w:t>
            </w:r>
          </w:p>
        </w:tc>
      </w:tr>
      <w:tr w:rsidR="00876EC2" w:rsidRPr="002C435D" w:rsidTr="00876EC2">
        <w:trPr>
          <w:jc w:val="center"/>
        </w:trPr>
        <w:tc>
          <w:tcPr>
            <w:tcW w:w="1596" w:type="dxa"/>
          </w:tcPr>
          <w:p w:rsidR="00876EC2" w:rsidRPr="002C435D" w:rsidRDefault="00876EC2" w:rsidP="006A6315">
            <w:pPr>
              <w:jc w:val="center"/>
              <w:rPr>
                <w:sz w:val="24"/>
              </w:rPr>
            </w:pPr>
            <w:r w:rsidRPr="002C435D">
              <w:rPr>
                <w:sz w:val="24"/>
              </w:rPr>
              <w:t>27</w:t>
            </w:r>
          </w:p>
          <w:p w:rsidR="00876EC2" w:rsidRPr="002C435D" w:rsidRDefault="00876EC2" w:rsidP="006A6315">
            <w:pPr>
              <w:jc w:val="center"/>
              <w:rPr>
                <w:sz w:val="24"/>
              </w:rPr>
            </w:pPr>
            <w:r w:rsidRPr="002C435D">
              <w:rPr>
                <w:sz w:val="24"/>
              </w:rPr>
              <w:t>31</w:t>
            </w:r>
          </w:p>
        </w:tc>
        <w:tc>
          <w:tcPr>
            <w:tcW w:w="1542" w:type="dxa"/>
          </w:tcPr>
          <w:p w:rsidR="00876EC2" w:rsidRPr="002C435D" w:rsidRDefault="00876EC2" w:rsidP="006A6315">
            <w:pPr>
              <w:jc w:val="center"/>
              <w:rPr>
                <w:sz w:val="24"/>
              </w:rPr>
            </w:pPr>
            <w:r w:rsidRPr="002C435D">
              <w:rPr>
                <w:sz w:val="24"/>
              </w:rPr>
              <w:t>20.8</w:t>
            </w:r>
          </w:p>
          <w:p w:rsidR="00876EC2" w:rsidRPr="002C435D" w:rsidRDefault="00876EC2" w:rsidP="006A6315">
            <w:pPr>
              <w:jc w:val="center"/>
              <w:rPr>
                <w:sz w:val="24"/>
              </w:rPr>
            </w:pPr>
            <w:r w:rsidRPr="002C435D">
              <w:rPr>
                <w:sz w:val="24"/>
              </w:rPr>
              <w:t>14.7</w:t>
            </w:r>
          </w:p>
        </w:tc>
        <w:tc>
          <w:tcPr>
            <w:tcW w:w="1452" w:type="dxa"/>
          </w:tcPr>
          <w:p w:rsidR="00876EC2" w:rsidRPr="002C435D" w:rsidRDefault="00876EC2" w:rsidP="006A6315">
            <w:pPr>
              <w:jc w:val="center"/>
              <w:rPr>
                <w:sz w:val="24"/>
              </w:rPr>
            </w:pPr>
            <w:r w:rsidRPr="002C435D">
              <w:rPr>
                <w:sz w:val="24"/>
              </w:rPr>
              <w:t>2.8</w:t>
            </w:r>
          </w:p>
          <w:p w:rsidR="00876EC2" w:rsidRPr="002C435D" w:rsidRDefault="00876EC2" w:rsidP="006A6315">
            <w:pPr>
              <w:jc w:val="center"/>
              <w:rPr>
                <w:sz w:val="24"/>
              </w:rPr>
            </w:pPr>
            <w:r w:rsidRPr="002C435D">
              <w:rPr>
                <w:sz w:val="24"/>
              </w:rPr>
              <w:t>3.7</w:t>
            </w:r>
          </w:p>
        </w:tc>
        <w:tc>
          <w:tcPr>
            <w:tcW w:w="1614" w:type="dxa"/>
          </w:tcPr>
          <w:p w:rsidR="00876EC2" w:rsidRPr="002C435D" w:rsidRDefault="00876EC2" w:rsidP="006A6315">
            <w:pPr>
              <w:jc w:val="center"/>
              <w:rPr>
                <w:sz w:val="24"/>
              </w:rPr>
            </w:pPr>
            <w:r w:rsidRPr="002C435D">
              <w:rPr>
                <w:sz w:val="24"/>
              </w:rPr>
              <w:t>Yes</w:t>
            </w:r>
          </w:p>
          <w:p w:rsidR="00876EC2" w:rsidRPr="002C435D" w:rsidRDefault="00876EC2" w:rsidP="006A6315">
            <w:pPr>
              <w:jc w:val="center"/>
              <w:rPr>
                <w:sz w:val="24"/>
              </w:rPr>
            </w:pPr>
            <w:r w:rsidRPr="002C435D">
              <w:rPr>
                <w:sz w:val="24"/>
              </w:rPr>
              <w:t>No</w:t>
            </w:r>
          </w:p>
        </w:tc>
        <w:tc>
          <w:tcPr>
            <w:tcW w:w="1478" w:type="dxa"/>
          </w:tcPr>
          <w:p w:rsidR="00876EC2" w:rsidRPr="002C435D" w:rsidRDefault="00876EC2" w:rsidP="006A6315">
            <w:pPr>
              <w:jc w:val="center"/>
              <w:rPr>
                <w:sz w:val="24"/>
              </w:rPr>
            </w:pPr>
            <w:r w:rsidRPr="002C435D">
              <w:rPr>
                <w:sz w:val="24"/>
              </w:rPr>
              <w:t>No</w:t>
            </w:r>
          </w:p>
          <w:p w:rsidR="00876EC2" w:rsidRPr="002C435D" w:rsidRDefault="00876EC2" w:rsidP="006A6315">
            <w:pPr>
              <w:jc w:val="center"/>
              <w:rPr>
                <w:sz w:val="24"/>
              </w:rPr>
            </w:pPr>
            <w:r w:rsidRPr="002C435D">
              <w:rPr>
                <w:sz w:val="24"/>
              </w:rPr>
              <w:t>No</w:t>
            </w:r>
          </w:p>
        </w:tc>
        <w:tc>
          <w:tcPr>
            <w:tcW w:w="1498" w:type="dxa"/>
          </w:tcPr>
          <w:p w:rsidR="00876EC2" w:rsidRPr="002C435D" w:rsidRDefault="00692507" w:rsidP="006A6315">
            <w:pPr>
              <w:jc w:val="center"/>
              <w:rPr>
                <w:sz w:val="24"/>
              </w:rPr>
            </w:pPr>
            <w:r w:rsidRPr="002C435D">
              <w:rPr>
                <w:sz w:val="24"/>
              </w:rPr>
              <w:t>Yes</w:t>
            </w:r>
          </w:p>
          <w:p w:rsidR="00692507" w:rsidRPr="002C435D" w:rsidRDefault="00692507" w:rsidP="006A6315">
            <w:pPr>
              <w:jc w:val="center"/>
              <w:rPr>
                <w:sz w:val="24"/>
              </w:rPr>
            </w:pPr>
            <w:r w:rsidRPr="002C435D">
              <w:rPr>
                <w:sz w:val="24"/>
              </w:rPr>
              <w:t>Yes</w:t>
            </w:r>
          </w:p>
        </w:tc>
      </w:tr>
    </w:tbl>
    <w:p w:rsidR="00876EC2" w:rsidRPr="00073A37" w:rsidRDefault="00876EC2" w:rsidP="00876EC2">
      <w:pPr>
        <w:rPr>
          <w:sz w:val="24"/>
          <w:vertAlign w:val="superscript"/>
        </w:rPr>
      </w:pPr>
      <w:r w:rsidRPr="00073A37">
        <w:rPr>
          <w:sz w:val="24"/>
          <w:vertAlign w:val="superscript"/>
        </w:rPr>
        <w:t>a</w:t>
      </w:r>
      <w:r w:rsidRPr="00073A37">
        <w:rPr>
          <w:sz w:val="24"/>
        </w:rPr>
        <w:t xml:space="preserve"> Blood Draw Days: 2, 4, 9, 11, 16, 18, 23, 25, 30, 32, 37, 39</w:t>
      </w:r>
    </w:p>
    <w:p w:rsidR="00876EC2" w:rsidRPr="00073A37" w:rsidRDefault="00876EC2" w:rsidP="00876EC2">
      <w:pPr>
        <w:rPr>
          <w:sz w:val="24"/>
        </w:rPr>
      </w:pPr>
      <w:r w:rsidRPr="00073A37">
        <w:rPr>
          <w:sz w:val="24"/>
          <w:vertAlign w:val="superscript"/>
        </w:rPr>
        <w:t>b</w:t>
      </w:r>
      <w:r w:rsidRPr="00073A37">
        <w:rPr>
          <w:sz w:val="24"/>
        </w:rPr>
        <w:t xml:space="preserve"> Range of Calculated Study Days Between Detectable Bacteremia and Death: 0.58 to 3.64 Days, Mean of 1.99 Days</w:t>
      </w:r>
    </w:p>
    <w:p w:rsidR="00876EC2" w:rsidRPr="00073A37" w:rsidRDefault="00876EC2" w:rsidP="00876EC2">
      <w:pPr>
        <w:rPr>
          <w:sz w:val="24"/>
        </w:rPr>
      </w:pPr>
      <w:r w:rsidRPr="00073A37">
        <w:rPr>
          <w:sz w:val="24"/>
          <w:vertAlign w:val="superscript"/>
        </w:rPr>
        <w:t xml:space="preserve">c </w:t>
      </w:r>
      <w:r w:rsidRPr="00073A37">
        <w:rPr>
          <w:sz w:val="24"/>
        </w:rPr>
        <w:t xml:space="preserve">Range of Calculated Study Days Between Detectable Bacteremia and Death: 0.33 to 1.75 Days, Mean of 0.91 Days </w:t>
      </w:r>
    </w:p>
    <w:p w:rsidR="00876EC2" w:rsidRDefault="00876EC2">
      <w:pPr>
        <w:spacing w:line="240" w:lineRule="auto"/>
        <w:rPr>
          <w:rFonts w:cstheme="minorHAnsi"/>
          <w:b/>
          <w:bCs/>
          <w:sz w:val="24"/>
        </w:rPr>
      </w:pPr>
      <w:r w:rsidRPr="00073A37">
        <w:rPr>
          <w:rFonts w:cstheme="minorHAnsi"/>
          <w:sz w:val="24"/>
          <w:vertAlign w:val="superscript"/>
        </w:rPr>
        <w:t>d</w:t>
      </w:r>
      <w:r w:rsidR="00DC7502" w:rsidRPr="00073A37">
        <w:rPr>
          <w:rFonts w:cstheme="minorHAnsi"/>
          <w:sz w:val="24"/>
          <w:vertAlign w:val="superscript"/>
        </w:rPr>
        <w:t xml:space="preserve"> </w:t>
      </w:r>
      <w:r w:rsidRPr="00073A37">
        <w:rPr>
          <w:sz w:val="24"/>
        </w:rPr>
        <w:t>Range of Calculated Study Days Between Detectable Bacteremia and Death: 1.9 to 3.9 Days, Mean of 2.8 Days</w:t>
      </w:r>
      <w:r>
        <w:rPr>
          <w:rFonts w:cstheme="minorHAnsi"/>
          <w:sz w:val="24"/>
        </w:rPr>
        <w:br w:type="page"/>
      </w:r>
    </w:p>
    <w:p w:rsidR="00F51BF0" w:rsidRPr="00F93376" w:rsidRDefault="00F51BF0" w:rsidP="00F51BF0">
      <w:pPr>
        <w:pStyle w:val="Caption"/>
        <w:spacing w:line="480" w:lineRule="auto"/>
        <w:rPr>
          <w:rFonts w:cstheme="minorHAnsi"/>
          <w:b w:val="0"/>
          <w:sz w:val="24"/>
        </w:rPr>
      </w:pPr>
      <w:r w:rsidRPr="00F93376">
        <w:rPr>
          <w:rFonts w:cstheme="minorHAnsi"/>
          <w:sz w:val="24"/>
        </w:rPr>
        <w:lastRenderedPageBreak/>
        <w:t xml:space="preserve">TABLE </w:t>
      </w:r>
      <w:r w:rsidR="00073A37">
        <w:rPr>
          <w:rFonts w:cstheme="minorHAnsi"/>
          <w:sz w:val="24"/>
        </w:rPr>
        <w:t>S</w:t>
      </w:r>
      <w:r w:rsidR="006A6315">
        <w:rPr>
          <w:rFonts w:cstheme="minorHAnsi"/>
          <w:sz w:val="24"/>
        </w:rPr>
        <w:t>5</w:t>
      </w:r>
      <w:r w:rsidRPr="00F93376">
        <w:rPr>
          <w:rFonts w:cstheme="minorHAnsi"/>
          <w:sz w:val="24"/>
        </w:rPr>
        <w:t>.</w:t>
      </w:r>
      <w:r w:rsidRPr="00F93376">
        <w:rPr>
          <w:rFonts w:cstheme="minorHAnsi"/>
          <w:b w:val="0"/>
          <w:sz w:val="24"/>
        </w:rPr>
        <w:t xml:space="preserve"> </w:t>
      </w:r>
      <w:r w:rsidRPr="00F93376">
        <w:rPr>
          <w:rFonts w:cstheme="minorHAnsi"/>
          <w:sz w:val="24"/>
        </w:rPr>
        <w:t>Protective antigen measurements for all animals in the single dose study with positive protective antigen results</w:t>
      </w:r>
    </w:p>
    <w:tbl>
      <w:tblPr>
        <w:tblStyle w:val="PlainTable41"/>
        <w:tblW w:w="0" w:type="auto"/>
        <w:tblLayout w:type="fixed"/>
        <w:tblLook w:val="04A0" w:firstRow="1" w:lastRow="0" w:firstColumn="1" w:lastColumn="0" w:noHBand="0" w:noVBand="1"/>
      </w:tblPr>
      <w:tblGrid>
        <w:gridCol w:w="1440"/>
        <w:gridCol w:w="1440"/>
        <w:gridCol w:w="1526"/>
        <w:gridCol w:w="1526"/>
        <w:gridCol w:w="1106"/>
        <w:gridCol w:w="1710"/>
      </w:tblGrid>
      <w:tr w:rsidR="00F51BF0" w:rsidRPr="00073A37" w:rsidTr="006A6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tcBorders>
              <w:right w:val="single" w:sz="12" w:space="0" w:color="auto"/>
            </w:tcBorders>
          </w:tcPr>
          <w:p w:rsidR="00F51BF0" w:rsidRPr="00073A37" w:rsidRDefault="00F51BF0" w:rsidP="006A6315">
            <w:pPr>
              <w:spacing w:before="60" w:after="60"/>
              <w:rPr>
                <w:rFonts w:ascii="Times New Roman" w:hAnsi="Times New Roman" w:cs="Times New Roman"/>
                <w:i/>
                <w:sz w:val="24"/>
              </w:rPr>
            </w:pPr>
            <w:r w:rsidRPr="00073A37">
              <w:rPr>
                <w:rFonts w:ascii="Times New Roman" w:hAnsi="Times New Roman" w:cs="Times New Roman"/>
                <w:i/>
                <w:sz w:val="24"/>
              </w:rPr>
              <w:t>Dose</w:t>
            </w: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F51BF0" w:rsidRPr="00073A37" w:rsidRDefault="00F51BF0" w:rsidP="006A6315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  <w:r w:rsidRPr="00073A37">
              <w:rPr>
                <w:rFonts w:ascii="Times New Roman" w:hAnsi="Times New Roman" w:cs="Times New Roman"/>
                <w:i/>
                <w:sz w:val="24"/>
              </w:rPr>
              <w:t>Animal</w:t>
            </w:r>
          </w:p>
        </w:tc>
        <w:tc>
          <w:tcPr>
            <w:tcW w:w="1526" w:type="dxa"/>
          </w:tcPr>
          <w:p w:rsidR="00F51BF0" w:rsidRPr="00073A37" w:rsidRDefault="00F51BF0" w:rsidP="006A6315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sz w:val="24"/>
              </w:rPr>
            </w:pPr>
            <w:r w:rsidRPr="00073A37">
              <w:rPr>
                <w:rFonts w:ascii="Times New Roman" w:hAnsi="Times New Roman" w:cs="Times New Roman"/>
                <w:i/>
                <w:sz w:val="24"/>
              </w:rPr>
              <w:t>Day 1</w:t>
            </w:r>
          </w:p>
        </w:tc>
        <w:tc>
          <w:tcPr>
            <w:tcW w:w="1526" w:type="dxa"/>
          </w:tcPr>
          <w:p w:rsidR="00F51BF0" w:rsidRPr="00073A37" w:rsidRDefault="00F51BF0" w:rsidP="006A6315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sz w:val="24"/>
              </w:rPr>
            </w:pPr>
            <w:r w:rsidRPr="00073A37">
              <w:rPr>
                <w:rFonts w:ascii="Times New Roman" w:hAnsi="Times New Roman" w:cs="Times New Roman"/>
                <w:i/>
                <w:sz w:val="24"/>
              </w:rPr>
              <w:t>Day 2</w:t>
            </w:r>
          </w:p>
        </w:tc>
        <w:tc>
          <w:tcPr>
            <w:tcW w:w="1106" w:type="dxa"/>
          </w:tcPr>
          <w:p w:rsidR="00F51BF0" w:rsidRPr="00073A37" w:rsidRDefault="00F51BF0" w:rsidP="006A6315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sz w:val="24"/>
              </w:rPr>
            </w:pPr>
            <w:r w:rsidRPr="00073A37">
              <w:rPr>
                <w:rFonts w:ascii="Times New Roman" w:hAnsi="Times New Roman" w:cs="Times New Roman"/>
                <w:i/>
                <w:sz w:val="24"/>
              </w:rPr>
              <w:t>Day 3</w:t>
            </w:r>
          </w:p>
        </w:tc>
        <w:tc>
          <w:tcPr>
            <w:tcW w:w="1710" w:type="dxa"/>
          </w:tcPr>
          <w:p w:rsidR="00F51BF0" w:rsidRPr="00073A37" w:rsidRDefault="00F51BF0" w:rsidP="006A6315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sz w:val="24"/>
              </w:rPr>
            </w:pPr>
            <w:r w:rsidRPr="00073A37">
              <w:rPr>
                <w:rFonts w:ascii="Times New Roman" w:hAnsi="Times New Roman" w:cs="Times New Roman"/>
                <w:i/>
                <w:sz w:val="24"/>
              </w:rPr>
              <w:t>Day 4 and Later</w:t>
            </w:r>
            <w:r w:rsidRPr="00073A37">
              <w:rPr>
                <w:rFonts w:ascii="Times New Roman" w:hAnsi="Times New Roman" w:cs="Times New Roman"/>
                <w:i/>
                <w:sz w:val="24"/>
                <w:vertAlign w:val="superscript"/>
              </w:rPr>
              <w:t>a</w:t>
            </w:r>
            <w:r w:rsidRPr="00073A37" w:rsidDel="00546AA4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F51BF0" w:rsidRPr="00073A37" w:rsidTr="006A6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BF0" w:rsidRPr="00073A37" w:rsidRDefault="00F51BF0" w:rsidP="006A6315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073A37">
              <w:rPr>
                <w:rFonts w:ascii="Times New Roman" w:hAnsi="Times New Roman" w:cs="Times New Roman"/>
                <w:sz w:val="24"/>
              </w:rPr>
              <w:t>2.54 x 10</w:t>
            </w:r>
            <w:r w:rsidRPr="00073A37">
              <w:rPr>
                <w:rFonts w:ascii="Times New Roman" w:hAnsi="Times New Roman" w:cs="Times New Roman"/>
                <w:sz w:val="24"/>
                <w:vertAlign w:val="superscript"/>
              </w:rPr>
              <w:t>4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F51BF0" w:rsidRPr="00073A37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73A37">
              <w:rPr>
                <w:rFonts w:ascii="Times New Roman" w:hAnsi="Times New Roman" w:cs="Times New Roman"/>
                <w:sz w:val="24"/>
              </w:rPr>
              <w:t>L23235</w:t>
            </w:r>
          </w:p>
        </w:tc>
        <w:tc>
          <w:tcPr>
            <w:tcW w:w="1526" w:type="dxa"/>
            <w:tcBorders>
              <w:top w:val="single" w:sz="12" w:space="0" w:color="auto"/>
            </w:tcBorders>
          </w:tcPr>
          <w:p w:rsidR="00F51BF0" w:rsidRPr="00073A37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73A37">
              <w:rPr>
                <w:rFonts w:ascii="Times New Roman" w:hAnsi="Times New Roman" w:cs="Times New Roman"/>
                <w:sz w:val="24"/>
              </w:rPr>
              <w:t>ND</w:t>
            </w:r>
          </w:p>
        </w:tc>
        <w:tc>
          <w:tcPr>
            <w:tcW w:w="1526" w:type="dxa"/>
            <w:tcBorders>
              <w:top w:val="single" w:sz="12" w:space="0" w:color="auto"/>
            </w:tcBorders>
          </w:tcPr>
          <w:p w:rsidR="00F51BF0" w:rsidRPr="00073A37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73A37">
              <w:rPr>
                <w:rFonts w:ascii="Times New Roman" w:hAnsi="Times New Roman" w:cs="Times New Roman"/>
                <w:sz w:val="24"/>
              </w:rPr>
              <w:t>ND</w:t>
            </w:r>
          </w:p>
        </w:tc>
        <w:tc>
          <w:tcPr>
            <w:tcW w:w="1106" w:type="dxa"/>
            <w:tcBorders>
              <w:top w:val="single" w:sz="12" w:space="0" w:color="auto"/>
            </w:tcBorders>
          </w:tcPr>
          <w:p w:rsidR="00F51BF0" w:rsidRPr="00073A37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73A37">
              <w:rPr>
                <w:rFonts w:ascii="Times New Roman" w:hAnsi="Times New Roman" w:cs="Times New Roman"/>
                <w:sz w:val="24"/>
              </w:rPr>
              <w:t>ND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F51BF0" w:rsidRPr="00073A37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73A37">
              <w:rPr>
                <w:rFonts w:ascii="Times New Roman" w:hAnsi="Times New Roman" w:cs="Times New Roman"/>
                <w:sz w:val="24"/>
              </w:rPr>
              <w:t>ND on Day 7</w:t>
            </w:r>
          </w:p>
          <w:p w:rsidR="00F51BF0" w:rsidRPr="00073A37" w:rsidRDefault="00F51BF0" w:rsidP="006A6315">
            <w:pPr>
              <w:spacing w:before="60" w:after="60"/>
              <w:ind w:right="-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73A37">
              <w:rPr>
                <w:rFonts w:ascii="Times New Roman" w:hAnsi="Times New Roman" w:cs="Times New Roman"/>
                <w:sz w:val="24"/>
              </w:rPr>
              <w:t>TTD = 11</w:t>
            </w:r>
          </w:p>
          <w:p w:rsidR="00F51BF0" w:rsidRPr="00073A37" w:rsidRDefault="00F51BF0" w:rsidP="006A6315">
            <w:pPr>
              <w:spacing w:before="60" w:after="60"/>
              <w:ind w:right="-1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73A37">
              <w:rPr>
                <w:rFonts w:ascii="Times New Roman" w:hAnsi="Times New Roman" w:cs="Times New Roman"/>
                <w:sz w:val="24"/>
              </w:rPr>
              <w:t>NS on TD</w:t>
            </w:r>
          </w:p>
        </w:tc>
      </w:tr>
      <w:tr w:rsidR="00F51BF0" w:rsidRPr="00073A37" w:rsidTr="006A6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BF0" w:rsidRPr="00073A37" w:rsidRDefault="00F51BF0" w:rsidP="006A6315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</w:tcPr>
          <w:p w:rsidR="00F51BF0" w:rsidRPr="00073A37" w:rsidRDefault="00F51BF0" w:rsidP="006A631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73A37">
              <w:rPr>
                <w:rFonts w:ascii="Times New Roman" w:hAnsi="Times New Roman" w:cs="Times New Roman"/>
                <w:sz w:val="24"/>
              </w:rPr>
              <w:t>L23225</w:t>
            </w:r>
          </w:p>
        </w:tc>
        <w:tc>
          <w:tcPr>
            <w:tcW w:w="1526" w:type="dxa"/>
            <w:tcBorders>
              <w:bottom w:val="single" w:sz="12" w:space="0" w:color="auto"/>
            </w:tcBorders>
          </w:tcPr>
          <w:p w:rsidR="00F51BF0" w:rsidRPr="00073A37" w:rsidRDefault="00F51BF0" w:rsidP="006A631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73A37">
              <w:rPr>
                <w:rFonts w:ascii="Times New Roman" w:hAnsi="Times New Roman" w:cs="Times New Roman"/>
                <w:sz w:val="24"/>
              </w:rPr>
              <w:t>ND</w:t>
            </w:r>
          </w:p>
        </w:tc>
        <w:tc>
          <w:tcPr>
            <w:tcW w:w="1526" w:type="dxa"/>
            <w:tcBorders>
              <w:bottom w:val="single" w:sz="12" w:space="0" w:color="auto"/>
            </w:tcBorders>
          </w:tcPr>
          <w:p w:rsidR="00F51BF0" w:rsidRPr="00073A37" w:rsidRDefault="00F51BF0" w:rsidP="006A631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73A37">
              <w:rPr>
                <w:rFonts w:ascii="Times New Roman" w:hAnsi="Times New Roman" w:cs="Times New Roman"/>
                <w:sz w:val="24"/>
              </w:rPr>
              <w:t>ND</w:t>
            </w: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F51BF0" w:rsidRPr="00073A37" w:rsidRDefault="00F51BF0" w:rsidP="006A631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73A37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F51BF0" w:rsidRPr="00073A37" w:rsidRDefault="00F51BF0" w:rsidP="006A631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73A37">
              <w:rPr>
                <w:rFonts w:ascii="Times New Roman" w:hAnsi="Times New Roman" w:cs="Times New Roman"/>
                <w:sz w:val="24"/>
              </w:rPr>
              <w:t>TTD = 4</w:t>
            </w:r>
          </w:p>
          <w:p w:rsidR="00F51BF0" w:rsidRPr="00073A37" w:rsidRDefault="00F51BF0" w:rsidP="006A631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73A37">
              <w:rPr>
                <w:rFonts w:ascii="Times New Roman" w:hAnsi="Times New Roman" w:cs="Times New Roman"/>
                <w:sz w:val="24"/>
              </w:rPr>
              <w:t xml:space="preserve">33,000 (&gt;ULOQ)      </w:t>
            </w:r>
          </w:p>
        </w:tc>
      </w:tr>
      <w:tr w:rsidR="00F51BF0" w:rsidRPr="00073A37" w:rsidTr="006A6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BF0" w:rsidRPr="00073A37" w:rsidRDefault="00F51BF0" w:rsidP="006A6315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073A37">
              <w:rPr>
                <w:rFonts w:ascii="Times New Roman" w:hAnsi="Times New Roman" w:cs="Times New Roman"/>
                <w:sz w:val="24"/>
              </w:rPr>
              <w:t>2.75 x 10</w:t>
            </w:r>
            <w:r w:rsidRPr="00073A37">
              <w:rPr>
                <w:rFonts w:ascii="Times New Roman" w:hAnsi="Times New Roman" w:cs="Times New Roman"/>
                <w:sz w:val="24"/>
                <w:vertAlign w:val="superscript"/>
              </w:rPr>
              <w:t>5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F51BF0" w:rsidRPr="00073A37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73A37">
              <w:rPr>
                <w:rFonts w:ascii="Times New Roman" w:hAnsi="Times New Roman" w:cs="Times New Roman"/>
                <w:sz w:val="24"/>
              </w:rPr>
              <w:t>L23201</w:t>
            </w:r>
          </w:p>
        </w:tc>
        <w:tc>
          <w:tcPr>
            <w:tcW w:w="1526" w:type="dxa"/>
            <w:tcBorders>
              <w:top w:val="single" w:sz="12" w:space="0" w:color="auto"/>
            </w:tcBorders>
          </w:tcPr>
          <w:p w:rsidR="00F51BF0" w:rsidRPr="00073A37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73A37">
              <w:rPr>
                <w:rFonts w:ascii="Times New Roman" w:hAnsi="Times New Roman" w:cs="Times New Roman"/>
                <w:sz w:val="24"/>
              </w:rPr>
              <w:t>ND</w:t>
            </w:r>
          </w:p>
        </w:tc>
        <w:tc>
          <w:tcPr>
            <w:tcW w:w="1526" w:type="dxa"/>
            <w:tcBorders>
              <w:top w:val="single" w:sz="12" w:space="0" w:color="auto"/>
            </w:tcBorders>
          </w:tcPr>
          <w:p w:rsidR="00F51BF0" w:rsidRPr="00073A37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73A37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1106" w:type="dxa"/>
            <w:tcBorders>
              <w:top w:val="single" w:sz="12" w:space="0" w:color="auto"/>
            </w:tcBorders>
          </w:tcPr>
          <w:p w:rsidR="00F51BF0" w:rsidRPr="00073A37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73A37">
              <w:rPr>
                <w:rFonts w:ascii="Times New Roman" w:hAnsi="Times New Roman" w:cs="Times New Roman"/>
                <w:sz w:val="24"/>
              </w:rPr>
              <w:t>471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F51BF0" w:rsidRPr="00073A37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73A37">
              <w:rPr>
                <w:rFonts w:ascii="Times New Roman" w:hAnsi="Times New Roman" w:cs="Times New Roman"/>
                <w:sz w:val="24"/>
              </w:rPr>
              <w:t>TTD = 4</w:t>
            </w:r>
          </w:p>
          <w:p w:rsidR="00F51BF0" w:rsidRPr="00073A37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73A37">
              <w:rPr>
                <w:rFonts w:ascii="Times New Roman" w:hAnsi="Times New Roman" w:cs="Times New Roman"/>
                <w:sz w:val="24"/>
              </w:rPr>
              <w:t>NS on TD</w:t>
            </w:r>
          </w:p>
        </w:tc>
      </w:tr>
      <w:tr w:rsidR="00F51BF0" w:rsidRPr="00073A37" w:rsidTr="006A6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tcBorders>
              <w:right w:val="single" w:sz="12" w:space="0" w:color="auto"/>
            </w:tcBorders>
          </w:tcPr>
          <w:p w:rsidR="00F51BF0" w:rsidRPr="00073A37" w:rsidRDefault="00F51BF0" w:rsidP="006A6315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F51BF0" w:rsidRPr="00073A37" w:rsidRDefault="00F51BF0" w:rsidP="006A631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73A37">
              <w:rPr>
                <w:rFonts w:ascii="Times New Roman" w:hAnsi="Times New Roman" w:cs="Times New Roman"/>
                <w:sz w:val="24"/>
              </w:rPr>
              <w:t>L23234</w:t>
            </w:r>
          </w:p>
        </w:tc>
        <w:tc>
          <w:tcPr>
            <w:tcW w:w="1526" w:type="dxa"/>
          </w:tcPr>
          <w:p w:rsidR="00F51BF0" w:rsidRPr="00073A37" w:rsidRDefault="00F51BF0" w:rsidP="006A631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73A37">
              <w:rPr>
                <w:rFonts w:ascii="Times New Roman" w:hAnsi="Times New Roman" w:cs="Times New Roman"/>
                <w:sz w:val="24"/>
              </w:rPr>
              <w:t>ND</w:t>
            </w:r>
          </w:p>
        </w:tc>
        <w:tc>
          <w:tcPr>
            <w:tcW w:w="1526" w:type="dxa"/>
          </w:tcPr>
          <w:p w:rsidR="00F51BF0" w:rsidRPr="00073A37" w:rsidRDefault="00F51BF0" w:rsidP="006A631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73A37">
              <w:rPr>
                <w:rFonts w:ascii="Times New Roman" w:hAnsi="Times New Roman" w:cs="Times New Roman"/>
                <w:sz w:val="24"/>
              </w:rPr>
              <w:t>ND</w:t>
            </w:r>
          </w:p>
        </w:tc>
        <w:tc>
          <w:tcPr>
            <w:tcW w:w="1106" w:type="dxa"/>
          </w:tcPr>
          <w:p w:rsidR="00F51BF0" w:rsidRPr="00073A37" w:rsidRDefault="00F51BF0" w:rsidP="006A631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73A37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710" w:type="dxa"/>
          </w:tcPr>
          <w:p w:rsidR="00F51BF0" w:rsidRPr="00073A37" w:rsidRDefault="00F51BF0" w:rsidP="006A631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73A37">
              <w:rPr>
                <w:rFonts w:ascii="Times New Roman" w:hAnsi="Times New Roman" w:cs="Times New Roman"/>
                <w:sz w:val="24"/>
              </w:rPr>
              <w:t>TTD = 6</w:t>
            </w:r>
          </w:p>
          <w:p w:rsidR="00F51BF0" w:rsidRPr="00073A37" w:rsidRDefault="00F51BF0" w:rsidP="006A631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73A37">
              <w:rPr>
                <w:rFonts w:ascii="Times New Roman" w:hAnsi="Times New Roman" w:cs="Times New Roman"/>
                <w:sz w:val="24"/>
              </w:rPr>
              <w:t>NS on TD</w:t>
            </w:r>
          </w:p>
        </w:tc>
      </w:tr>
      <w:tr w:rsidR="00F51BF0" w:rsidRPr="00073A37" w:rsidTr="006A6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tcBorders>
              <w:right w:val="single" w:sz="12" w:space="0" w:color="auto"/>
            </w:tcBorders>
          </w:tcPr>
          <w:p w:rsidR="00F51BF0" w:rsidRPr="00073A37" w:rsidRDefault="00F51BF0" w:rsidP="006A6315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F51BF0" w:rsidRPr="00073A37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73A37">
              <w:rPr>
                <w:rFonts w:ascii="Times New Roman" w:hAnsi="Times New Roman" w:cs="Times New Roman"/>
                <w:sz w:val="24"/>
              </w:rPr>
              <w:t>L23200</w:t>
            </w:r>
          </w:p>
        </w:tc>
        <w:tc>
          <w:tcPr>
            <w:tcW w:w="1526" w:type="dxa"/>
          </w:tcPr>
          <w:p w:rsidR="00F51BF0" w:rsidRPr="00073A37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73A37">
              <w:rPr>
                <w:rFonts w:ascii="Times New Roman" w:hAnsi="Times New Roman" w:cs="Times New Roman"/>
                <w:sz w:val="24"/>
              </w:rPr>
              <w:t>ND</w:t>
            </w:r>
          </w:p>
        </w:tc>
        <w:tc>
          <w:tcPr>
            <w:tcW w:w="1526" w:type="dxa"/>
          </w:tcPr>
          <w:p w:rsidR="00F51BF0" w:rsidRPr="00073A37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73A37">
              <w:rPr>
                <w:rFonts w:ascii="Times New Roman" w:hAnsi="Times New Roman" w:cs="Times New Roman"/>
                <w:sz w:val="24"/>
              </w:rPr>
              <w:t>ND</w:t>
            </w:r>
          </w:p>
        </w:tc>
        <w:tc>
          <w:tcPr>
            <w:tcW w:w="1106" w:type="dxa"/>
          </w:tcPr>
          <w:p w:rsidR="00F51BF0" w:rsidRPr="00073A37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73A37">
              <w:rPr>
                <w:rFonts w:ascii="Times New Roman" w:hAnsi="Times New Roman" w:cs="Times New Roman"/>
                <w:sz w:val="24"/>
              </w:rPr>
              <w:t>TTD = 3</w:t>
            </w:r>
          </w:p>
          <w:p w:rsidR="00F51BF0" w:rsidRPr="00073A37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73A37">
              <w:rPr>
                <w:rFonts w:ascii="Times New Roman" w:hAnsi="Times New Roman" w:cs="Times New Roman"/>
                <w:sz w:val="24"/>
              </w:rPr>
              <w:t>NS on TD</w:t>
            </w:r>
          </w:p>
        </w:tc>
        <w:tc>
          <w:tcPr>
            <w:tcW w:w="1710" w:type="dxa"/>
            <w:shd w:val="clear" w:color="auto" w:fill="A6A6A6" w:themeFill="background1" w:themeFillShade="A6"/>
          </w:tcPr>
          <w:p w:rsidR="00F51BF0" w:rsidRPr="00073A37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BF0" w:rsidRPr="00073A37" w:rsidTr="006A6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BF0" w:rsidRPr="00073A37" w:rsidRDefault="00F51BF0" w:rsidP="006A6315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</w:tcPr>
          <w:p w:rsidR="00F51BF0" w:rsidRPr="00073A37" w:rsidRDefault="00F51BF0" w:rsidP="006A631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73A37">
              <w:rPr>
                <w:rFonts w:ascii="Times New Roman" w:hAnsi="Times New Roman" w:cs="Times New Roman"/>
                <w:sz w:val="24"/>
              </w:rPr>
              <w:t>L23214</w:t>
            </w:r>
          </w:p>
        </w:tc>
        <w:tc>
          <w:tcPr>
            <w:tcW w:w="1526" w:type="dxa"/>
            <w:tcBorders>
              <w:bottom w:val="single" w:sz="12" w:space="0" w:color="auto"/>
            </w:tcBorders>
          </w:tcPr>
          <w:p w:rsidR="00F51BF0" w:rsidRPr="00073A37" w:rsidRDefault="00F51BF0" w:rsidP="006A631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73A37">
              <w:rPr>
                <w:rFonts w:ascii="Times New Roman" w:hAnsi="Times New Roman" w:cs="Times New Roman"/>
                <w:sz w:val="24"/>
              </w:rPr>
              <w:t>ND</w:t>
            </w:r>
          </w:p>
        </w:tc>
        <w:tc>
          <w:tcPr>
            <w:tcW w:w="1526" w:type="dxa"/>
            <w:tcBorders>
              <w:bottom w:val="single" w:sz="12" w:space="0" w:color="auto"/>
            </w:tcBorders>
          </w:tcPr>
          <w:p w:rsidR="00F51BF0" w:rsidRPr="00073A37" w:rsidRDefault="00F51BF0" w:rsidP="006A631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73A37">
              <w:rPr>
                <w:rFonts w:ascii="Times New Roman" w:hAnsi="Times New Roman" w:cs="Times New Roman"/>
                <w:sz w:val="24"/>
              </w:rPr>
              <w:t>28.6</w:t>
            </w: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F51BF0" w:rsidRPr="00073A37" w:rsidRDefault="00F51BF0" w:rsidP="006A631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73A37">
              <w:rPr>
                <w:rFonts w:ascii="Times New Roman" w:hAnsi="Times New Roman" w:cs="Times New Roman"/>
                <w:sz w:val="24"/>
              </w:rPr>
              <w:t>NS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F51BF0" w:rsidRPr="00073A37" w:rsidRDefault="00F51BF0" w:rsidP="006A631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73A37">
              <w:rPr>
                <w:rFonts w:ascii="Times New Roman" w:hAnsi="Times New Roman" w:cs="Times New Roman"/>
                <w:sz w:val="24"/>
              </w:rPr>
              <w:t>TTD = 6</w:t>
            </w:r>
          </w:p>
          <w:p w:rsidR="00F51BF0" w:rsidRPr="00073A37" w:rsidRDefault="00F51BF0" w:rsidP="006A631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73A37">
              <w:rPr>
                <w:rFonts w:ascii="Times New Roman" w:hAnsi="Times New Roman" w:cs="Times New Roman"/>
                <w:sz w:val="24"/>
              </w:rPr>
              <w:t>NS on TD</w:t>
            </w:r>
          </w:p>
        </w:tc>
      </w:tr>
      <w:tr w:rsidR="00F51BF0" w:rsidRPr="00073A37" w:rsidTr="006A6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51BF0" w:rsidRPr="00073A37" w:rsidRDefault="00F51BF0" w:rsidP="006A6315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 w:rsidRPr="00073A37">
              <w:rPr>
                <w:rFonts w:ascii="Times New Roman" w:hAnsi="Times New Roman" w:cs="Times New Roman"/>
                <w:sz w:val="24"/>
              </w:rPr>
              <w:t>8.27 x 10</w:t>
            </w:r>
            <w:r w:rsidRPr="00073A37">
              <w:rPr>
                <w:rFonts w:ascii="Times New Roman" w:hAnsi="Times New Roman" w:cs="Times New Roman"/>
                <w:sz w:val="24"/>
                <w:vertAlign w:val="superscript"/>
              </w:rPr>
              <w:t>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:rsidR="00F51BF0" w:rsidRPr="00073A37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73A37">
              <w:rPr>
                <w:rFonts w:ascii="Times New Roman" w:hAnsi="Times New Roman" w:cs="Times New Roman"/>
                <w:sz w:val="24"/>
              </w:rPr>
              <w:t>L23204</w:t>
            </w:r>
          </w:p>
        </w:tc>
        <w:tc>
          <w:tcPr>
            <w:tcW w:w="1526" w:type="dxa"/>
            <w:tcBorders>
              <w:top w:val="single" w:sz="12" w:space="0" w:color="auto"/>
            </w:tcBorders>
          </w:tcPr>
          <w:p w:rsidR="00F51BF0" w:rsidRPr="00073A37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73A37">
              <w:rPr>
                <w:rFonts w:ascii="Times New Roman" w:hAnsi="Times New Roman" w:cs="Times New Roman"/>
                <w:sz w:val="24"/>
              </w:rPr>
              <w:t>ND</w:t>
            </w:r>
          </w:p>
        </w:tc>
        <w:tc>
          <w:tcPr>
            <w:tcW w:w="1526" w:type="dxa"/>
            <w:tcBorders>
              <w:top w:val="single" w:sz="12" w:space="0" w:color="auto"/>
            </w:tcBorders>
          </w:tcPr>
          <w:p w:rsidR="00F51BF0" w:rsidRPr="00073A37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73A37">
              <w:rPr>
                <w:rFonts w:ascii="Times New Roman" w:hAnsi="Times New Roman" w:cs="Times New Roman"/>
                <w:sz w:val="24"/>
              </w:rPr>
              <w:t>ND</w:t>
            </w:r>
          </w:p>
        </w:tc>
        <w:tc>
          <w:tcPr>
            <w:tcW w:w="1106" w:type="dxa"/>
            <w:tcBorders>
              <w:top w:val="single" w:sz="12" w:space="0" w:color="auto"/>
            </w:tcBorders>
          </w:tcPr>
          <w:p w:rsidR="00F51BF0" w:rsidRPr="00073A37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73A37">
              <w:rPr>
                <w:rFonts w:ascii="Times New Roman" w:hAnsi="Times New Roman" w:cs="Times New Roman"/>
                <w:sz w:val="24"/>
              </w:rPr>
              <w:t>9.6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F51BF0" w:rsidRPr="00073A37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73A37">
              <w:rPr>
                <w:rFonts w:ascii="Times New Roman" w:hAnsi="Times New Roman" w:cs="Times New Roman"/>
                <w:sz w:val="24"/>
              </w:rPr>
              <w:t xml:space="preserve">TTD = 4     </w:t>
            </w:r>
          </w:p>
          <w:p w:rsidR="00F51BF0" w:rsidRPr="00073A37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73A37">
              <w:rPr>
                <w:rFonts w:ascii="Times New Roman" w:hAnsi="Times New Roman" w:cs="Times New Roman"/>
                <w:sz w:val="24"/>
              </w:rPr>
              <w:lastRenderedPageBreak/>
              <w:t>25,000 (&gt;ULOQ)</w:t>
            </w:r>
          </w:p>
        </w:tc>
      </w:tr>
      <w:tr w:rsidR="00F51BF0" w:rsidRPr="00073A37" w:rsidTr="006A6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tcBorders>
              <w:right w:val="single" w:sz="12" w:space="0" w:color="auto"/>
            </w:tcBorders>
          </w:tcPr>
          <w:p w:rsidR="00F51BF0" w:rsidRPr="00073A37" w:rsidRDefault="00F51BF0" w:rsidP="006A6315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F51BF0" w:rsidRPr="00073A37" w:rsidRDefault="00F51BF0" w:rsidP="006A631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73A37">
              <w:rPr>
                <w:rFonts w:ascii="Times New Roman" w:hAnsi="Times New Roman" w:cs="Times New Roman"/>
                <w:sz w:val="24"/>
              </w:rPr>
              <w:t>L23203</w:t>
            </w:r>
          </w:p>
        </w:tc>
        <w:tc>
          <w:tcPr>
            <w:tcW w:w="1526" w:type="dxa"/>
          </w:tcPr>
          <w:p w:rsidR="00F51BF0" w:rsidRPr="00073A37" w:rsidRDefault="00F51BF0" w:rsidP="006A631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73A37">
              <w:rPr>
                <w:rFonts w:ascii="Times New Roman" w:hAnsi="Times New Roman" w:cs="Times New Roman"/>
                <w:sz w:val="24"/>
              </w:rPr>
              <w:t>ND</w:t>
            </w:r>
          </w:p>
        </w:tc>
        <w:tc>
          <w:tcPr>
            <w:tcW w:w="1526" w:type="dxa"/>
          </w:tcPr>
          <w:p w:rsidR="00F51BF0" w:rsidRPr="00073A37" w:rsidRDefault="00F51BF0" w:rsidP="006A631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73A37">
              <w:rPr>
                <w:rFonts w:ascii="Times New Roman" w:hAnsi="Times New Roman" w:cs="Times New Roman"/>
                <w:sz w:val="24"/>
              </w:rPr>
              <w:t>2.8</w:t>
            </w:r>
          </w:p>
        </w:tc>
        <w:tc>
          <w:tcPr>
            <w:tcW w:w="1106" w:type="dxa"/>
          </w:tcPr>
          <w:p w:rsidR="00F51BF0" w:rsidRPr="00073A37" w:rsidRDefault="00F51BF0" w:rsidP="006A631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73A37">
              <w:rPr>
                <w:rFonts w:ascii="Times New Roman" w:hAnsi="Times New Roman" w:cs="Times New Roman"/>
                <w:sz w:val="24"/>
              </w:rPr>
              <w:t>1.6</w:t>
            </w:r>
          </w:p>
        </w:tc>
        <w:tc>
          <w:tcPr>
            <w:tcW w:w="1710" w:type="dxa"/>
          </w:tcPr>
          <w:p w:rsidR="00F51BF0" w:rsidRPr="00073A37" w:rsidRDefault="00F51BF0" w:rsidP="006A631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73A37">
              <w:rPr>
                <w:rFonts w:ascii="Times New Roman" w:hAnsi="Times New Roman" w:cs="Times New Roman"/>
                <w:sz w:val="24"/>
              </w:rPr>
              <w:t>TTD = 5</w:t>
            </w:r>
          </w:p>
          <w:p w:rsidR="00F51BF0" w:rsidRPr="00073A37" w:rsidRDefault="00F51BF0" w:rsidP="006A631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73A37">
              <w:rPr>
                <w:rFonts w:ascii="Times New Roman" w:hAnsi="Times New Roman" w:cs="Times New Roman"/>
                <w:sz w:val="24"/>
              </w:rPr>
              <w:t>NS</w:t>
            </w:r>
          </w:p>
        </w:tc>
      </w:tr>
      <w:tr w:rsidR="00F51BF0" w:rsidRPr="00073A37" w:rsidTr="006A6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tcBorders>
              <w:right w:val="single" w:sz="12" w:space="0" w:color="auto"/>
            </w:tcBorders>
          </w:tcPr>
          <w:p w:rsidR="00F51BF0" w:rsidRPr="00073A37" w:rsidRDefault="00F51BF0" w:rsidP="006A6315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F51BF0" w:rsidRPr="00073A37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73A37">
              <w:rPr>
                <w:rFonts w:ascii="Times New Roman" w:hAnsi="Times New Roman" w:cs="Times New Roman"/>
                <w:sz w:val="24"/>
              </w:rPr>
              <w:t>L23213</w:t>
            </w:r>
          </w:p>
        </w:tc>
        <w:tc>
          <w:tcPr>
            <w:tcW w:w="1526" w:type="dxa"/>
          </w:tcPr>
          <w:p w:rsidR="00F51BF0" w:rsidRPr="00073A37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73A37">
              <w:rPr>
                <w:rFonts w:ascii="Times New Roman" w:hAnsi="Times New Roman" w:cs="Times New Roman"/>
                <w:sz w:val="24"/>
              </w:rPr>
              <w:t>ND</w:t>
            </w:r>
          </w:p>
        </w:tc>
        <w:tc>
          <w:tcPr>
            <w:tcW w:w="1526" w:type="dxa"/>
          </w:tcPr>
          <w:p w:rsidR="00F51BF0" w:rsidRPr="00073A37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73A37">
              <w:rPr>
                <w:rFonts w:ascii="Times New Roman" w:hAnsi="Times New Roman" w:cs="Times New Roman"/>
                <w:sz w:val="24"/>
              </w:rPr>
              <w:t>125</w:t>
            </w:r>
          </w:p>
        </w:tc>
        <w:tc>
          <w:tcPr>
            <w:tcW w:w="1106" w:type="dxa"/>
          </w:tcPr>
          <w:p w:rsidR="00F51BF0" w:rsidRPr="00073A37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73A37">
              <w:rPr>
                <w:rFonts w:ascii="Times New Roman" w:hAnsi="Times New Roman" w:cs="Times New Roman"/>
                <w:sz w:val="24"/>
              </w:rPr>
              <w:t>TTD = 3      383</w:t>
            </w:r>
          </w:p>
        </w:tc>
        <w:tc>
          <w:tcPr>
            <w:tcW w:w="1710" w:type="dxa"/>
            <w:shd w:val="clear" w:color="auto" w:fill="A6A6A6" w:themeFill="background1" w:themeFillShade="A6"/>
          </w:tcPr>
          <w:p w:rsidR="00F51BF0" w:rsidRPr="00073A37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BF0" w:rsidRPr="00073A37" w:rsidTr="006A6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tcBorders>
              <w:right w:val="single" w:sz="12" w:space="0" w:color="auto"/>
            </w:tcBorders>
          </w:tcPr>
          <w:p w:rsidR="00F51BF0" w:rsidRPr="00073A37" w:rsidRDefault="00F51BF0" w:rsidP="006A6315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12" w:space="0" w:color="auto"/>
            </w:tcBorders>
          </w:tcPr>
          <w:p w:rsidR="00F51BF0" w:rsidRPr="00073A37" w:rsidRDefault="00F51BF0" w:rsidP="006A631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73A37">
              <w:rPr>
                <w:rFonts w:ascii="Times New Roman" w:hAnsi="Times New Roman" w:cs="Times New Roman"/>
                <w:sz w:val="24"/>
              </w:rPr>
              <w:t>L23221</w:t>
            </w:r>
          </w:p>
        </w:tc>
        <w:tc>
          <w:tcPr>
            <w:tcW w:w="1526" w:type="dxa"/>
          </w:tcPr>
          <w:p w:rsidR="00F51BF0" w:rsidRPr="00073A37" w:rsidRDefault="00F51BF0" w:rsidP="006A631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73A37">
              <w:rPr>
                <w:rFonts w:ascii="Times New Roman" w:hAnsi="Times New Roman" w:cs="Times New Roman"/>
                <w:sz w:val="24"/>
              </w:rPr>
              <w:t>ND</w:t>
            </w:r>
          </w:p>
        </w:tc>
        <w:tc>
          <w:tcPr>
            <w:tcW w:w="1526" w:type="dxa"/>
          </w:tcPr>
          <w:p w:rsidR="00F51BF0" w:rsidRPr="00073A37" w:rsidRDefault="00F51BF0" w:rsidP="006A631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73A37">
              <w:rPr>
                <w:rFonts w:ascii="Times New Roman" w:hAnsi="Times New Roman" w:cs="Times New Roman"/>
                <w:sz w:val="24"/>
              </w:rPr>
              <w:t>TTD = 2</w:t>
            </w:r>
          </w:p>
          <w:p w:rsidR="00F51BF0" w:rsidRPr="00073A37" w:rsidRDefault="00F51BF0" w:rsidP="006A631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73A37">
              <w:rPr>
                <w:rFonts w:ascii="Times New Roman" w:hAnsi="Times New Roman" w:cs="Times New Roman"/>
                <w:sz w:val="24"/>
              </w:rPr>
              <w:t>NS on TD</w:t>
            </w:r>
          </w:p>
        </w:tc>
        <w:tc>
          <w:tcPr>
            <w:tcW w:w="1106" w:type="dxa"/>
            <w:shd w:val="clear" w:color="auto" w:fill="A6A6A6" w:themeFill="background1" w:themeFillShade="A6"/>
          </w:tcPr>
          <w:p w:rsidR="00F51BF0" w:rsidRPr="00073A37" w:rsidRDefault="00F51BF0" w:rsidP="006A631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</w:tcPr>
          <w:p w:rsidR="00F51BF0" w:rsidRPr="00073A37" w:rsidRDefault="00F51BF0" w:rsidP="006A6315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1BF0" w:rsidRPr="00073A37" w:rsidTr="006A6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1BF0" w:rsidRPr="00073A37" w:rsidRDefault="00F51BF0" w:rsidP="006A6315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</w:tcPr>
          <w:p w:rsidR="00F51BF0" w:rsidRPr="00073A37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73A37">
              <w:rPr>
                <w:rFonts w:ascii="Times New Roman" w:hAnsi="Times New Roman" w:cs="Times New Roman"/>
                <w:sz w:val="24"/>
              </w:rPr>
              <w:t>L23232</w:t>
            </w:r>
          </w:p>
        </w:tc>
        <w:tc>
          <w:tcPr>
            <w:tcW w:w="1526" w:type="dxa"/>
            <w:tcBorders>
              <w:bottom w:val="single" w:sz="12" w:space="0" w:color="auto"/>
            </w:tcBorders>
          </w:tcPr>
          <w:p w:rsidR="00F51BF0" w:rsidRPr="00073A37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73A37">
              <w:rPr>
                <w:rFonts w:ascii="Times New Roman" w:hAnsi="Times New Roman" w:cs="Times New Roman"/>
                <w:sz w:val="24"/>
              </w:rPr>
              <w:t>ND</w:t>
            </w:r>
          </w:p>
        </w:tc>
        <w:tc>
          <w:tcPr>
            <w:tcW w:w="1526" w:type="dxa"/>
            <w:tcBorders>
              <w:bottom w:val="single" w:sz="12" w:space="0" w:color="auto"/>
            </w:tcBorders>
          </w:tcPr>
          <w:p w:rsidR="00F51BF0" w:rsidRPr="00073A37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73A37">
              <w:rPr>
                <w:rFonts w:ascii="Times New Roman" w:hAnsi="Times New Roman" w:cs="Times New Roman"/>
                <w:sz w:val="24"/>
              </w:rPr>
              <w:t>ND</w:t>
            </w:r>
          </w:p>
        </w:tc>
        <w:tc>
          <w:tcPr>
            <w:tcW w:w="1106" w:type="dxa"/>
            <w:tcBorders>
              <w:bottom w:val="single" w:sz="12" w:space="0" w:color="auto"/>
            </w:tcBorders>
          </w:tcPr>
          <w:p w:rsidR="00F51BF0" w:rsidRPr="00073A37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73A37"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F51BF0" w:rsidRPr="00073A37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73A37">
              <w:rPr>
                <w:rFonts w:ascii="Times New Roman" w:hAnsi="Times New Roman" w:cs="Times New Roman"/>
                <w:sz w:val="24"/>
              </w:rPr>
              <w:t>TTD = 4</w:t>
            </w:r>
          </w:p>
          <w:p w:rsidR="00F51BF0" w:rsidRPr="00073A37" w:rsidRDefault="00F51BF0" w:rsidP="006A631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73A37">
              <w:rPr>
                <w:rFonts w:ascii="Times New Roman" w:hAnsi="Times New Roman" w:cs="Times New Roman"/>
                <w:sz w:val="24"/>
              </w:rPr>
              <w:t>NS on TD</w:t>
            </w:r>
          </w:p>
        </w:tc>
      </w:tr>
    </w:tbl>
    <w:p w:rsidR="00F51BF0" w:rsidRPr="00073A37" w:rsidRDefault="00F51BF0" w:rsidP="00F51BF0">
      <w:pPr>
        <w:pStyle w:val="BHNormal"/>
        <w:spacing w:line="480" w:lineRule="auto"/>
        <w:rPr>
          <w:noProof/>
          <w:sz w:val="24"/>
          <w:vertAlign w:val="superscript"/>
        </w:rPr>
      </w:pPr>
      <w:r w:rsidRPr="00073A37">
        <w:rPr>
          <w:noProof/>
          <w:sz w:val="24"/>
          <w:vertAlign w:val="superscript"/>
        </w:rPr>
        <w:t>a</w:t>
      </w:r>
      <w:r w:rsidRPr="00073A37">
        <w:rPr>
          <w:noProof/>
          <w:sz w:val="24"/>
        </w:rPr>
        <w:t xml:space="preserve"> Protective antigen measurements post-exposure conducted on Study Days 1, 2, 3, 7, 14, and 21</w:t>
      </w:r>
    </w:p>
    <w:p w:rsidR="00F51BF0" w:rsidRPr="00073A37" w:rsidRDefault="00F51BF0" w:rsidP="00F51BF0">
      <w:pPr>
        <w:pStyle w:val="BHNormal"/>
        <w:spacing w:line="480" w:lineRule="auto"/>
        <w:rPr>
          <w:noProof/>
          <w:sz w:val="24"/>
        </w:rPr>
      </w:pPr>
      <w:r w:rsidRPr="00073A37">
        <w:rPr>
          <w:noProof/>
          <w:sz w:val="24"/>
        </w:rPr>
        <w:t>ND – not detected in sample, level of detection of 2.0 ng/mL and lower limit of quantification (LLOQ) (4.9 ng/mL)</w:t>
      </w:r>
    </w:p>
    <w:p w:rsidR="00F51BF0" w:rsidRPr="00073A37" w:rsidRDefault="00F51BF0" w:rsidP="00F51BF0">
      <w:pPr>
        <w:pStyle w:val="BHNormal"/>
        <w:spacing w:line="480" w:lineRule="auto"/>
        <w:rPr>
          <w:noProof/>
          <w:sz w:val="24"/>
        </w:rPr>
      </w:pPr>
      <w:r w:rsidRPr="00073A37">
        <w:rPr>
          <w:noProof/>
          <w:sz w:val="24"/>
        </w:rPr>
        <w:t>NS – no sample tested</w:t>
      </w:r>
    </w:p>
    <w:p w:rsidR="00F51BF0" w:rsidRPr="00073A37" w:rsidRDefault="00F51BF0" w:rsidP="00F51BF0">
      <w:pPr>
        <w:pStyle w:val="BHNormal"/>
        <w:spacing w:line="480" w:lineRule="auto"/>
        <w:rPr>
          <w:noProof/>
          <w:sz w:val="24"/>
        </w:rPr>
      </w:pPr>
      <w:r w:rsidRPr="00073A37">
        <w:rPr>
          <w:noProof/>
          <w:sz w:val="24"/>
        </w:rPr>
        <w:t>TD – terminal day</w:t>
      </w:r>
    </w:p>
    <w:p w:rsidR="00F51BF0" w:rsidRPr="00073A37" w:rsidRDefault="00F51BF0" w:rsidP="00F51BF0">
      <w:pPr>
        <w:rPr>
          <w:b/>
          <w:noProof/>
          <w:sz w:val="24"/>
        </w:rPr>
      </w:pPr>
      <w:r w:rsidRPr="00073A37">
        <w:rPr>
          <w:noProof/>
          <w:sz w:val="24"/>
        </w:rPr>
        <w:t xml:space="preserve">TTD – time to death from challenge day </w:t>
      </w:r>
    </w:p>
    <w:p w:rsidR="00DD509F" w:rsidRDefault="00F51BF0" w:rsidP="006A6315">
      <w:pPr>
        <w:rPr>
          <w:noProof/>
          <w:sz w:val="24"/>
        </w:rPr>
      </w:pPr>
      <w:r w:rsidRPr="00073A37">
        <w:rPr>
          <w:noProof/>
          <w:sz w:val="24"/>
        </w:rPr>
        <w:t>ULOQ – upper level of quantification (10,000 ng/mL)</w:t>
      </w:r>
    </w:p>
    <w:p w:rsidR="00DD509F" w:rsidRDefault="00DD509F" w:rsidP="006A6315">
      <w:pPr>
        <w:rPr>
          <w:noProof/>
          <w:sz w:val="24"/>
        </w:rPr>
      </w:pPr>
    </w:p>
    <w:p w:rsidR="00DD509F" w:rsidRDefault="00DD509F" w:rsidP="006A6315">
      <w:pPr>
        <w:rPr>
          <w:noProof/>
          <w:sz w:val="24"/>
        </w:rPr>
      </w:pPr>
    </w:p>
    <w:p w:rsidR="00DD509F" w:rsidRDefault="00DD509F">
      <w:pPr>
        <w:spacing w:line="240" w:lineRule="auto"/>
        <w:rPr>
          <w:noProof/>
          <w:sz w:val="24"/>
        </w:rPr>
      </w:pPr>
      <w:r>
        <w:rPr>
          <w:noProof/>
          <w:sz w:val="24"/>
        </w:rPr>
        <w:br w:type="page"/>
      </w:r>
    </w:p>
    <w:p w:rsidR="00DD509F" w:rsidRPr="00DD509F" w:rsidRDefault="00DD509F" w:rsidP="006A6315">
      <w:pPr>
        <w:rPr>
          <w:b/>
          <w:noProof/>
          <w:sz w:val="24"/>
        </w:rPr>
      </w:pPr>
      <w:r w:rsidRPr="00DD509F">
        <w:rPr>
          <w:b/>
          <w:noProof/>
          <w:sz w:val="24"/>
        </w:rPr>
        <w:lastRenderedPageBreak/>
        <w:t>Bibliography</w:t>
      </w:r>
    </w:p>
    <w:p w:rsidR="00182D56" w:rsidRPr="00182D56" w:rsidRDefault="00DD509F" w:rsidP="00182D56">
      <w:pPr>
        <w:spacing w:line="240" w:lineRule="auto"/>
        <w:ind w:left="720" w:hanging="720"/>
        <w:rPr>
          <w:noProof/>
        </w:rPr>
      </w:pPr>
      <w:r>
        <w:rPr>
          <w:noProof/>
          <w:sz w:val="24"/>
        </w:rPr>
        <w:fldChar w:fldCharType="begin"/>
      </w:r>
      <w:r>
        <w:rPr>
          <w:noProof/>
          <w:sz w:val="24"/>
        </w:rPr>
        <w:instrText xml:space="preserve"> ADDIN EN.REFLIST </w:instrText>
      </w:r>
      <w:r>
        <w:rPr>
          <w:noProof/>
          <w:sz w:val="24"/>
        </w:rPr>
        <w:fldChar w:fldCharType="separate"/>
      </w:r>
      <w:bookmarkStart w:id="1" w:name="_ENREF_1"/>
      <w:r w:rsidR="00182D56" w:rsidRPr="00182D56">
        <w:rPr>
          <w:noProof/>
        </w:rPr>
        <w:t>1.</w:t>
      </w:r>
      <w:r w:rsidR="00182D56" w:rsidRPr="00182D56">
        <w:rPr>
          <w:noProof/>
        </w:rPr>
        <w:tab/>
      </w:r>
      <w:r w:rsidR="00182D56" w:rsidRPr="00182D56">
        <w:rPr>
          <w:b/>
          <w:noProof/>
        </w:rPr>
        <w:t>Taft SC, Nichols TL, Hines SA, Barnewall RE, Stark GV, Comer JE.</w:t>
      </w:r>
      <w:r w:rsidR="00182D56" w:rsidRPr="00182D56">
        <w:rPr>
          <w:noProof/>
        </w:rPr>
        <w:t xml:space="preserve"> 2017. Physiological responses to a single low-dose of</w:t>
      </w:r>
      <w:r w:rsidR="00182D56" w:rsidRPr="00182D56">
        <w:rPr>
          <w:i/>
          <w:noProof/>
        </w:rPr>
        <w:t xml:space="preserve"> Bacillus anthracis</w:t>
      </w:r>
      <w:r w:rsidR="00182D56" w:rsidRPr="00182D56">
        <w:rPr>
          <w:noProof/>
        </w:rPr>
        <w:t xml:space="preserve"> spores in the rabbit model of inhalational anthrax. Submitted to Infection and Immunity as First Article of Two Companion Articles </w:t>
      </w:r>
      <w:bookmarkEnd w:id="1"/>
    </w:p>
    <w:p w:rsidR="00182D56" w:rsidRPr="00182D56" w:rsidRDefault="00182D56" w:rsidP="00182D56">
      <w:pPr>
        <w:spacing w:line="240" w:lineRule="auto"/>
        <w:ind w:left="720" w:hanging="720"/>
        <w:rPr>
          <w:noProof/>
        </w:rPr>
      </w:pPr>
      <w:bookmarkStart w:id="2" w:name="_ENREF_2"/>
      <w:r w:rsidRPr="00182D56">
        <w:rPr>
          <w:noProof/>
        </w:rPr>
        <w:t>2.</w:t>
      </w:r>
      <w:r w:rsidRPr="00182D56">
        <w:rPr>
          <w:noProof/>
        </w:rPr>
        <w:tab/>
      </w:r>
      <w:r w:rsidRPr="00182D56">
        <w:rPr>
          <w:b/>
          <w:noProof/>
        </w:rPr>
        <w:t>Comer JE, Ray BD, Henning LN, Stark GV, Barnewall RE, Mott JM, Meister GT.</w:t>
      </w:r>
      <w:r w:rsidRPr="00182D56">
        <w:rPr>
          <w:noProof/>
        </w:rPr>
        <w:t xml:space="preserve"> 2012. Characterization of a therapeutic model of inhalational anthrax using an increase in body temperature in New Zealand white rabbits as a trigger for treatment. Clinical and Vaccine Immunology : CVI </w:t>
      </w:r>
      <w:r w:rsidRPr="00182D56">
        <w:rPr>
          <w:b/>
          <w:noProof/>
        </w:rPr>
        <w:t>19:</w:t>
      </w:r>
      <w:r w:rsidRPr="00182D56">
        <w:rPr>
          <w:noProof/>
        </w:rPr>
        <w:t xml:space="preserve">1517-1525. </w:t>
      </w:r>
      <w:bookmarkEnd w:id="2"/>
    </w:p>
    <w:p w:rsidR="00182D56" w:rsidRPr="00182D56" w:rsidRDefault="00182D56" w:rsidP="00182D56">
      <w:pPr>
        <w:spacing w:line="240" w:lineRule="auto"/>
        <w:ind w:left="720" w:hanging="720"/>
        <w:rPr>
          <w:noProof/>
        </w:rPr>
      </w:pPr>
      <w:bookmarkStart w:id="3" w:name="_ENREF_3"/>
      <w:r w:rsidRPr="00182D56">
        <w:rPr>
          <w:noProof/>
        </w:rPr>
        <w:t>3.</w:t>
      </w:r>
      <w:r w:rsidRPr="00182D56">
        <w:rPr>
          <w:noProof/>
        </w:rPr>
        <w:tab/>
      </w:r>
      <w:r w:rsidRPr="00182D56">
        <w:rPr>
          <w:b/>
          <w:noProof/>
        </w:rPr>
        <w:t>Yee SB, Hatkin JM, Dyer DN, Orr SA, Pitt MLM.</w:t>
      </w:r>
      <w:r w:rsidRPr="00182D56">
        <w:rPr>
          <w:noProof/>
        </w:rPr>
        <w:t xml:space="preserve"> 2010. Aerosolized </w:t>
      </w:r>
      <w:r w:rsidRPr="00182D56">
        <w:rPr>
          <w:i/>
          <w:noProof/>
        </w:rPr>
        <w:t>Bacillus anthracis</w:t>
      </w:r>
      <w:r w:rsidRPr="00182D56">
        <w:rPr>
          <w:noProof/>
        </w:rPr>
        <w:t xml:space="preserve"> infection in New Zealand White Rabbits: Natural history and intravenous levofloxacin treatment. Comp. Med. </w:t>
      </w:r>
      <w:r w:rsidRPr="00182D56">
        <w:rPr>
          <w:b/>
          <w:noProof/>
        </w:rPr>
        <w:t>60:</w:t>
      </w:r>
      <w:r w:rsidRPr="00182D56">
        <w:rPr>
          <w:noProof/>
        </w:rPr>
        <w:t xml:space="preserve">461-468. </w:t>
      </w:r>
      <w:bookmarkEnd w:id="3"/>
    </w:p>
    <w:p w:rsidR="00182D56" w:rsidRDefault="00182D56" w:rsidP="00182D56">
      <w:pPr>
        <w:spacing w:line="240" w:lineRule="auto"/>
        <w:rPr>
          <w:noProof/>
        </w:rPr>
      </w:pPr>
    </w:p>
    <w:p w:rsidR="001F1C35" w:rsidRPr="00073A37" w:rsidRDefault="00DD509F" w:rsidP="006A6315">
      <w:pPr>
        <w:rPr>
          <w:noProof/>
          <w:sz w:val="24"/>
        </w:rPr>
      </w:pPr>
      <w:r>
        <w:rPr>
          <w:noProof/>
          <w:sz w:val="24"/>
        </w:rPr>
        <w:fldChar w:fldCharType="end"/>
      </w:r>
    </w:p>
    <w:sectPr w:rsidR="001F1C35" w:rsidRPr="00073A37" w:rsidSect="0040720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440" w:rsidRDefault="00592440" w:rsidP="00DA44EA">
      <w:pPr>
        <w:spacing w:line="240" w:lineRule="auto"/>
      </w:pPr>
      <w:r>
        <w:separator/>
      </w:r>
    </w:p>
  </w:endnote>
  <w:endnote w:type="continuationSeparator" w:id="0">
    <w:p w:rsidR="00592440" w:rsidRDefault="00592440" w:rsidP="00DA44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19480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07D1" w:rsidRDefault="00FC07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DC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C07D1" w:rsidRDefault="00FC07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440" w:rsidRDefault="00592440" w:rsidP="00DA44EA">
      <w:pPr>
        <w:spacing w:line="240" w:lineRule="auto"/>
      </w:pPr>
      <w:r>
        <w:separator/>
      </w:r>
    </w:p>
  </w:footnote>
  <w:footnote w:type="continuationSeparator" w:id="0">
    <w:p w:rsidR="00592440" w:rsidRDefault="00592440" w:rsidP="00DA44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599"/>
    <w:multiLevelType w:val="multilevel"/>
    <w:tmpl w:val="BB5E7B1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Infection%20Immunity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fe5e0d5dd2dzlev2thpprtuwfsss5p59r9x&quot;&gt;Untitled&lt;record-ids&gt;&lt;item&gt;716&lt;/item&gt;&lt;item&gt;1265&lt;/item&gt;&lt;item&gt;2983&lt;/item&gt;&lt;/record-ids&gt;&lt;/item&gt;&lt;/Libraries&gt;"/>
  </w:docVars>
  <w:rsids>
    <w:rsidRoot w:val="00EC2989"/>
    <w:rsid w:val="00007C57"/>
    <w:rsid w:val="00012965"/>
    <w:rsid w:val="00012C3C"/>
    <w:rsid w:val="000433A6"/>
    <w:rsid w:val="00062D17"/>
    <w:rsid w:val="00073A37"/>
    <w:rsid w:val="0007575F"/>
    <w:rsid w:val="00085824"/>
    <w:rsid w:val="000E3E07"/>
    <w:rsid w:val="000E563D"/>
    <w:rsid w:val="000F4728"/>
    <w:rsid w:val="00126563"/>
    <w:rsid w:val="00133C1F"/>
    <w:rsid w:val="00137D33"/>
    <w:rsid w:val="001774C7"/>
    <w:rsid w:val="00182D56"/>
    <w:rsid w:val="001F1C35"/>
    <w:rsid w:val="001F2533"/>
    <w:rsid w:val="001F7B9D"/>
    <w:rsid w:val="0021005D"/>
    <w:rsid w:val="00223C9B"/>
    <w:rsid w:val="00225998"/>
    <w:rsid w:val="0025523E"/>
    <w:rsid w:val="00262D18"/>
    <w:rsid w:val="002C435D"/>
    <w:rsid w:val="002C5CE4"/>
    <w:rsid w:val="002D005B"/>
    <w:rsid w:val="002D449F"/>
    <w:rsid w:val="0030322C"/>
    <w:rsid w:val="00306A61"/>
    <w:rsid w:val="00323500"/>
    <w:rsid w:val="003321EB"/>
    <w:rsid w:val="00332FB3"/>
    <w:rsid w:val="00333313"/>
    <w:rsid w:val="00386DAE"/>
    <w:rsid w:val="003E3A67"/>
    <w:rsid w:val="003E3F64"/>
    <w:rsid w:val="003F20DA"/>
    <w:rsid w:val="003F2E02"/>
    <w:rsid w:val="0040092D"/>
    <w:rsid w:val="0040720A"/>
    <w:rsid w:val="00425C70"/>
    <w:rsid w:val="00427224"/>
    <w:rsid w:val="00433054"/>
    <w:rsid w:val="00463963"/>
    <w:rsid w:val="00470A45"/>
    <w:rsid w:val="0047337D"/>
    <w:rsid w:val="0047429E"/>
    <w:rsid w:val="00481601"/>
    <w:rsid w:val="004E577D"/>
    <w:rsid w:val="00546D69"/>
    <w:rsid w:val="005661CB"/>
    <w:rsid w:val="00571150"/>
    <w:rsid w:val="005777B8"/>
    <w:rsid w:val="00592440"/>
    <w:rsid w:val="005A4F6A"/>
    <w:rsid w:val="005D5F5C"/>
    <w:rsid w:val="00601E9B"/>
    <w:rsid w:val="00602888"/>
    <w:rsid w:val="00647934"/>
    <w:rsid w:val="00692507"/>
    <w:rsid w:val="006A6315"/>
    <w:rsid w:val="006B29DB"/>
    <w:rsid w:val="00715F48"/>
    <w:rsid w:val="00721D45"/>
    <w:rsid w:val="00723134"/>
    <w:rsid w:val="007D4B04"/>
    <w:rsid w:val="007D6A78"/>
    <w:rsid w:val="008206D4"/>
    <w:rsid w:val="00833DC4"/>
    <w:rsid w:val="00843575"/>
    <w:rsid w:val="00876CDF"/>
    <w:rsid w:val="00876EC2"/>
    <w:rsid w:val="0089128C"/>
    <w:rsid w:val="008D1EB9"/>
    <w:rsid w:val="008E33A6"/>
    <w:rsid w:val="0091051D"/>
    <w:rsid w:val="009131F4"/>
    <w:rsid w:val="00973418"/>
    <w:rsid w:val="009C7AEE"/>
    <w:rsid w:val="009D4264"/>
    <w:rsid w:val="009E44FE"/>
    <w:rsid w:val="009F766C"/>
    <w:rsid w:val="00A03A44"/>
    <w:rsid w:val="00A04BA4"/>
    <w:rsid w:val="00A24288"/>
    <w:rsid w:val="00A33BC4"/>
    <w:rsid w:val="00A54AC2"/>
    <w:rsid w:val="00AA3885"/>
    <w:rsid w:val="00AA6F06"/>
    <w:rsid w:val="00AE6DC6"/>
    <w:rsid w:val="00AF1422"/>
    <w:rsid w:val="00B01C06"/>
    <w:rsid w:val="00B562C3"/>
    <w:rsid w:val="00B62C77"/>
    <w:rsid w:val="00B714C7"/>
    <w:rsid w:val="00B953B1"/>
    <w:rsid w:val="00BA4BEB"/>
    <w:rsid w:val="00BD7333"/>
    <w:rsid w:val="00CD6FA9"/>
    <w:rsid w:val="00CE1527"/>
    <w:rsid w:val="00D05020"/>
    <w:rsid w:val="00D13B6A"/>
    <w:rsid w:val="00D21FCB"/>
    <w:rsid w:val="00D607EC"/>
    <w:rsid w:val="00D80A66"/>
    <w:rsid w:val="00D96B97"/>
    <w:rsid w:val="00DA44EA"/>
    <w:rsid w:val="00DA6262"/>
    <w:rsid w:val="00DB2FE3"/>
    <w:rsid w:val="00DC7502"/>
    <w:rsid w:val="00DD509F"/>
    <w:rsid w:val="00E447E7"/>
    <w:rsid w:val="00E73935"/>
    <w:rsid w:val="00E81584"/>
    <w:rsid w:val="00EC2989"/>
    <w:rsid w:val="00EC61EE"/>
    <w:rsid w:val="00ED2F82"/>
    <w:rsid w:val="00F034CE"/>
    <w:rsid w:val="00F51BF0"/>
    <w:rsid w:val="00F812A7"/>
    <w:rsid w:val="00F93376"/>
    <w:rsid w:val="00FB1028"/>
    <w:rsid w:val="00FC07D1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54A8D"/>
  <w15:chartTrackingRefBased/>
  <w15:docId w15:val="{E72BC908-8C59-4B6B-8329-FDCDA0B0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/>
    <w:lsdException w:name="Colorful List Accent 2" w:uiPriority="72"/>
    <w:lsdException w:name="Colorful Grid Accent 2" w:uiPriority="73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EPA Report"/>
    <w:qFormat/>
    <w:rsid w:val="00012C3C"/>
    <w:pPr>
      <w:spacing w:line="480" w:lineRule="auto"/>
    </w:pPr>
    <w:rPr>
      <w:szCs w:val="24"/>
    </w:rPr>
  </w:style>
  <w:style w:type="paragraph" w:styleId="Heading1">
    <w:name w:val="heading 1"/>
    <w:basedOn w:val="ListParagraph"/>
    <w:next w:val="Normal"/>
    <w:link w:val="Heading1Char"/>
    <w:autoRedefine/>
    <w:uiPriority w:val="99"/>
    <w:qFormat/>
    <w:rsid w:val="00DA6262"/>
    <w:pPr>
      <w:numPr>
        <w:numId w:val="11"/>
      </w:numPr>
      <w:spacing w:before="840" w:after="120"/>
      <w:outlineLvl w:val="0"/>
    </w:pPr>
    <w:rPr>
      <w:b/>
      <w:sz w:val="28"/>
    </w:rPr>
  </w:style>
  <w:style w:type="paragraph" w:styleId="Heading2">
    <w:name w:val="heading 2"/>
    <w:basedOn w:val="ListParagraph"/>
    <w:next w:val="Normal"/>
    <w:link w:val="Heading2Char"/>
    <w:uiPriority w:val="99"/>
    <w:qFormat/>
    <w:rsid w:val="00DA6262"/>
    <w:pPr>
      <w:numPr>
        <w:ilvl w:val="1"/>
        <w:numId w:val="11"/>
      </w:numPr>
      <w:spacing w:line="240" w:lineRule="auto"/>
      <w:contextualSpacing w:val="0"/>
      <w:outlineLvl w:val="1"/>
    </w:pPr>
    <w:rPr>
      <w:b/>
    </w:rPr>
  </w:style>
  <w:style w:type="paragraph" w:styleId="Heading3">
    <w:name w:val="heading 3"/>
    <w:basedOn w:val="ListParagraph"/>
    <w:next w:val="Normal"/>
    <w:link w:val="Heading3Char"/>
    <w:uiPriority w:val="99"/>
    <w:qFormat/>
    <w:rsid w:val="00DA6262"/>
    <w:pPr>
      <w:numPr>
        <w:ilvl w:val="2"/>
        <w:numId w:val="11"/>
      </w:numPr>
      <w:tabs>
        <w:tab w:val="left" w:pos="720"/>
      </w:tabs>
      <w:spacing w:after="120" w:line="240" w:lineRule="auto"/>
      <w:outlineLvl w:val="2"/>
    </w:pPr>
    <w:rPr>
      <w:b/>
      <w:i/>
    </w:rPr>
  </w:style>
  <w:style w:type="paragraph" w:styleId="Heading4">
    <w:name w:val="heading 4"/>
    <w:basedOn w:val="Heading3"/>
    <w:next w:val="Normal"/>
    <w:link w:val="Heading4Char"/>
    <w:autoRedefine/>
    <w:uiPriority w:val="99"/>
    <w:qFormat/>
    <w:rsid w:val="00DA6262"/>
    <w:pPr>
      <w:numPr>
        <w:ilvl w:val="3"/>
      </w:numPr>
      <w:spacing w:after="240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DA6262"/>
    <w:pPr>
      <w:keepNext/>
      <w:keepLines/>
      <w:numPr>
        <w:ilvl w:val="4"/>
        <w:numId w:val="11"/>
      </w:numPr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A6262"/>
    <w:pPr>
      <w:keepNext/>
      <w:keepLines/>
      <w:numPr>
        <w:ilvl w:val="5"/>
        <w:numId w:val="11"/>
      </w:numPr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A6262"/>
    <w:pPr>
      <w:keepNext/>
      <w:keepLines/>
      <w:numPr>
        <w:ilvl w:val="6"/>
        <w:numId w:val="11"/>
      </w:numPr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A6262"/>
    <w:pPr>
      <w:keepNext/>
      <w:keepLines/>
      <w:numPr>
        <w:ilvl w:val="7"/>
        <w:numId w:val="1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A6262"/>
    <w:pPr>
      <w:keepNext/>
      <w:keepLines/>
      <w:numPr>
        <w:ilvl w:val="8"/>
        <w:numId w:val="1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6262"/>
    <w:rPr>
      <w:rFonts w:eastAsia="Calibri"/>
      <w:b/>
      <w:sz w:val="28"/>
      <w:szCs w:val="24"/>
    </w:rPr>
  </w:style>
  <w:style w:type="paragraph" w:styleId="ListParagraph">
    <w:name w:val="List Paragraph"/>
    <w:basedOn w:val="Normal"/>
    <w:uiPriority w:val="99"/>
    <w:qFormat/>
    <w:rsid w:val="00012C3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012C3C"/>
    <w:rPr>
      <w:rFonts w:eastAsia="Calibri"/>
      <w:b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012C3C"/>
    <w:rPr>
      <w:rFonts w:eastAsia="Calibri"/>
      <w:b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012C3C"/>
    <w:rPr>
      <w:rFonts w:eastAsia="Calibri"/>
      <w:b/>
      <w:i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012C3C"/>
    <w:rPr>
      <w:rFonts w:ascii="Cambria" w:eastAsia="Calibri" w:hAnsi="Cambria"/>
      <w:color w:val="243F6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012C3C"/>
    <w:rPr>
      <w:rFonts w:ascii="Cambria" w:eastAsia="Calibri" w:hAnsi="Cambria"/>
      <w:i/>
      <w:iCs/>
      <w:color w:val="243F6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012C3C"/>
    <w:rPr>
      <w:rFonts w:ascii="Cambria" w:eastAsia="Calibri" w:hAnsi="Cambria"/>
      <w:i/>
      <w:iCs/>
      <w:color w:val="40404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012C3C"/>
    <w:rPr>
      <w:rFonts w:ascii="Cambria" w:eastAsia="Calibri" w:hAnsi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012C3C"/>
    <w:rPr>
      <w:rFonts w:ascii="Cambria" w:eastAsia="Calibri" w:hAnsi="Cambria"/>
      <w:i/>
      <w:iCs/>
      <w:color w:val="40404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AA6F06"/>
    <w:pPr>
      <w:tabs>
        <w:tab w:val="left" w:pos="440"/>
        <w:tab w:val="right" w:leader="dot" w:pos="9350"/>
      </w:tabs>
      <w:spacing w:after="200" w:line="240" w:lineRule="auto"/>
      <w:ind w:left="864" w:right="432" w:hanging="864"/>
    </w:pPr>
    <w:rPr>
      <w:rFonts w:eastAsia="Times New Roman" w:cstheme="minorBidi"/>
      <w:sz w:val="24"/>
    </w:rPr>
  </w:style>
  <w:style w:type="paragraph" w:styleId="TOC2">
    <w:name w:val="toc 2"/>
    <w:basedOn w:val="Normal"/>
    <w:next w:val="Normal"/>
    <w:autoRedefine/>
    <w:uiPriority w:val="39"/>
    <w:rsid w:val="00012C3C"/>
    <w:pPr>
      <w:tabs>
        <w:tab w:val="left" w:pos="880"/>
        <w:tab w:val="right" w:leader="dot" w:pos="9350"/>
      </w:tabs>
      <w:spacing w:after="100"/>
      <w:ind w:left="220"/>
    </w:pPr>
    <w:rPr>
      <w:rFonts w:eastAsia="Times New Roman"/>
      <w:noProof/>
    </w:rPr>
  </w:style>
  <w:style w:type="paragraph" w:styleId="TOC3">
    <w:name w:val="toc 3"/>
    <w:basedOn w:val="Normal"/>
    <w:next w:val="Normal"/>
    <w:autoRedefine/>
    <w:uiPriority w:val="39"/>
    <w:rsid w:val="00012C3C"/>
    <w:pPr>
      <w:tabs>
        <w:tab w:val="left" w:pos="1320"/>
        <w:tab w:val="right" w:leader="dot" w:pos="9350"/>
      </w:tabs>
      <w:spacing w:after="120" w:line="240" w:lineRule="auto"/>
      <w:ind w:left="864" w:right="864" w:firstLine="43"/>
    </w:pPr>
    <w:rPr>
      <w:rFonts w:eastAsia="Times New Roman"/>
      <w:noProof/>
    </w:rPr>
  </w:style>
  <w:style w:type="paragraph" w:styleId="TOC4">
    <w:name w:val="toc 4"/>
    <w:basedOn w:val="Normal"/>
    <w:next w:val="Normal"/>
    <w:autoRedefine/>
    <w:uiPriority w:val="99"/>
    <w:rsid w:val="00012C3C"/>
    <w:pPr>
      <w:tabs>
        <w:tab w:val="right" w:leader="dot" w:pos="9350"/>
      </w:tabs>
      <w:spacing w:after="100"/>
      <w:ind w:left="450"/>
      <w:jc w:val="center"/>
    </w:pPr>
    <w:rPr>
      <w:b/>
      <w:sz w:val="36"/>
      <w:szCs w:val="36"/>
    </w:rPr>
  </w:style>
  <w:style w:type="paragraph" w:styleId="FootnoteText">
    <w:name w:val="footnote text"/>
    <w:basedOn w:val="Normal"/>
    <w:link w:val="FootnoteTextChar"/>
    <w:uiPriority w:val="99"/>
    <w:rsid w:val="00012C3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2C3C"/>
    <w:rPr>
      <w:rFonts w:eastAsia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012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2C3C"/>
    <w:rPr>
      <w:rFonts w:eastAsia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012C3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C3C"/>
    <w:rPr>
      <w:rFonts w:eastAsia="Calibri" w:cs="Times New Roman"/>
      <w:szCs w:val="24"/>
    </w:rPr>
  </w:style>
  <w:style w:type="paragraph" w:styleId="Footer">
    <w:name w:val="footer"/>
    <w:basedOn w:val="Normal"/>
    <w:link w:val="FooterChar"/>
    <w:uiPriority w:val="99"/>
    <w:rsid w:val="00012C3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C3C"/>
    <w:rPr>
      <w:rFonts w:eastAsia="Calibri" w:cs="Times New Roman"/>
      <w:szCs w:val="24"/>
    </w:rPr>
  </w:style>
  <w:style w:type="paragraph" w:styleId="Caption">
    <w:name w:val="caption"/>
    <w:basedOn w:val="Normal"/>
    <w:next w:val="Normal"/>
    <w:qFormat/>
    <w:rsid w:val="00012C3C"/>
    <w:pPr>
      <w:spacing w:after="120" w:line="240" w:lineRule="auto"/>
    </w:pPr>
    <w:rPr>
      <w:b/>
      <w:bCs/>
    </w:rPr>
  </w:style>
  <w:style w:type="paragraph" w:styleId="TableofFigures">
    <w:name w:val="table of figures"/>
    <w:basedOn w:val="Normal"/>
    <w:next w:val="Normal"/>
    <w:uiPriority w:val="99"/>
    <w:rsid w:val="00012C3C"/>
  </w:style>
  <w:style w:type="character" w:styleId="FootnoteReference">
    <w:name w:val="footnote reference"/>
    <w:basedOn w:val="DefaultParagraphFont"/>
    <w:uiPriority w:val="99"/>
    <w:rsid w:val="00012C3C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012C3C"/>
    <w:rPr>
      <w:rFonts w:cs="Times New Roman"/>
      <w:sz w:val="16"/>
      <w:szCs w:val="16"/>
    </w:rPr>
  </w:style>
  <w:style w:type="character" w:styleId="PageNumber">
    <w:name w:val="page number"/>
    <w:basedOn w:val="DefaultParagraphFont"/>
    <w:uiPriority w:val="99"/>
    <w:rsid w:val="00012C3C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012C3C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012C3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2C3C"/>
    <w:rPr>
      <w:rFonts w:eastAsia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012C3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12C3C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012C3C"/>
    <w:rPr>
      <w:rFonts w:cs="Times New Roman"/>
      <w:i/>
      <w:iCs/>
    </w:rPr>
  </w:style>
  <w:style w:type="paragraph" w:styleId="PlainText">
    <w:name w:val="Plain Text"/>
    <w:basedOn w:val="Normal"/>
    <w:link w:val="PlainTextChar"/>
    <w:uiPriority w:val="99"/>
    <w:rsid w:val="00012C3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C3C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semiHidden/>
    <w:rsid w:val="00012C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2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C3C"/>
    <w:rPr>
      <w:rFonts w:eastAsia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12C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C3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2C3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012C3C"/>
    <w:rPr>
      <w:rFonts w:cs="Times New Roman"/>
      <w:color w:val="808080"/>
    </w:rPr>
  </w:style>
  <w:style w:type="paragraph" w:styleId="NoSpacing">
    <w:name w:val="No Spacing"/>
    <w:uiPriority w:val="99"/>
    <w:qFormat/>
    <w:rsid w:val="00012C3C"/>
    <w:rPr>
      <w:rFonts w:ascii="Calibri" w:hAnsi="Calibri"/>
      <w:szCs w:val="24"/>
    </w:rPr>
  </w:style>
  <w:style w:type="table" w:styleId="ColorfulList-Accent1">
    <w:name w:val="Colorful List Accent 1"/>
    <w:basedOn w:val="TableNormal"/>
    <w:uiPriority w:val="99"/>
    <w:rsid w:val="00012C3C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styleId="ColorfulShading-Accent2">
    <w:name w:val="Colorful Shading Accent 2"/>
    <w:basedOn w:val="TableNormal"/>
    <w:uiPriority w:val="99"/>
    <w:rsid w:val="00012C3C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LightShading-Accent3">
    <w:name w:val="Light Shading Accent 3"/>
    <w:basedOn w:val="TableNormal"/>
    <w:uiPriority w:val="99"/>
    <w:rsid w:val="00012C3C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Shading2-Accent5">
    <w:name w:val="Medium Shading 2 Accent 5"/>
    <w:basedOn w:val="TableNormal"/>
    <w:uiPriority w:val="99"/>
    <w:rsid w:val="00012C3C"/>
    <w:rPr>
      <w:rFonts w:ascii="Calibri" w:eastAsia="Times New Roman" w:hAnsi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ubtleEmphasis">
    <w:name w:val="Subtle Emphasis"/>
    <w:basedOn w:val="DefaultParagraphFont"/>
    <w:uiPriority w:val="99"/>
    <w:qFormat/>
    <w:rsid w:val="00012C3C"/>
    <w:rPr>
      <w:rFonts w:eastAsia="Times New Roman" w:cs="Times New Roman"/>
      <w:i/>
      <w:iCs/>
      <w:color w:val="808080"/>
      <w:sz w:val="22"/>
      <w:szCs w:val="22"/>
      <w:lang w:val="en-US"/>
    </w:rPr>
  </w:style>
  <w:style w:type="paragraph" w:styleId="TOCHeading">
    <w:name w:val="TOC Heading"/>
    <w:basedOn w:val="Heading1"/>
    <w:next w:val="Normal"/>
    <w:uiPriority w:val="99"/>
    <w:qFormat/>
    <w:rsid w:val="00012C3C"/>
    <w:pPr>
      <w:numPr>
        <w:numId w:val="0"/>
      </w:numPr>
      <w:outlineLvl w:val="9"/>
    </w:pPr>
  </w:style>
  <w:style w:type="paragraph" w:customStyle="1" w:styleId="BBCoverlevel2">
    <w:name w:val="BBCover_level2"/>
    <w:basedOn w:val="Normal"/>
    <w:uiPriority w:val="99"/>
    <w:rsid w:val="00012C3C"/>
    <w:pPr>
      <w:spacing w:line="240" w:lineRule="auto"/>
    </w:pPr>
    <w:rPr>
      <w:rFonts w:ascii="Arial" w:eastAsia="Times New Roman" w:hAnsi="Arial" w:cs="Arial"/>
      <w:bCs/>
      <w:sz w:val="36"/>
      <w:szCs w:val="36"/>
    </w:rPr>
  </w:style>
  <w:style w:type="paragraph" w:customStyle="1" w:styleId="00-Head1">
    <w:name w:val="00-Head1"/>
    <w:basedOn w:val="Normal"/>
    <w:uiPriority w:val="99"/>
    <w:rsid w:val="00012C3C"/>
    <w:pPr>
      <w:tabs>
        <w:tab w:val="left" w:pos="27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  <w:tab w:val="left" w:pos="19080"/>
        <w:tab w:val="left" w:pos="19800"/>
        <w:tab w:val="left" w:pos="20520"/>
        <w:tab w:val="left" w:pos="21240"/>
        <w:tab w:val="left" w:pos="21960"/>
        <w:tab w:val="left" w:pos="22680"/>
        <w:tab w:val="left" w:pos="23400"/>
        <w:tab w:val="left" w:pos="24120"/>
        <w:tab w:val="left" w:pos="24840"/>
        <w:tab w:val="left" w:pos="25560"/>
        <w:tab w:val="left" w:pos="26280"/>
        <w:tab w:val="left" w:pos="27000"/>
        <w:tab w:val="left" w:pos="27720"/>
        <w:tab w:val="left" w:pos="28440"/>
      </w:tabs>
      <w:spacing w:after="240"/>
      <w:jc w:val="center"/>
    </w:pPr>
    <w:rPr>
      <w:rFonts w:eastAsia="Times New Roman"/>
      <w:b/>
      <w:szCs w:val="20"/>
    </w:rPr>
  </w:style>
  <w:style w:type="paragraph" w:customStyle="1" w:styleId="DecimalAligned">
    <w:name w:val="Decimal Aligned"/>
    <w:basedOn w:val="Normal"/>
    <w:uiPriority w:val="99"/>
    <w:rsid w:val="00012C3C"/>
    <w:pPr>
      <w:tabs>
        <w:tab w:val="decimal" w:pos="360"/>
      </w:tabs>
    </w:pPr>
    <w:rPr>
      <w:rFonts w:ascii="Calibri" w:eastAsia="Times New Roman" w:hAnsi="Calibri"/>
    </w:rPr>
  </w:style>
  <w:style w:type="table" w:customStyle="1" w:styleId="LightShading1">
    <w:name w:val="Light Shading1"/>
    <w:uiPriority w:val="99"/>
    <w:rsid w:val="00012C3C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2">
    <w:name w:val="Light Shading2"/>
    <w:uiPriority w:val="99"/>
    <w:rsid w:val="00012C3C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HLevel1">
    <w:name w:val="BHLevel1"/>
    <w:basedOn w:val="Normal"/>
    <w:next w:val="Normal"/>
    <w:uiPriority w:val="99"/>
    <w:rsid w:val="00012C3C"/>
    <w:pPr>
      <w:spacing w:before="480" w:after="240" w:line="240" w:lineRule="auto"/>
      <w:jc w:val="center"/>
      <w:outlineLvl w:val="0"/>
    </w:pPr>
    <w:rPr>
      <w:b/>
      <w:caps/>
      <w:color w:val="000000"/>
      <w:sz w:val="40"/>
      <w:szCs w:val="40"/>
    </w:rPr>
  </w:style>
  <w:style w:type="paragraph" w:customStyle="1" w:styleId="BHLevel2">
    <w:name w:val="BHLevel2"/>
    <w:basedOn w:val="Normal"/>
    <w:next w:val="Normal"/>
    <w:uiPriority w:val="99"/>
    <w:rsid w:val="00012C3C"/>
    <w:pPr>
      <w:spacing w:before="480" w:after="240" w:line="240" w:lineRule="auto"/>
      <w:jc w:val="center"/>
      <w:outlineLvl w:val="1"/>
    </w:pPr>
    <w:rPr>
      <w:b/>
      <w:smallCaps/>
      <w:color w:val="1F497D"/>
      <w:sz w:val="36"/>
      <w:szCs w:val="36"/>
    </w:rPr>
  </w:style>
  <w:style w:type="paragraph" w:customStyle="1" w:styleId="BHLevel3">
    <w:name w:val="BHLevel3"/>
    <w:basedOn w:val="Normal"/>
    <w:next w:val="Normal"/>
    <w:uiPriority w:val="99"/>
    <w:rsid w:val="00012C3C"/>
    <w:pPr>
      <w:spacing w:before="480" w:after="240" w:line="240" w:lineRule="auto"/>
      <w:jc w:val="center"/>
      <w:outlineLvl w:val="2"/>
    </w:pPr>
    <w:rPr>
      <w:b/>
      <w:color w:val="4F81BD"/>
      <w:sz w:val="30"/>
      <w:szCs w:val="30"/>
    </w:rPr>
  </w:style>
  <w:style w:type="paragraph" w:customStyle="1" w:styleId="BHLevel4">
    <w:name w:val="BHLevel4"/>
    <w:basedOn w:val="Normal"/>
    <w:next w:val="Normal"/>
    <w:uiPriority w:val="99"/>
    <w:rsid w:val="00012C3C"/>
    <w:pPr>
      <w:spacing w:before="480" w:after="240" w:line="240" w:lineRule="auto"/>
      <w:outlineLvl w:val="3"/>
    </w:pPr>
    <w:rPr>
      <w:b/>
      <w:color w:val="C0504D"/>
      <w:sz w:val="28"/>
      <w:szCs w:val="28"/>
    </w:rPr>
  </w:style>
  <w:style w:type="paragraph" w:customStyle="1" w:styleId="BHLevel5">
    <w:name w:val="BHLevel5"/>
    <w:basedOn w:val="Normal"/>
    <w:next w:val="Normal"/>
    <w:uiPriority w:val="99"/>
    <w:rsid w:val="00012C3C"/>
    <w:pPr>
      <w:spacing w:before="480" w:after="240" w:line="240" w:lineRule="auto"/>
      <w:outlineLvl w:val="4"/>
    </w:pPr>
    <w:rPr>
      <w:b/>
      <w:i/>
      <w:color w:val="000000"/>
      <w:sz w:val="26"/>
      <w:szCs w:val="26"/>
    </w:rPr>
  </w:style>
  <w:style w:type="paragraph" w:customStyle="1" w:styleId="BHLevel6">
    <w:name w:val="BHLevel6"/>
    <w:basedOn w:val="Normal"/>
    <w:next w:val="Normal"/>
    <w:uiPriority w:val="99"/>
    <w:rsid w:val="00012C3C"/>
    <w:pPr>
      <w:spacing w:before="480" w:after="240" w:line="240" w:lineRule="auto"/>
      <w:outlineLvl w:val="5"/>
    </w:pPr>
    <w:rPr>
      <w:i/>
      <w:color w:val="4BACC6"/>
    </w:rPr>
  </w:style>
  <w:style w:type="paragraph" w:customStyle="1" w:styleId="BHNormal">
    <w:name w:val="BHNormal"/>
    <w:qFormat/>
    <w:rsid w:val="00012C3C"/>
    <w:rPr>
      <w:szCs w:val="24"/>
    </w:rPr>
  </w:style>
  <w:style w:type="paragraph" w:customStyle="1" w:styleId="BRC1">
    <w:name w:val="BRC1"/>
    <w:basedOn w:val="Normal"/>
    <w:uiPriority w:val="99"/>
    <w:rsid w:val="00012C3C"/>
    <w:pPr>
      <w:spacing w:line="240" w:lineRule="auto"/>
      <w:jc w:val="center"/>
    </w:pPr>
    <w:rPr>
      <w:b/>
      <w:bCs/>
      <w:sz w:val="28"/>
      <w:szCs w:val="28"/>
    </w:rPr>
  </w:style>
  <w:style w:type="table" w:customStyle="1" w:styleId="LightShading3">
    <w:name w:val="Light Shading3"/>
    <w:uiPriority w:val="99"/>
    <w:rsid w:val="00012C3C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olorfulList1">
    <w:name w:val="Colorful List1"/>
    <w:uiPriority w:val="99"/>
    <w:rsid w:val="00012C3C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Style1">
    <w:name w:val="Style1"/>
    <w:basedOn w:val="TableNormal"/>
    <w:uiPriority w:val="99"/>
    <w:qFormat/>
    <w:rsid w:val="00012C3C"/>
    <w:tblPr>
      <w:tblStyleRowBandSize w:val="1"/>
    </w:tbl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LightShading4">
    <w:name w:val="Light Shading4"/>
    <w:basedOn w:val="TableNormal"/>
    <w:uiPriority w:val="60"/>
    <w:rsid w:val="00012C3C"/>
    <w:rPr>
      <w:color w:val="000000" w:themeColor="text1" w:themeShade="BF"/>
    </w:rPr>
    <w:tblPr>
      <w:tblStyleRow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customStyle="1" w:styleId="PlainTable41">
    <w:name w:val="Plain Table 41"/>
    <w:basedOn w:val="TableNormal"/>
    <w:uiPriority w:val="44"/>
    <w:rsid w:val="00F51BF0"/>
    <w:rPr>
      <w:rFonts w:asciiTheme="minorHAnsi" w:eastAsiaTheme="minorHAnsi" w:hAnsiTheme="minorHAnsi" w:cstheme="minorBid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RCTABLE">
    <w:name w:val="BRCTABLE"/>
    <w:basedOn w:val="Normal"/>
    <w:uiPriority w:val="99"/>
    <w:rsid w:val="00BA4BEB"/>
    <w:pPr>
      <w:tabs>
        <w:tab w:val="left" w:pos="360"/>
        <w:tab w:val="left" w:pos="900"/>
      </w:tabs>
      <w:spacing w:line="360" w:lineRule="auto"/>
      <w:outlineLvl w:val="1"/>
    </w:pPr>
    <w:rPr>
      <w:rFonts w:eastAsia="Times New Roman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D50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ft.Sarah@ep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2620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Hines, Stephanie A</dc:creator>
  <cp:keywords/>
  <dc:description/>
  <cp:lastModifiedBy>Taft, Sarah</cp:lastModifiedBy>
  <cp:revision>2</cp:revision>
  <cp:lastPrinted>2017-10-23T18:54:00Z</cp:lastPrinted>
  <dcterms:created xsi:type="dcterms:W3CDTF">2018-09-25T18:44:00Z</dcterms:created>
  <dcterms:modified xsi:type="dcterms:W3CDTF">2018-09-25T18:44:00Z</dcterms:modified>
</cp:coreProperties>
</file>