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5"/>
        <w:gridCol w:w="8105"/>
      </w:tblGrid>
      <w:tr w:rsidR="00BC52B2" w:rsidRPr="00BC52B2" w14:paraId="1D4074F5" w14:textId="77777777" w:rsidTr="00EE730A">
        <w:trPr>
          <w:cantSplit/>
        </w:trPr>
        <w:tc>
          <w:tcPr>
            <w:tcW w:w="1255" w:type="dxa"/>
            <w:tcMar>
              <w:left w:w="0" w:type="dxa"/>
            </w:tcMar>
          </w:tcPr>
          <w:p w14:paraId="206BA322" w14:textId="77777777" w:rsidR="00BC52B2" w:rsidRPr="00BC52B2" w:rsidRDefault="00BC52B2" w:rsidP="00EE730A">
            <w:pPr>
              <w:pStyle w:val="Heading"/>
              <w:spacing w:before="120" w:after="120"/>
              <w:ind w:left="0" w:firstLine="0"/>
              <w:rPr>
                <w:rFonts w:asciiTheme="minorHAnsi" w:hAnsiTheme="minorHAnsi" w:cstheme="minorBidi"/>
                <w:b/>
                <w:sz w:val="22"/>
                <w:szCs w:val="22"/>
              </w:rPr>
            </w:pPr>
            <w:r w:rsidRPr="00BC52B2">
              <w:rPr>
                <w:rFonts w:asciiTheme="minorHAnsi" w:hAnsiTheme="minorHAnsi" w:cstheme="minorBidi"/>
                <w:b/>
                <w:sz w:val="22"/>
                <w:szCs w:val="22"/>
              </w:rPr>
              <w:t>To:</w:t>
            </w:r>
          </w:p>
        </w:tc>
        <w:tc>
          <w:tcPr>
            <w:tcW w:w="8105" w:type="dxa"/>
          </w:tcPr>
          <w:p w14:paraId="5C5E005A" w14:textId="77777777" w:rsidR="00BC52B2" w:rsidRPr="00BC52B2" w:rsidRDefault="008649A4" w:rsidP="00EE730A">
            <w:pPr>
              <w:pStyle w:val="Heading"/>
              <w:spacing w:before="120" w:after="120"/>
              <w:ind w:left="0" w:firstLine="0"/>
              <w:rPr>
                <w:rFonts w:asciiTheme="minorHAnsi" w:hAnsiTheme="minorHAnsi"/>
                <w:sz w:val="22"/>
                <w:szCs w:val="22"/>
              </w:rPr>
            </w:pPr>
            <w:r w:rsidRPr="008649A4">
              <w:rPr>
                <w:rFonts w:asciiTheme="minorHAnsi" w:hAnsiTheme="minorHAnsi"/>
                <w:sz w:val="22"/>
                <w:szCs w:val="22"/>
              </w:rPr>
              <w:t>Brian Schumacher and John H. Zimmerman, Office of Research and Development, National Exposure Research Laboratory, Las Vegas, NV; Durham, NC.</w:t>
            </w:r>
          </w:p>
        </w:tc>
      </w:tr>
      <w:tr w:rsidR="00BC52B2" w:rsidRPr="00BC52B2" w14:paraId="25FC269A" w14:textId="77777777" w:rsidTr="00EE730A">
        <w:trPr>
          <w:cantSplit/>
        </w:trPr>
        <w:tc>
          <w:tcPr>
            <w:tcW w:w="1255" w:type="dxa"/>
            <w:tcMar>
              <w:left w:w="0" w:type="dxa"/>
            </w:tcMar>
          </w:tcPr>
          <w:p w14:paraId="4CD3A2EF" w14:textId="77777777" w:rsidR="00BC52B2" w:rsidRPr="00BC52B2" w:rsidRDefault="00BC52B2" w:rsidP="00EE730A">
            <w:pPr>
              <w:pStyle w:val="Heading"/>
              <w:spacing w:before="120" w:after="120"/>
              <w:ind w:left="0" w:firstLine="0"/>
              <w:rPr>
                <w:rFonts w:asciiTheme="minorHAnsi" w:hAnsiTheme="minorHAnsi" w:cs="Arial"/>
                <w:b/>
                <w:sz w:val="22"/>
                <w:szCs w:val="22"/>
              </w:rPr>
            </w:pPr>
            <w:r w:rsidRPr="00BC52B2">
              <w:rPr>
                <w:rFonts w:asciiTheme="minorHAnsi" w:hAnsiTheme="minorHAnsi" w:cs="Arial"/>
                <w:b/>
                <w:sz w:val="22"/>
                <w:szCs w:val="22"/>
              </w:rPr>
              <w:t>From:</w:t>
            </w:r>
          </w:p>
        </w:tc>
        <w:tc>
          <w:tcPr>
            <w:tcW w:w="8105" w:type="dxa"/>
          </w:tcPr>
          <w:p w14:paraId="6E1E930C" w14:textId="6AED2C2D" w:rsidR="00BC52B2" w:rsidRPr="00BC52B2" w:rsidRDefault="008649A4" w:rsidP="00EE730A">
            <w:pPr>
              <w:pStyle w:val="Heading"/>
              <w:spacing w:before="120" w:after="120"/>
              <w:ind w:left="0" w:firstLine="0"/>
              <w:rPr>
                <w:rFonts w:asciiTheme="minorHAnsi" w:hAnsiTheme="minorHAnsi"/>
                <w:sz w:val="22"/>
                <w:szCs w:val="22"/>
              </w:rPr>
            </w:pPr>
            <w:r w:rsidRPr="008649A4">
              <w:rPr>
                <w:rFonts w:asciiTheme="minorHAnsi" w:hAnsiTheme="minorHAnsi"/>
                <w:sz w:val="22"/>
                <w:szCs w:val="22"/>
              </w:rPr>
              <w:t>Robert Truesdale and Linda Andrews, RTI International, Durham, NC; Chris Lutes and John Lowe, Jacobs Engineering</w:t>
            </w:r>
            <w:r>
              <w:rPr>
                <w:rFonts w:asciiTheme="minorHAnsi" w:hAnsiTheme="minorHAnsi"/>
                <w:sz w:val="22"/>
                <w:szCs w:val="22"/>
              </w:rPr>
              <w:t xml:space="preserve">; </w:t>
            </w:r>
            <w:r w:rsidRPr="008649A4">
              <w:rPr>
                <w:rFonts w:asciiTheme="minorHAnsi" w:hAnsiTheme="minorHAnsi"/>
                <w:sz w:val="22"/>
                <w:szCs w:val="22"/>
              </w:rPr>
              <w:t xml:space="preserve">Bo Stewart, PRAXIS </w:t>
            </w:r>
            <w:r w:rsidR="00B072F7">
              <w:rPr>
                <w:rFonts w:asciiTheme="minorHAnsi" w:hAnsiTheme="minorHAnsi"/>
                <w:sz w:val="22"/>
                <w:szCs w:val="22"/>
              </w:rPr>
              <w:t xml:space="preserve">Environmental </w:t>
            </w:r>
            <w:r w:rsidRPr="008649A4">
              <w:rPr>
                <w:rFonts w:asciiTheme="minorHAnsi" w:hAnsiTheme="minorHAnsi"/>
                <w:sz w:val="22"/>
                <w:szCs w:val="22"/>
              </w:rPr>
              <w:t>Technologies.</w:t>
            </w:r>
          </w:p>
        </w:tc>
      </w:tr>
      <w:tr w:rsidR="00BC52B2" w:rsidRPr="00BC52B2" w14:paraId="7E0D5E1D" w14:textId="77777777" w:rsidTr="00EE730A">
        <w:trPr>
          <w:cantSplit/>
        </w:trPr>
        <w:tc>
          <w:tcPr>
            <w:tcW w:w="1255" w:type="dxa"/>
            <w:tcMar>
              <w:left w:w="0" w:type="dxa"/>
            </w:tcMar>
          </w:tcPr>
          <w:p w14:paraId="5561A382" w14:textId="77777777" w:rsidR="00BC52B2" w:rsidRPr="00BC52B2" w:rsidRDefault="00BC52B2" w:rsidP="00EE730A">
            <w:pPr>
              <w:pStyle w:val="Heading"/>
              <w:spacing w:before="120" w:after="120"/>
              <w:ind w:left="0" w:firstLine="0"/>
              <w:rPr>
                <w:rFonts w:asciiTheme="minorHAnsi" w:hAnsiTheme="minorHAnsi"/>
                <w:sz w:val="22"/>
                <w:szCs w:val="22"/>
              </w:rPr>
            </w:pPr>
            <w:r w:rsidRPr="00BC52B2">
              <w:rPr>
                <w:rFonts w:asciiTheme="minorHAnsi" w:hAnsiTheme="minorHAnsi" w:cs="Arial"/>
                <w:b/>
                <w:sz w:val="22"/>
                <w:szCs w:val="22"/>
              </w:rPr>
              <w:t>Date:</w:t>
            </w:r>
          </w:p>
        </w:tc>
        <w:tc>
          <w:tcPr>
            <w:tcW w:w="8105" w:type="dxa"/>
          </w:tcPr>
          <w:p w14:paraId="1DCA8998" w14:textId="1DDE150F" w:rsidR="00BC52B2" w:rsidRPr="00BC52B2" w:rsidRDefault="00BC52B2" w:rsidP="00EE730A">
            <w:pPr>
              <w:pStyle w:val="Heading"/>
              <w:spacing w:before="120" w:after="120"/>
              <w:ind w:left="0" w:firstLine="0"/>
              <w:rPr>
                <w:rFonts w:asciiTheme="minorHAnsi" w:hAnsiTheme="minorHAnsi"/>
                <w:b/>
                <w:sz w:val="22"/>
                <w:szCs w:val="22"/>
              </w:rPr>
            </w:pPr>
            <w:r w:rsidRPr="00BC52B2">
              <w:rPr>
                <w:rFonts w:asciiTheme="minorHAnsi" w:hAnsiTheme="minorHAnsi"/>
                <w:sz w:val="22"/>
                <w:szCs w:val="22"/>
              </w:rPr>
              <w:t xml:space="preserve">August </w:t>
            </w:r>
            <w:r w:rsidR="008649A4">
              <w:rPr>
                <w:rFonts w:asciiTheme="minorHAnsi" w:hAnsiTheme="minorHAnsi"/>
                <w:sz w:val="22"/>
                <w:szCs w:val="22"/>
              </w:rPr>
              <w:t>3</w:t>
            </w:r>
            <w:r w:rsidR="009B7EA7">
              <w:rPr>
                <w:rFonts w:asciiTheme="minorHAnsi" w:hAnsiTheme="minorHAnsi"/>
                <w:sz w:val="22"/>
                <w:szCs w:val="22"/>
              </w:rPr>
              <w:t>1</w:t>
            </w:r>
            <w:r w:rsidRPr="00BC52B2">
              <w:rPr>
                <w:rFonts w:asciiTheme="minorHAnsi" w:hAnsiTheme="minorHAnsi"/>
                <w:sz w:val="22"/>
                <w:szCs w:val="22"/>
              </w:rPr>
              <w:t>, 2018</w:t>
            </w:r>
          </w:p>
        </w:tc>
      </w:tr>
      <w:tr w:rsidR="00BC52B2" w:rsidRPr="00BC52B2" w14:paraId="38EFBC67" w14:textId="77777777" w:rsidTr="00EE730A">
        <w:trPr>
          <w:cantSplit/>
        </w:trPr>
        <w:tc>
          <w:tcPr>
            <w:tcW w:w="1255" w:type="dxa"/>
            <w:tcMar>
              <w:left w:w="0" w:type="dxa"/>
            </w:tcMar>
          </w:tcPr>
          <w:p w14:paraId="61E06CD4" w14:textId="77777777" w:rsidR="00BC52B2" w:rsidRPr="00BC52B2" w:rsidRDefault="00BC52B2" w:rsidP="00EE730A">
            <w:pPr>
              <w:pStyle w:val="Headinglast"/>
              <w:spacing w:before="120" w:after="120"/>
              <w:ind w:left="0" w:firstLine="0"/>
              <w:rPr>
                <w:rFonts w:asciiTheme="minorHAnsi" w:hAnsiTheme="minorHAnsi" w:cstheme="minorBidi"/>
                <w:b/>
                <w:sz w:val="22"/>
                <w:szCs w:val="22"/>
              </w:rPr>
            </w:pPr>
            <w:r w:rsidRPr="00BC52B2">
              <w:rPr>
                <w:rFonts w:asciiTheme="minorHAnsi" w:hAnsiTheme="minorHAnsi" w:cstheme="minorBidi"/>
                <w:b/>
                <w:sz w:val="22"/>
                <w:szCs w:val="22"/>
              </w:rPr>
              <w:t>Subject:</w:t>
            </w:r>
          </w:p>
        </w:tc>
        <w:tc>
          <w:tcPr>
            <w:tcW w:w="8105" w:type="dxa"/>
          </w:tcPr>
          <w:p w14:paraId="79BBE93D" w14:textId="77777777" w:rsidR="00BC52B2" w:rsidRPr="00BC52B2" w:rsidRDefault="008649A4" w:rsidP="00EE730A">
            <w:pPr>
              <w:pStyle w:val="Headinglast"/>
              <w:spacing w:before="120" w:after="120"/>
              <w:ind w:left="0" w:firstLine="0"/>
              <w:rPr>
                <w:rFonts w:asciiTheme="minorHAnsi" w:hAnsiTheme="minorHAnsi"/>
                <w:bCs/>
                <w:sz w:val="22"/>
                <w:szCs w:val="22"/>
              </w:rPr>
            </w:pPr>
            <w:r w:rsidRPr="008649A4">
              <w:rPr>
                <w:rFonts w:asciiTheme="minorHAnsi" w:hAnsiTheme="minorHAnsi"/>
                <w:sz w:val="22"/>
                <w:szCs w:val="22"/>
              </w:rPr>
              <w:t>Project Database, STREAMS 3, TO 03, Soil Vapor Extraction (SVE) for Vapor Intrusion (VI)</w:t>
            </w:r>
          </w:p>
        </w:tc>
      </w:tr>
    </w:tbl>
    <w:p w14:paraId="601B7CFB" w14:textId="77777777" w:rsidR="00BC52B2" w:rsidRDefault="00BC52B2" w:rsidP="008E4C57"/>
    <w:p w14:paraId="1996808D" w14:textId="77777777" w:rsidR="008E4C57" w:rsidRPr="00C34960" w:rsidRDefault="008649A4" w:rsidP="008E4C57">
      <w:r w:rsidRPr="00C34960">
        <w:t>The Task Order 03 database was assembled to contain the current and up-to-date data supporting the current and future analyses and reporting requested by EPA under their “SVE for VI Pilot – Phase II”. This STREAMS 3 project</w:t>
      </w:r>
      <w:bookmarkStart w:id="0" w:name="_GoBack"/>
      <w:bookmarkEnd w:id="0"/>
      <w:r w:rsidRPr="00C34960">
        <w:t xml:space="preserve"> has run since May 2017, with the base period ending on November 8, 2018. Prior to this project RTI performed predecessor work for EPA under Task order 28 of the STREAMS II contract from January 2016 to date. Together these projects produced the following datasets submitted with this memo:</w:t>
      </w:r>
    </w:p>
    <w:p w14:paraId="3DCE731F" w14:textId="59A46C23" w:rsidR="008649A4" w:rsidRPr="00C34960" w:rsidRDefault="00DC07E4" w:rsidP="00A81650">
      <w:pPr>
        <w:pStyle w:val="ListParagraph"/>
        <w:numPr>
          <w:ilvl w:val="0"/>
          <w:numId w:val="3"/>
        </w:numPr>
        <w:rPr>
          <w:i/>
        </w:rPr>
      </w:pPr>
      <w:r>
        <w:t>More than</w:t>
      </w:r>
      <w:r w:rsidR="008649A4" w:rsidRPr="00C34960">
        <w:t xml:space="preserve"> two years (1/15/2016 - 4/27/2018) of volatile organic compound (VOC) data from </w:t>
      </w:r>
      <w:proofErr w:type="spellStart"/>
      <w:r w:rsidR="008649A4" w:rsidRPr="00C34960">
        <w:t>subslab</w:t>
      </w:r>
      <w:proofErr w:type="spellEnd"/>
      <w:r w:rsidR="008649A4" w:rsidRPr="00C34960">
        <w:t xml:space="preserve"> and exterior soil gas probes, indoor and outdoor air samplers, and groundwater wells (15,556 records)</w:t>
      </w:r>
      <w:r w:rsidR="00A81650" w:rsidRPr="00C34960">
        <w:t xml:space="preserve">: </w:t>
      </w:r>
      <w:r w:rsidR="00A81650" w:rsidRPr="00C34960">
        <w:rPr>
          <w:i/>
        </w:rPr>
        <w:t>SVE-VI_TO-03_VOC-Results_08-3</w:t>
      </w:r>
      <w:r w:rsidR="00DD764E" w:rsidRPr="00C34960">
        <w:rPr>
          <w:i/>
        </w:rPr>
        <w:t>1</w:t>
      </w:r>
      <w:r w:rsidR="00A81650" w:rsidRPr="00C34960">
        <w:rPr>
          <w:i/>
        </w:rPr>
        <w:t>-18.xlsx</w:t>
      </w:r>
    </w:p>
    <w:p w14:paraId="34233432" w14:textId="77777777" w:rsidR="00A81650" w:rsidRPr="00C34960" w:rsidRDefault="008649A4" w:rsidP="00AC22E3">
      <w:pPr>
        <w:pStyle w:val="ListParagraph"/>
        <w:numPr>
          <w:ilvl w:val="0"/>
          <w:numId w:val="3"/>
        </w:numPr>
      </w:pPr>
      <w:r w:rsidRPr="00C34960">
        <w:t xml:space="preserve">Almost two years (4/8/2016 – 2/5/2018) of subsurface vacuum readings collected from 12 </w:t>
      </w:r>
      <w:proofErr w:type="spellStart"/>
      <w:r w:rsidRPr="00C34960">
        <w:t>subslab</w:t>
      </w:r>
      <w:proofErr w:type="spellEnd"/>
      <w:r w:rsidRPr="00C34960">
        <w:t xml:space="preserve"> probes and 25 exterior soil gas probes (692 records)</w:t>
      </w:r>
      <w:r w:rsidR="00A81650" w:rsidRPr="00C34960">
        <w:t xml:space="preserve">: </w:t>
      </w:r>
    </w:p>
    <w:p w14:paraId="45962407" w14:textId="011E3181" w:rsidR="008649A4" w:rsidRPr="00C34960" w:rsidRDefault="00A81650" w:rsidP="00A81650">
      <w:pPr>
        <w:pStyle w:val="ListParagraph"/>
        <w:ind w:firstLine="720"/>
        <w:rPr>
          <w:i/>
        </w:rPr>
      </w:pPr>
      <w:r w:rsidRPr="00C34960">
        <w:rPr>
          <w:i/>
        </w:rPr>
        <w:t>SVE-VI_</w:t>
      </w:r>
      <w:r w:rsidR="00DC07E4">
        <w:rPr>
          <w:i/>
        </w:rPr>
        <w:t>TO-03_</w:t>
      </w:r>
      <w:r w:rsidRPr="00C34960">
        <w:rPr>
          <w:i/>
        </w:rPr>
        <w:t>Vacuum_Readings_08-3</w:t>
      </w:r>
      <w:r w:rsidR="00DD764E" w:rsidRPr="00C34960">
        <w:rPr>
          <w:i/>
        </w:rPr>
        <w:t>1</w:t>
      </w:r>
      <w:r w:rsidRPr="00C34960">
        <w:rPr>
          <w:i/>
        </w:rPr>
        <w:t>-18.xlsx</w:t>
      </w:r>
    </w:p>
    <w:p w14:paraId="2BF0ED6C" w14:textId="77777777" w:rsidR="00A81650" w:rsidRPr="00C34960" w:rsidRDefault="008649A4" w:rsidP="008649A4">
      <w:pPr>
        <w:pStyle w:val="ListParagraph"/>
        <w:numPr>
          <w:ilvl w:val="0"/>
          <w:numId w:val="3"/>
        </w:numPr>
      </w:pPr>
      <w:r w:rsidRPr="00C34960">
        <w:t xml:space="preserve">Two years (3/4/2-16 – 3/13/2018) of pressure differential data from 12 automated </w:t>
      </w:r>
      <w:proofErr w:type="spellStart"/>
      <w:r w:rsidRPr="00C34960">
        <w:t>subslab</w:t>
      </w:r>
      <w:proofErr w:type="spellEnd"/>
      <w:r w:rsidRPr="00C34960">
        <w:t>–to-indoor air differential pressure probes (506,564 records)</w:t>
      </w:r>
      <w:r w:rsidR="00A81650" w:rsidRPr="00C34960">
        <w:t>:</w:t>
      </w:r>
      <w:r w:rsidRPr="00C34960">
        <w:t xml:space="preserve"> </w:t>
      </w:r>
    </w:p>
    <w:p w14:paraId="54D109A5" w14:textId="6197648C" w:rsidR="008649A4" w:rsidRPr="00C34960" w:rsidRDefault="00A81650" w:rsidP="00A81650">
      <w:pPr>
        <w:pStyle w:val="ListParagraph"/>
        <w:ind w:firstLine="720"/>
        <w:rPr>
          <w:i/>
        </w:rPr>
      </w:pPr>
      <w:r w:rsidRPr="00C34960">
        <w:rPr>
          <w:i/>
        </w:rPr>
        <w:t>SVE-VI_</w:t>
      </w:r>
      <w:r w:rsidR="00DC07E4">
        <w:rPr>
          <w:i/>
        </w:rPr>
        <w:t>TO-03_</w:t>
      </w:r>
      <w:r w:rsidRPr="00C34960">
        <w:rPr>
          <w:i/>
        </w:rPr>
        <w:t>Pressure_Data_8-3</w:t>
      </w:r>
      <w:r w:rsidR="00DD764E" w:rsidRPr="00C34960">
        <w:rPr>
          <w:i/>
        </w:rPr>
        <w:t>1</w:t>
      </w:r>
      <w:r w:rsidRPr="00C34960">
        <w:rPr>
          <w:i/>
        </w:rPr>
        <w:t>-18.xlsx</w:t>
      </w:r>
    </w:p>
    <w:p w14:paraId="726BEEBB" w14:textId="77777777" w:rsidR="002C4215" w:rsidRPr="00C34960" w:rsidRDefault="008649A4" w:rsidP="008649A4">
      <w:r w:rsidRPr="00C34960">
        <w:rPr>
          <w:rFonts w:ascii="Calibri" w:eastAsia="Times New Roman" w:hAnsi="Calibri" w:cs="Times New Roman"/>
          <w:b/>
          <w:color w:val="000000"/>
        </w:rPr>
        <w:t>Exhibit 1</w:t>
      </w:r>
      <w:r w:rsidRPr="00C34960">
        <w:rPr>
          <w:rFonts w:ascii="Calibri" w:eastAsia="Times New Roman" w:hAnsi="Calibri" w:cs="Times New Roman"/>
          <w:color w:val="000000"/>
        </w:rPr>
        <w:t xml:space="preserve"> provides the schedule of the basic project stages and sampling efforts. Beginning Spring of 2016, we began collecting baseline data on VOCs in groundwater, exterior soil gas, </w:t>
      </w:r>
      <w:proofErr w:type="spellStart"/>
      <w:r w:rsidRPr="00C34960">
        <w:rPr>
          <w:rFonts w:ascii="Calibri" w:eastAsia="Times New Roman" w:hAnsi="Calibri" w:cs="Times New Roman"/>
          <w:color w:val="000000"/>
        </w:rPr>
        <w:t>subslab</w:t>
      </w:r>
      <w:proofErr w:type="spellEnd"/>
      <w:r w:rsidRPr="00C34960">
        <w:rPr>
          <w:rFonts w:ascii="Calibri" w:eastAsia="Times New Roman" w:hAnsi="Calibri" w:cs="Times New Roman"/>
          <w:color w:val="000000"/>
        </w:rPr>
        <w:t xml:space="preserve"> soil gas, indoor air, and outdoor air. Following installation and start-up of the Phase 1 SVE system in late March of 2016, sampling expanded to include system monitoring using sampling ports in the SVE system manifolds, including the SVE system influent and effluent. The system was operated from early April through June 28, at which point the SVE was turned off for rebound testing. This first round of rebound testing extended from July 1 through September 16, 2016, at which point the Phase 1 SVE system was turned back on. In late November and early December 2016, Phase 2 modifications were made to the system with the new wells being logged with the </w:t>
      </w:r>
      <w:proofErr w:type="spellStart"/>
      <w:r w:rsidRPr="00C34960">
        <w:rPr>
          <w:rFonts w:ascii="Calibri" w:eastAsia="Times New Roman" w:hAnsi="Calibri" w:cs="Times New Roman"/>
          <w:color w:val="000000"/>
        </w:rPr>
        <w:t>Pneulog</w:t>
      </w:r>
      <w:proofErr w:type="spellEnd"/>
      <w:r w:rsidRPr="00C34960">
        <w:rPr>
          <w:rFonts w:ascii="Calibri" w:eastAsia="Times New Roman" w:hAnsi="Calibri" w:cs="Times New Roman"/>
          <w:color w:val="000000"/>
        </w:rPr>
        <w:t xml:space="preserve"> system on December 14-15, 2016. Following installation and step testing, the expanded (Phase 2) system was operated from December 20 through January 20, 2017, at which point the system was shut down for a second rebound test through June 12. After Rebound 2, several modifications were made to the system to improve VOC extraction efficiency and reach, including changes to overcome stratigraphic limitations to SVE. The system was shut off March 1, 2018, for a third rebound test that continues at the time of this memo.</w:t>
      </w:r>
      <w:r w:rsidR="002C4215" w:rsidRPr="00C34960">
        <w:t xml:space="preserve">                </w:t>
      </w:r>
    </w:p>
    <w:p w14:paraId="66CD0AEB" w14:textId="77777777" w:rsidR="00401D2A" w:rsidRDefault="00401D2A" w:rsidP="00736756">
      <w:pPr>
        <w:pStyle w:val="ExhibitTitle"/>
      </w:pPr>
      <w:bookmarkStart w:id="1" w:name="_Hlk523395794"/>
    </w:p>
    <w:p w14:paraId="31B27C70" w14:textId="35FA84FF" w:rsidR="008649A4" w:rsidRPr="00C34960" w:rsidRDefault="008649A4" w:rsidP="00736756">
      <w:pPr>
        <w:pStyle w:val="ExhibitTitle"/>
      </w:pPr>
      <w:r w:rsidRPr="00C34960">
        <w:lastRenderedPageBreak/>
        <w:t>Exhibit 1.  General SVE-VI Project Schedule, Phases, and Sampling Efforts</w:t>
      </w:r>
    </w:p>
    <w:tbl>
      <w:tblPr>
        <w:tblStyle w:val="TableGrid"/>
        <w:tblW w:w="0" w:type="auto"/>
        <w:tblLook w:val="04A0" w:firstRow="1" w:lastRow="0" w:firstColumn="1" w:lastColumn="0" w:noHBand="0" w:noVBand="1"/>
      </w:tblPr>
      <w:tblGrid>
        <w:gridCol w:w="9350"/>
      </w:tblGrid>
      <w:tr w:rsidR="00B0703B" w14:paraId="7EAD69F3" w14:textId="77777777" w:rsidTr="00736756">
        <w:tc>
          <w:tcPr>
            <w:tcW w:w="9350" w:type="dxa"/>
            <w:tcMar>
              <w:top w:w="144" w:type="dxa"/>
              <w:left w:w="115" w:type="dxa"/>
              <w:bottom w:w="144" w:type="dxa"/>
              <w:right w:w="115" w:type="dxa"/>
            </w:tcMar>
          </w:tcPr>
          <w:p w14:paraId="275C9BF2" w14:textId="77777777" w:rsidR="00B0703B" w:rsidRPr="002E58E2" w:rsidRDefault="00B0703B" w:rsidP="00B0703B">
            <w:pPr>
              <w:pStyle w:val="NoSpacing"/>
              <w:tabs>
                <w:tab w:val="left" w:pos="705"/>
              </w:tabs>
            </w:pPr>
            <w:r w:rsidRPr="002E58E2">
              <w:t>Baseline Sampling – January 15 –</w:t>
            </w:r>
            <w:r w:rsidR="00736756">
              <w:t xml:space="preserve"> </w:t>
            </w:r>
            <w:r w:rsidRPr="002E58E2">
              <w:t>April 4, 2016 </w:t>
            </w:r>
          </w:p>
          <w:p w14:paraId="26D762CA" w14:textId="77777777" w:rsidR="00B0703B" w:rsidRPr="002E58E2" w:rsidRDefault="00B0703B" w:rsidP="00B0703B">
            <w:pPr>
              <w:pStyle w:val="NoSpacing"/>
              <w:tabs>
                <w:tab w:val="left" w:pos="705"/>
              </w:tabs>
            </w:pPr>
            <w:r>
              <w:tab/>
            </w:r>
            <w:r w:rsidRPr="002E58E2">
              <w:t xml:space="preserve">Soil gas, indoor air, and </w:t>
            </w:r>
            <w:proofErr w:type="spellStart"/>
            <w:r w:rsidRPr="002E58E2">
              <w:t>subslab</w:t>
            </w:r>
            <w:proofErr w:type="spellEnd"/>
            <w:r w:rsidRPr="002E58E2">
              <w:t xml:space="preserve"> sampling </w:t>
            </w:r>
          </w:p>
          <w:p w14:paraId="2FF5AAFD" w14:textId="77777777" w:rsidR="00B0703B" w:rsidRDefault="00B0703B" w:rsidP="00B0703B">
            <w:pPr>
              <w:pStyle w:val="NoSpacing"/>
              <w:tabs>
                <w:tab w:val="left" w:pos="705"/>
              </w:tabs>
            </w:pPr>
            <w:r>
              <w:tab/>
            </w:r>
            <w:proofErr w:type="spellStart"/>
            <w:r w:rsidRPr="002E58E2">
              <w:t>Subslab</w:t>
            </w:r>
            <w:proofErr w:type="spellEnd"/>
            <w:r w:rsidRPr="002E58E2">
              <w:t xml:space="preserve"> and indoor air install</w:t>
            </w:r>
            <w:r>
              <w:t>ed</w:t>
            </w:r>
            <w:r w:rsidRPr="002E58E2">
              <w:t xml:space="preserve"> – January 19-22, 2016</w:t>
            </w:r>
          </w:p>
        </w:tc>
      </w:tr>
      <w:tr w:rsidR="00B0703B" w14:paraId="2205DB44" w14:textId="77777777" w:rsidTr="00736756">
        <w:tc>
          <w:tcPr>
            <w:tcW w:w="9350" w:type="dxa"/>
            <w:tcMar>
              <w:top w:w="144" w:type="dxa"/>
              <w:left w:w="115" w:type="dxa"/>
              <w:bottom w:w="144" w:type="dxa"/>
              <w:right w:w="115" w:type="dxa"/>
            </w:tcMar>
          </w:tcPr>
          <w:p w14:paraId="5DC67866" w14:textId="77777777" w:rsidR="00B0703B" w:rsidRDefault="00B0703B" w:rsidP="00B0703B">
            <w:pPr>
              <w:tabs>
                <w:tab w:val="left" w:pos="705"/>
              </w:tabs>
            </w:pPr>
            <w:r w:rsidRPr="002E58E2">
              <w:t>Phase 1 Soil Vapor Extraction (SVE) Wells (3) installed – February 3-5, 2016</w:t>
            </w:r>
          </w:p>
        </w:tc>
      </w:tr>
      <w:tr w:rsidR="00B0703B" w14:paraId="3308FC0C" w14:textId="77777777" w:rsidTr="00736756">
        <w:tc>
          <w:tcPr>
            <w:tcW w:w="9350" w:type="dxa"/>
            <w:tcMar>
              <w:top w:w="144" w:type="dxa"/>
              <w:left w:w="115" w:type="dxa"/>
              <w:bottom w:w="144" w:type="dxa"/>
              <w:right w:w="115" w:type="dxa"/>
            </w:tcMar>
          </w:tcPr>
          <w:p w14:paraId="55B97CFE" w14:textId="77777777" w:rsidR="00B0703B" w:rsidRPr="002E58E2" w:rsidRDefault="00B0703B" w:rsidP="00B0703B">
            <w:pPr>
              <w:pStyle w:val="NoSpacing"/>
              <w:tabs>
                <w:tab w:val="left" w:pos="705"/>
              </w:tabs>
            </w:pPr>
            <w:r w:rsidRPr="002E58E2">
              <w:t>Phase 1 SVE Operation – April 5 – June 28, 2016</w:t>
            </w:r>
          </w:p>
          <w:p w14:paraId="47FD0C71" w14:textId="77777777" w:rsidR="00B0703B" w:rsidRPr="002E58E2" w:rsidRDefault="00B0703B" w:rsidP="00B0703B">
            <w:pPr>
              <w:pStyle w:val="NoSpacing"/>
              <w:tabs>
                <w:tab w:val="left" w:pos="705"/>
              </w:tabs>
            </w:pPr>
            <w:r>
              <w:tab/>
            </w:r>
            <w:r w:rsidRPr="002E58E2">
              <w:t>Step testing – April 5–8</w:t>
            </w:r>
          </w:p>
          <w:p w14:paraId="51D321AB" w14:textId="77777777" w:rsidR="00B0703B" w:rsidRPr="002E58E2" w:rsidRDefault="00B0703B" w:rsidP="00B0703B">
            <w:pPr>
              <w:pStyle w:val="NoSpacing"/>
              <w:tabs>
                <w:tab w:val="left" w:pos="705"/>
              </w:tabs>
            </w:pPr>
            <w:r>
              <w:tab/>
            </w:r>
            <w:r w:rsidRPr="002E58E2">
              <w:t>Two deep screen operation – April 8-20</w:t>
            </w:r>
          </w:p>
          <w:p w14:paraId="2BBF7610" w14:textId="77777777" w:rsidR="00B0703B" w:rsidRPr="002E58E2" w:rsidRDefault="00B0703B" w:rsidP="00B0703B">
            <w:pPr>
              <w:pStyle w:val="NoSpacing"/>
              <w:tabs>
                <w:tab w:val="left" w:pos="705"/>
              </w:tabs>
            </w:pPr>
            <w:r>
              <w:tab/>
            </w:r>
            <w:r w:rsidRPr="002E58E2">
              <w:t>Six screen operation – April 20-26</w:t>
            </w:r>
          </w:p>
          <w:p w14:paraId="6B210E97" w14:textId="77777777" w:rsidR="00B0703B" w:rsidRPr="002E58E2" w:rsidRDefault="00B0703B" w:rsidP="00B0703B">
            <w:pPr>
              <w:pStyle w:val="NoSpacing"/>
              <w:tabs>
                <w:tab w:val="left" w:pos="705"/>
              </w:tabs>
            </w:pPr>
            <w:r>
              <w:tab/>
            </w:r>
            <w:r w:rsidRPr="002E58E2">
              <w:t>Nine screen operation – April 26 - May 24</w:t>
            </w:r>
          </w:p>
          <w:p w14:paraId="6E399B55" w14:textId="77777777" w:rsidR="00B0703B" w:rsidRPr="002E58E2" w:rsidRDefault="00B0703B" w:rsidP="00B0703B">
            <w:pPr>
              <w:tabs>
                <w:tab w:val="left" w:pos="705"/>
              </w:tabs>
            </w:pPr>
            <w:r>
              <w:tab/>
            </w:r>
            <w:r w:rsidRPr="002E58E2">
              <w:t>Various combinations of screens in operation – May 24 to June 28</w:t>
            </w:r>
          </w:p>
        </w:tc>
      </w:tr>
      <w:tr w:rsidR="00B0703B" w14:paraId="53ABE5A1" w14:textId="77777777" w:rsidTr="00736756">
        <w:tc>
          <w:tcPr>
            <w:tcW w:w="9350" w:type="dxa"/>
            <w:tcMar>
              <w:top w:w="144" w:type="dxa"/>
              <w:left w:w="115" w:type="dxa"/>
              <w:bottom w:w="144" w:type="dxa"/>
              <w:right w:w="115" w:type="dxa"/>
            </w:tcMar>
          </w:tcPr>
          <w:p w14:paraId="7ABA2F0C" w14:textId="77777777" w:rsidR="00B0703B" w:rsidRPr="002E58E2" w:rsidRDefault="00B0703B" w:rsidP="00B0703B">
            <w:pPr>
              <w:tabs>
                <w:tab w:val="left" w:pos="705"/>
              </w:tabs>
            </w:pPr>
            <w:r w:rsidRPr="002E58E2">
              <w:t>First Rebound Test – July 1 – September 16</w:t>
            </w:r>
          </w:p>
        </w:tc>
      </w:tr>
      <w:tr w:rsidR="00B0703B" w14:paraId="6C8BE614" w14:textId="77777777" w:rsidTr="00736756">
        <w:tc>
          <w:tcPr>
            <w:tcW w:w="9350" w:type="dxa"/>
            <w:tcMar>
              <w:top w:w="144" w:type="dxa"/>
              <w:left w:w="115" w:type="dxa"/>
              <w:bottom w:w="144" w:type="dxa"/>
              <w:right w:w="115" w:type="dxa"/>
            </w:tcMar>
          </w:tcPr>
          <w:p w14:paraId="04953E83" w14:textId="77777777" w:rsidR="00B0703B" w:rsidRPr="002E58E2" w:rsidRDefault="00B0703B" w:rsidP="00B0703B">
            <w:pPr>
              <w:tabs>
                <w:tab w:val="left" w:pos="705"/>
              </w:tabs>
            </w:pPr>
            <w:r w:rsidRPr="002E58E2">
              <w:t>Phase 1A</w:t>
            </w:r>
            <w:r w:rsidRPr="002E58E2">
              <w:rPr>
                <w:vertAlign w:val="superscript"/>
              </w:rPr>
              <w:t>1</w:t>
            </w:r>
            <w:r w:rsidRPr="002E58E2">
              <w:t xml:space="preserve"> SVE Operation – September 17 – December 15</w:t>
            </w:r>
          </w:p>
        </w:tc>
      </w:tr>
      <w:tr w:rsidR="00B0703B" w14:paraId="697CE839" w14:textId="77777777" w:rsidTr="00736756">
        <w:tc>
          <w:tcPr>
            <w:tcW w:w="9350" w:type="dxa"/>
            <w:tcMar>
              <w:top w:w="144" w:type="dxa"/>
              <w:left w:w="115" w:type="dxa"/>
              <w:bottom w:w="144" w:type="dxa"/>
              <w:right w:w="115" w:type="dxa"/>
            </w:tcMar>
          </w:tcPr>
          <w:p w14:paraId="4E0679D6" w14:textId="77777777" w:rsidR="00B0703B" w:rsidRPr="002E58E2" w:rsidRDefault="00B0703B" w:rsidP="00B0703B">
            <w:pPr>
              <w:tabs>
                <w:tab w:val="left" w:pos="705"/>
              </w:tabs>
            </w:pPr>
            <w:r w:rsidRPr="002E58E2">
              <w:t xml:space="preserve">Phase 2 </w:t>
            </w:r>
            <w:proofErr w:type="spellStart"/>
            <w:r w:rsidRPr="002E58E2">
              <w:t>subslab</w:t>
            </w:r>
            <w:proofErr w:type="spellEnd"/>
            <w:r w:rsidRPr="002E58E2">
              <w:t xml:space="preserve"> probe installation and baseline sampling – November 10 – December 1, 2016</w:t>
            </w:r>
          </w:p>
        </w:tc>
      </w:tr>
      <w:tr w:rsidR="00B0703B" w14:paraId="42E813B6" w14:textId="77777777" w:rsidTr="00736756">
        <w:tc>
          <w:tcPr>
            <w:tcW w:w="9350" w:type="dxa"/>
            <w:tcMar>
              <w:top w:w="144" w:type="dxa"/>
              <w:left w:w="115" w:type="dxa"/>
              <w:bottom w:w="144" w:type="dxa"/>
              <w:right w:w="115" w:type="dxa"/>
            </w:tcMar>
          </w:tcPr>
          <w:p w14:paraId="77E5B89B" w14:textId="77777777" w:rsidR="00B0703B" w:rsidRPr="002E58E2" w:rsidRDefault="00B0703B" w:rsidP="00B0703B">
            <w:pPr>
              <w:tabs>
                <w:tab w:val="left" w:pos="705"/>
              </w:tabs>
            </w:pPr>
            <w:r w:rsidRPr="002E58E2">
              <w:t>Phase 2 SVE wells and soil gas probes installed – December 1-15, 2016</w:t>
            </w:r>
          </w:p>
        </w:tc>
      </w:tr>
      <w:tr w:rsidR="00B0703B" w14:paraId="7C305D4A" w14:textId="77777777" w:rsidTr="00736756">
        <w:tc>
          <w:tcPr>
            <w:tcW w:w="9350" w:type="dxa"/>
            <w:tcMar>
              <w:top w:w="144" w:type="dxa"/>
              <w:left w:w="115" w:type="dxa"/>
              <w:bottom w:w="144" w:type="dxa"/>
              <w:right w:w="115" w:type="dxa"/>
            </w:tcMar>
          </w:tcPr>
          <w:p w14:paraId="5C48FB44" w14:textId="77777777" w:rsidR="00B0703B" w:rsidRPr="002E58E2" w:rsidRDefault="00B0703B" w:rsidP="00B0703B">
            <w:pPr>
              <w:pStyle w:val="NoSpacing"/>
              <w:tabs>
                <w:tab w:val="left" w:pos="705"/>
              </w:tabs>
            </w:pPr>
            <w:r w:rsidRPr="002E58E2">
              <w:t>Phase 2</w:t>
            </w:r>
            <w:r w:rsidRPr="002E58E2">
              <w:rPr>
                <w:vertAlign w:val="superscript"/>
              </w:rPr>
              <w:t>2</w:t>
            </w:r>
            <w:r w:rsidRPr="002E58E2">
              <w:t xml:space="preserve"> SVE Operation – December 12, 2016 – January 20, 2017  </w:t>
            </w:r>
          </w:p>
          <w:p w14:paraId="76DC4AD9" w14:textId="77777777" w:rsidR="00B0703B" w:rsidRPr="002E58E2" w:rsidRDefault="00736756" w:rsidP="00736756">
            <w:pPr>
              <w:tabs>
                <w:tab w:val="left" w:pos="705"/>
              </w:tabs>
            </w:pPr>
            <w:r>
              <w:tab/>
            </w:r>
            <w:r w:rsidR="00B0703B" w:rsidRPr="002E58E2">
              <w:t>(step testing December 12 to December 20)</w:t>
            </w:r>
          </w:p>
        </w:tc>
      </w:tr>
      <w:tr w:rsidR="00B0703B" w14:paraId="20DF321A" w14:textId="77777777" w:rsidTr="00736756">
        <w:tc>
          <w:tcPr>
            <w:tcW w:w="9350" w:type="dxa"/>
            <w:tcMar>
              <w:top w:w="144" w:type="dxa"/>
              <w:left w:w="115" w:type="dxa"/>
              <w:bottom w:w="144" w:type="dxa"/>
              <w:right w:w="115" w:type="dxa"/>
            </w:tcMar>
          </w:tcPr>
          <w:p w14:paraId="6677E6D4" w14:textId="77777777" w:rsidR="00B0703B" w:rsidRPr="002E58E2" w:rsidRDefault="00B0703B" w:rsidP="00736756">
            <w:pPr>
              <w:tabs>
                <w:tab w:val="left" w:pos="705"/>
              </w:tabs>
            </w:pPr>
            <w:r w:rsidRPr="002E58E2">
              <w:t>Se</w:t>
            </w:r>
            <w:r>
              <w:t>cond Rebound Test – January 19 – June 12, 2017</w:t>
            </w:r>
          </w:p>
        </w:tc>
      </w:tr>
      <w:tr w:rsidR="00B0703B" w14:paraId="3214E835" w14:textId="77777777" w:rsidTr="00736756">
        <w:tc>
          <w:tcPr>
            <w:tcW w:w="9350" w:type="dxa"/>
            <w:tcMar>
              <w:top w:w="144" w:type="dxa"/>
              <w:left w:w="115" w:type="dxa"/>
              <w:bottom w:w="144" w:type="dxa"/>
              <w:right w:w="115" w:type="dxa"/>
            </w:tcMar>
          </w:tcPr>
          <w:p w14:paraId="2D91D62E" w14:textId="77777777" w:rsidR="00B0703B" w:rsidRDefault="00B0703B" w:rsidP="00B0703B">
            <w:pPr>
              <w:pStyle w:val="NoSpacing"/>
              <w:tabs>
                <w:tab w:val="left" w:pos="705"/>
              </w:tabs>
            </w:pPr>
            <w:r>
              <w:t xml:space="preserve">Phase 2A SVE Operation – June 12, 2017 </w:t>
            </w:r>
            <w:r w:rsidR="00736756">
              <w:t>–</w:t>
            </w:r>
            <w:r>
              <w:t xml:space="preserve"> March 1, 2018</w:t>
            </w:r>
          </w:p>
          <w:p w14:paraId="4ED2682B" w14:textId="77777777" w:rsidR="00B0703B" w:rsidRDefault="00B0703B" w:rsidP="00B0703B">
            <w:pPr>
              <w:pStyle w:val="NoSpacing"/>
              <w:tabs>
                <w:tab w:val="left" w:pos="705"/>
              </w:tabs>
            </w:pPr>
            <w:r>
              <w:tab/>
              <w:t>Add WSVE1-10, increase total flow – June 30</w:t>
            </w:r>
          </w:p>
          <w:p w14:paraId="78F32211" w14:textId="77777777" w:rsidR="00B0703B" w:rsidRPr="001F543B" w:rsidRDefault="00B0703B" w:rsidP="00B0703B">
            <w:pPr>
              <w:pStyle w:val="NoSpacing"/>
              <w:tabs>
                <w:tab w:val="left" w:pos="705"/>
              </w:tabs>
            </w:pPr>
            <w:r>
              <w:tab/>
              <w:t>Increase total flow – August 2</w:t>
            </w:r>
          </w:p>
          <w:p w14:paraId="226EEE53" w14:textId="77777777" w:rsidR="00B0703B" w:rsidRDefault="00B0703B" w:rsidP="00B0703B">
            <w:pPr>
              <w:pStyle w:val="NoSpacing"/>
              <w:tabs>
                <w:tab w:val="left" w:pos="705"/>
              </w:tabs>
            </w:pPr>
            <w:r>
              <w:tab/>
              <w:t>Add venting (MW 03) – November 8</w:t>
            </w:r>
          </w:p>
          <w:p w14:paraId="14B99B48" w14:textId="77777777" w:rsidR="00B0703B" w:rsidRDefault="00B0703B" w:rsidP="00B0703B">
            <w:pPr>
              <w:pStyle w:val="NoSpacing"/>
              <w:tabs>
                <w:tab w:val="left" w:pos="705"/>
              </w:tabs>
            </w:pPr>
            <w:r>
              <w:tab/>
              <w:t>Terminate WSVE 1-10 &amp; Vent – January 8, 2018</w:t>
            </w:r>
          </w:p>
          <w:p w14:paraId="2F86C451" w14:textId="77777777" w:rsidR="00B0703B" w:rsidRDefault="00B0703B" w:rsidP="00B0703B">
            <w:pPr>
              <w:pStyle w:val="NoSpacing"/>
              <w:tabs>
                <w:tab w:val="left" w:pos="705"/>
              </w:tabs>
            </w:pPr>
            <w:r>
              <w:tab/>
              <w:t>Terminate BSVE2R-12; add MW03 – February 5</w:t>
            </w:r>
          </w:p>
          <w:p w14:paraId="602622E0" w14:textId="77777777" w:rsidR="00B0703B" w:rsidRPr="002E58E2" w:rsidRDefault="00B0703B" w:rsidP="00736756">
            <w:pPr>
              <w:tabs>
                <w:tab w:val="left" w:pos="705"/>
              </w:tabs>
              <w:ind w:firstLine="720"/>
            </w:pPr>
            <w:r>
              <w:t>System Shutoff for Third Rebound Test March 1</w:t>
            </w:r>
          </w:p>
        </w:tc>
      </w:tr>
      <w:tr w:rsidR="00B0703B" w14:paraId="5F392AFF" w14:textId="77777777" w:rsidTr="00736756">
        <w:tc>
          <w:tcPr>
            <w:tcW w:w="9350" w:type="dxa"/>
            <w:tcMar>
              <w:top w:w="144" w:type="dxa"/>
              <w:left w:w="115" w:type="dxa"/>
              <w:bottom w:w="144" w:type="dxa"/>
              <w:right w:w="115" w:type="dxa"/>
            </w:tcMar>
          </w:tcPr>
          <w:p w14:paraId="671D0441" w14:textId="77777777" w:rsidR="00B0703B" w:rsidRDefault="00B0703B" w:rsidP="00736756">
            <w:pPr>
              <w:pStyle w:val="NoSpacing"/>
              <w:tabs>
                <w:tab w:val="left" w:pos="705"/>
              </w:tabs>
            </w:pPr>
            <w:r>
              <w:t xml:space="preserve">Third Rebound Test – March 2018 - </w:t>
            </w:r>
            <w:r w:rsidRPr="002E58E2">
              <w:t>(T</w:t>
            </w:r>
            <w:r>
              <w:t xml:space="preserve">o </w:t>
            </w:r>
            <w:r w:rsidRPr="002E58E2">
              <w:t>B</w:t>
            </w:r>
            <w:r>
              <w:t xml:space="preserve">e </w:t>
            </w:r>
            <w:r w:rsidRPr="002E58E2">
              <w:t>D</w:t>
            </w:r>
            <w:r>
              <w:t>etermined</w:t>
            </w:r>
            <w:r w:rsidR="00736756">
              <w:t>)</w:t>
            </w:r>
          </w:p>
        </w:tc>
      </w:tr>
    </w:tbl>
    <w:p w14:paraId="2F335C5E" w14:textId="77777777" w:rsidR="008649A4" w:rsidRPr="004A1A3A" w:rsidRDefault="008649A4" w:rsidP="00B0703B">
      <w:pPr>
        <w:pStyle w:val="NoSpacing"/>
        <w:spacing w:before="120"/>
        <w:rPr>
          <w:sz w:val="20"/>
          <w:szCs w:val="20"/>
        </w:rPr>
      </w:pPr>
      <w:r w:rsidRPr="004A1A3A">
        <w:rPr>
          <w:sz w:val="20"/>
          <w:szCs w:val="20"/>
          <w:vertAlign w:val="superscript"/>
        </w:rPr>
        <w:t>1</w:t>
      </w:r>
      <w:r w:rsidRPr="004A1A3A">
        <w:rPr>
          <w:sz w:val="20"/>
          <w:szCs w:val="20"/>
        </w:rPr>
        <w:t xml:space="preserve"> Extraction system modified based on Phase 1 results </w:t>
      </w:r>
    </w:p>
    <w:p w14:paraId="606B52EB" w14:textId="77777777" w:rsidR="008649A4" w:rsidRDefault="008649A4" w:rsidP="008649A4">
      <w:r w:rsidRPr="004A1A3A">
        <w:rPr>
          <w:sz w:val="20"/>
          <w:szCs w:val="20"/>
          <w:vertAlign w:val="superscript"/>
        </w:rPr>
        <w:t>2</w:t>
      </w:r>
      <w:r w:rsidRPr="004A1A3A">
        <w:rPr>
          <w:sz w:val="20"/>
          <w:szCs w:val="20"/>
        </w:rPr>
        <w:t xml:space="preserve"> Phase 1A plus new Phase 2 SVE wells</w:t>
      </w:r>
    </w:p>
    <w:bookmarkEnd w:id="1"/>
    <w:p w14:paraId="1058FA3C" w14:textId="77777777" w:rsidR="008649A4" w:rsidRPr="007022AF" w:rsidRDefault="008649A4" w:rsidP="00736756">
      <w:pPr>
        <w:keepNext/>
        <w:tabs>
          <w:tab w:val="left" w:pos="3030"/>
        </w:tabs>
        <w:rPr>
          <w:rFonts w:ascii="Calibri" w:eastAsia="Times New Roman" w:hAnsi="Calibri" w:cs="Times New Roman"/>
          <w:b/>
          <w:color w:val="000000"/>
        </w:rPr>
      </w:pPr>
      <w:r w:rsidRPr="007022AF">
        <w:rPr>
          <w:rFonts w:ascii="Calibri" w:eastAsia="Times New Roman" w:hAnsi="Calibri" w:cs="Times New Roman"/>
          <w:b/>
          <w:color w:val="000000"/>
        </w:rPr>
        <w:lastRenderedPageBreak/>
        <w:t>Volatile Organic Compound (VOC) Data</w:t>
      </w:r>
    </w:p>
    <w:p w14:paraId="669C7817" w14:textId="77777777" w:rsidR="009B7EA7" w:rsidRDefault="008649A4" w:rsidP="009B7EA7">
      <w:pPr>
        <w:rPr>
          <w:rFonts w:ascii="Calibri" w:eastAsia="Times New Roman" w:hAnsi="Calibri" w:cs="Times New Roman"/>
          <w:color w:val="000000"/>
        </w:rPr>
      </w:pPr>
      <w:r w:rsidRPr="007022AF">
        <w:rPr>
          <w:rFonts w:ascii="Calibri" w:eastAsia="Times New Roman" w:hAnsi="Calibri" w:cs="Times New Roman"/>
          <w:color w:val="000000"/>
        </w:rPr>
        <w:t xml:space="preserve">Several laboratories, using differing analytical methods, produced the TO 28 VOC data. </w:t>
      </w:r>
      <w:r w:rsidRPr="007022AF">
        <w:rPr>
          <w:rFonts w:ascii="Calibri" w:eastAsia="Times New Roman" w:hAnsi="Calibri" w:cs="Times New Roman"/>
          <w:b/>
          <w:color w:val="000000"/>
        </w:rPr>
        <w:t>Exhibit 2</w:t>
      </w:r>
      <w:r w:rsidRPr="007022AF">
        <w:rPr>
          <w:rFonts w:ascii="Calibri" w:eastAsia="Times New Roman" w:hAnsi="Calibri" w:cs="Times New Roman"/>
          <w:color w:val="000000"/>
        </w:rPr>
        <w:t xml:space="preserve"> lists these laboratories, the kind of samples they analyzed, and what analytical methods were used. The available results from each lab are included in the “</w:t>
      </w:r>
      <w:proofErr w:type="spellStart"/>
      <w:r w:rsidRPr="007022AF">
        <w:rPr>
          <w:rFonts w:ascii="Calibri" w:eastAsia="Times New Roman" w:hAnsi="Calibri" w:cs="Times New Roman"/>
          <w:color w:val="000000"/>
        </w:rPr>
        <w:t>VOC_Results</w:t>
      </w:r>
      <w:proofErr w:type="spellEnd"/>
      <w:r w:rsidRPr="007022AF">
        <w:rPr>
          <w:rFonts w:ascii="Calibri" w:eastAsia="Times New Roman" w:hAnsi="Calibri" w:cs="Times New Roman"/>
          <w:color w:val="000000"/>
        </w:rPr>
        <w:t>” worksheet in the attached workbook (“SVE-VI_TO-03_VOC-Results_08-3</w:t>
      </w:r>
      <w:r w:rsidR="000C33DC">
        <w:rPr>
          <w:rFonts w:ascii="Calibri" w:eastAsia="Times New Roman" w:hAnsi="Calibri" w:cs="Times New Roman"/>
          <w:color w:val="000000"/>
        </w:rPr>
        <w:t>1</w:t>
      </w:r>
      <w:r w:rsidRPr="007022AF">
        <w:rPr>
          <w:rFonts w:ascii="Calibri" w:eastAsia="Times New Roman" w:hAnsi="Calibri" w:cs="Times New Roman"/>
          <w:color w:val="000000"/>
        </w:rPr>
        <w:t xml:space="preserve">-18.xlsx”). This workbook contains a data dictionary worksheet (Dictionary) that describes the content of each results data field and a lookup table </w:t>
      </w:r>
      <w:r w:rsidR="003E1FAA" w:rsidRPr="003E1FAA">
        <w:rPr>
          <w:rFonts w:ascii="Calibri" w:eastAsia="Times New Roman" w:hAnsi="Calibri" w:cs="Times New Roman"/>
          <w:color w:val="000000"/>
        </w:rPr>
        <w:t>that explains the</w:t>
      </w:r>
      <w:r w:rsidR="009B7EA7">
        <w:rPr>
          <w:rFonts w:ascii="Calibri" w:eastAsia="Times New Roman" w:hAnsi="Calibri" w:cs="Times New Roman"/>
          <w:color w:val="000000"/>
        </w:rPr>
        <w:t xml:space="preserve"> </w:t>
      </w:r>
      <w:r w:rsidR="009B7EA7" w:rsidRPr="003E1FAA">
        <w:rPr>
          <w:rFonts w:ascii="Calibri" w:eastAsia="Times New Roman" w:hAnsi="Calibri" w:cs="Times New Roman"/>
          <w:color w:val="000000"/>
        </w:rPr>
        <w:t>analytical (QA/QC) flags used in the “</w:t>
      </w:r>
      <w:proofErr w:type="spellStart"/>
      <w:r w:rsidR="009B7EA7" w:rsidRPr="003E1FAA">
        <w:rPr>
          <w:rFonts w:ascii="Calibri" w:eastAsia="Times New Roman" w:hAnsi="Calibri" w:cs="Times New Roman"/>
          <w:color w:val="000000"/>
        </w:rPr>
        <w:t>results_codes</w:t>
      </w:r>
      <w:proofErr w:type="spellEnd"/>
      <w:r w:rsidR="009B7EA7" w:rsidRPr="003E1FAA">
        <w:rPr>
          <w:rFonts w:ascii="Calibri" w:eastAsia="Times New Roman" w:hAnsi="Calibri" w:cs="Times New Roman"/>
          <w:color w:val="000000"/>
        </w:rPr>
        <w:t>” field of the database</w:t>
      </w:r>
      <w:r w:rsidR="009B7EA7">
        <w:rPr>
          <w:rFonts w:ascii="Calibri" w:eastAsia="Times New Roman" w:hAnsi="Calibri" w:cs="Times New Roman"/>
          <w:color w:val="000000"/>
        </w:rPr>
        <w:t xml:space="preserve"> </w:t>
      </w:r>
      <w:r w:rsidR="009B7EA7" w:rsidRPr="007022AF">
        <w:rPr>
          <w:rFonts w:ascii="Calibri" w:eastAsia="Times New Roman" w:hAnsi="Calibri" w:cs="Times New Roman"/>
          <w:color w:val="000000"/>
        </w:rPr>
        <w:t>(“</w:t>
      </w:r>
      <w:proofErr w:type="spellStart"/>
      <w:r w:rsidR="009B7EA7" w:rsidRPr="007022AF">
        <w:rPr>
          <w:rFonts w:ascii="Calibri" w:eastAsia="Times New Roman" w:hAnsi="Calibri" w:cs="Times New Roman"/>
          <w:color w:val="000000"/>
        </w:rPr>
        <w:t>Results_Notes</w:t>
      </w:r>
      <w:proofErr w:type="spellEnd"/>
      <w:r w:rsidR="009B7EA7" w:rsidRPr="007022AF">
        <w:rPr>
          <w:rFonts w:ascii="Calibri" w:eastAsia="Times New Roman" w:hAnsi="Calibri" w:cs="Times New Roman"/>
          <w:color w:val="000000"/>
        </w:rPr>
        <w:t xml:space="preserve"> QA</w:t>
      </w:r>
      <w:r w:rsidR="009B7EA7">
        <w:rPr>
          <w:rFonts w:ascii="Calibri" w:eastAsia="Times New Roman" w:hAnsi="Calibri" w:cs="Times New Roman"/>
          <w:color w:val="000000"/>
        </w:rPr>
        <w:t xml:space="preserve"> </w:t>
      </w:r>
      <w:r w:rsidR="009B7EA7" w:rsidRPr="003E1FAA">
        <w:rPr>
          <w:rFonts w:ascii="Calibri" w:eastAsia="Times New Roman" w:hAnsi="Calibri" w:cs="Times New Roman"/>
          <w:color w:val="000000"/>
        </w:rPr>
        <w:t xml:space="preserve">Flags). Exhibits 3 and 4 below are the same </w:t>
      </w:r>
      <w:r w:rsidR="009B7EA7">
        <w:rPr>
          <w:rFonts w:ascii="Calibri" w:eastAsia="Times New Roman" w:hAnsi="Calibri" w:cs="Times New Roman"/>
          <w:color w:val="000000"/>
        </w:rPr>
        <w:t xml:space="preserve">VOC </w:t>
      </w:r>
      <w:r w:rsidR="009B7EA7" w:rsidRPr="003E1FAA">
        <w:rPr>
          <w:rFonts w:ascii="Calibri" w:eastAsia="Times New Roman" w:hAnsi="Calibri" w:cs="Times New Roman"/>
          <w:color w:val="000000"/>
        </w:rPr>
        <w:t>data dictionary and QA flag lookup table.</w:t>
      </w:r>
    </w:p>
    <w:p w14:paraId="3698C702" w14:textId="77777777" w:rsidR="003E1FAA" w:rsidRPr="00C34960" w:rsidRDefault="003E1FAA" w:rsidP="00736756">
      <w:pPr>
        <w:pStyle w:val="ExhibitTitle"/>
      </w:pPr>
      <w:r w:rsidRPr="00C34960">
        <w:t>Exhibit 2. Analytical Laboratories Used in STREAMS 3 Task Order 03</w:t>
      </w:r>
    </w:p>
    <w:tbl>
      <w:tblPr>
        <w:tblStyle w:val="TableGrid"/>
        <w:tblW w:w="9805" w:type="dxa"/>
        <w:tblLook w:val="04A0" w:firstRow="1" w:lastRow="0" w:firstColumn="1" w:lastColumn="0" w:noHBand="0" w:noVBand="1"/>
      </w:tblPr>
      <w:tblGrid>
        <w:gridCol w:w="3325"/>
        <w:gridCol w:w="3600"/>
        <w:gridCol w:w="2880"/>
      </w:tblGrid>
      <w:tr w:rsidR="003E1FAA" w:rsidRPr="00913C9C" w14:paraId="6D391077" w14:textId="77777777" w:rsidTr="00B0703B">
        <w:tc>
          <w:tcPr>
            <w:tcW w:w="3325" w:type="dxa"/>
            <w:shd w:val="clear" w:color="auto" w:fill="D9E2F3" w:themeFill="accent1" w:themeFillTint="33"/>
          </w:tcPr>
          <w:p w14:paraId="1E17679A" w14:textId="77777777" w:rsidR="003E1FAA" w:rsidRPr="00913C9C" w:rsidRDefault="003E1FAA" w:rsidP="00C34960">
            <w:pPr>
              <w:keepNext/>
              <w:keepLines/>
              <w:rPr>
                <w:b/>
                <w:sz w:val="22"/>
                <w:szCs w:val="22"/>
              </w:rPr>
            </w:pPr>
            <w:r w:rsidRPr="00913C9C">
              <w:rPr>
                <w:b/>
                <w:sz w:val="22"/>
                <w:szCs w:val="22"/>
              </w:rPr>
              <w:t>Laboratory</w:t>
            </w:r>
          </w:p>
        </w:tc>
        <w:tc>
          <w:tcPr>
            <w:tcW w:w="3600" w:type="dxa"/>
            <w:shd w:val="clear" w:color="auto" w:fill="D9E2F3" w:themeFill="accent1" w:themeFillTint="33"/>
          </w:tcPr>
          <w:p w14:paraId="02EE4A8D" w14:textId="77777777" w:rsidR="003E1FAA" w:rsidRPr="00913C9C" w:rsidRDefault="003E1FAA" w:rsidP="00C34960">
            <w:pPr>
              <w:keepNext/>
              <w:keepLines/>
              <w:rPr>
                <w:b/>
                <w:sz w:val="22"/>
                <w:szCs w:val="22"/>
              </w:rPr>
            </w:pPr>
            <w:r w:rsidRPr="00913C9C">
              <w:rPr>
                <w:b/>
                <w:sz w:val="22"/>
                <w:szCs w:val="22"/>
              </w:rPr>
              <w:t>Media and Sample Analyzed</w:t>
            </w:r>
          </w:p>
        </w:tc>
        <w:tc>
          <w:tcPr>
            <w:tcW w:w="2880" w:type="dxa"/>
            <w:shd w:val="clear" w:color="auto" w:fill="D9E2F3" w:themeFill="accent1" w:themeFillTint="33"/>
          </w:tcPr>
          <w:p w14:paraId="0AAEC144" w14:textId="77777777" w:rsidR="003E1FAA" w:rsidRPr="00913C9C" w:rsidRDefault="003E1FAA" w:rsidP="00C34960">
            <w:pPr>
              <w:keepNext/>
              <w:keepLines/>
              <w:rPr>
                <w:b/>
                <w:sz w:val="22"/>
                <w:szCs w:val="22"/>
              </w:rPr>
            </w:pPr>
            <w:r w:rsidRPr="00913C9C">
              <w:rPr>
                <w:b/>
                <w:sz w:val="22"/>
                <w:szCs w:val="22"/>
              </w:rPr>
              <w:t>Analytical Methods Used</w:t>
            </w:r>
          </w:p>
        </w:tc>
      </w:tr>
      <w:tr w:rsidR="003E1FAA" w:rsidRPr="00913C9C" w14:paraId="794A0CEE" w14:textId="77777777" w:rsidTr="00C34960">
        <w:trPr>
          <w:trHeight w:val="350"/>
        </w:trPr>
        <w:tc>
          <w:tcPr>
            <w:tcW w:w="3325" w:type="dxa"/>
            <w:vAlign w:val="center"/>
          </w:tcPr>
          <w:p w14:paraId="41398FFF" w14:textId="77777777" w:rsidR="003E1FAA" w:rsidRPr="00913C9C" w:rsidRDefault="003E1FAA" w:rsidP="00C34960">
            <w:pPr>
              <w:keepNext/>
              <w:keepLines/>
              <w:rPr>
                <w:sz w:val="22"/>
                <w:szCs w:val="22"/>
              </w:rPr>
            </w:pPr>
            <w:r w:rsidRPr="00913C9C">
              <w:rPr>
                <w:sz w:val="22"/>
                <w:szCs w:val="22"/>
              </w:rPr>
              <w:t>EPA ORD EMSL</w:t>
            </w:r>
            <w:r w:rsidRPr="00913C9C">
              <w:rPr>
                <w:sz w:val="22"/>
                <w:szCs w:val="22"/>
                <w:vertAlign w:val="superscript"/>
              </w:rPr>
              <w:t>1</w:t>
            </w:r>
            <w:r w:rsidRPr="00913C9C">
              <w:rPr>
                <w:sz w:val="22"/>
                <w:szCs w:val="22"/>
              </w:rPr>
              <w:t xml:space="preserve"> Las Vegas</w:t>
            </w:r>
            <w:r w:rsidR="00C34960">
              <w:rPr>
                <w:sz w:val="22"/>
                <w:szCs w:val="22"/>
              </w:rPr>
              <w:t>, NV</w:t>
            </w:r>
          </w:p>
        </w:tc>
        <w:tc>
          <w:tcPr>
            <w:tcW w:w="3600" w:type="dxa"/>
            <w:vMerge w:val="restart"/>
          </w:tcPr>
          <w:p w14:paraId="5855EE0C" w14:textId="77777777" w:rsidR="003E1FAA" w:rsidRPr="00913C9C" w:rsidRDefault="003E1FAA" w:rsidP="00C34960">
            <w:pPr>
              <w:keepNext/>
              <w:keepLines/>
              <w:rPr>
                <w:sz w:val="22"/>
                <w:szCs w:val="22"/>
              </w:rPr>
            </w:pPr>
            <w:r w:rsidRPr="00913C9C">
              <w:rPr>
                <w:sz w:val="22"/>
                <w:szCs w:val="22"/>
              </w:rPr>
              <w:t xml:space="preserve">External &amp; </w:t>
            </w:r>
            <w:proofErr w:type="spellStart"/>
            <w:r w:rsidRPr="00913C9C">
              <w:rPr>
                <w:sz w:val="22"/>
                <w:szCs w:val="22"/>
              </w:rPr>
              <w:t>subslab</w:t>
            </w:r>
            <w:proofErr w:type="spellEnd"/>
            <w:r w:rsidRPr="00913C9C">
              <w:rPr>
                <w:sz w:val="22"/>
                <w:szCs w:val="22"/>
              </w:rPr>
              <w:t xml:space="preserve"> soil gas (active ATD tube sample); indoor &amp; outdoor air samplers (passive </w:t>
            </w:r>
            <w:proofErr w:type="spellStart"/>
            <w:r w:rsidRPr="00913C9C">
              <w:rPr>
                <w:sz w:val="22"/>
                <w:szCs w:val="22"/>
              </w:rPr>
              <w:t>Radiello</w:t>
            </w:r>
            <w:proofErr w:type="spellEnd"/>
            <w:r w:rsidRPr="00913C9C">
              <w:rPr>
                <w:sz w:val="22"/>
                <w:szCs w:val="22"/>
              </w:rPr>
              <w:t xml:space="preserve"> 145)</w:t>
            </w:r>
          </w:p>
        </w:tc>
        <w:tc>
          <w:tcPr>
            <w:tcW w:w="2880" w:type="dxa"/>
            <w:vMerge w:val="restart"/>
          </w:tcPr>
          <w:p w14:paraId="739A15FA" w14:textId="77777777" w:rsidR="003E1FAA" w:rsidRPr="00913C9C" w:rsidRDefault="003E1FAA" w:rsidP="00C34960">
            <w:pPr>
              <w:keepNext/>
              <w:keepLines/>
              <w:rPr>
                <w:sz w:val="22"/>
                <w:szCs w:val="22"/>
              </w:rPr>
            </w:pPr>
            <w:r w:rsidRPr="00913C9C">
              <w:rPr>
                <w:sz w:val="22"/>
                <w:szCs w:val="22"/>
              </w:rPr>
              <w:t>Modified EPA Method TO-17</w:t>
            </w:r>
          </w:p>
        </w:tc>
      </w:tr>
      <w:tr w:rsidR="003E1FAA" w:rsidRPr="00913C9C" w14:paraId="25D28D15" w14:textId="77777777" w:rsidTr="00C34960">
        <w:trPr>
          <w:trHeight w:val="368"/>
        </w:trPr>
        <w:tc>
          <w:tcPr>
            <w:tcW w:w="3325" w:type="dxa"/>
            <w:vAlign w:val="center"/>
          </w:tcPr>
          <w:p w14:paraId="28DF0312" w14:textId="77777777" w:rsidR="003E1FAA" w:rsidRPr="00913C9C" w:rsidRDefault="003E1FAA" w:rsidP="003A3D33">
            <w:pPr>
              <w:rPr>
                <w:sz w:val="22"/>
                <w:szCs w:val="22"/>
              </w:rPr>
            </w:pPr>
            <w:r w:rsidRPr="00913C9C">
              <w:rPr>
                <w:sz w:val="22"/>
                <w:szCs w:val="22"/>
              </w:rPr>
              <w:t>ALS Environmental, Simi Valley</w:t>
            </w:r>
            <w:r w:rsidR="00C34960">
              <w:rPr>
                <w:sz w:val="22"/>
                <w:szCs w:val="22"/>
              </w:rPr>
              <w:t>,</w:t>
            </w:r>
            <w:r w:rsidRPr="00913C9C">
              <w:rPr>
                <w:sz w:val="22"/>
                <w:szCs w:val="22"/>
              </w:rPr>
              <w:t xml:space="preserve"> CA</w:t>
            </w:r>
          </w:p>
        </w:tc>
        <w:tc>
          <w:tcPr>
            <w:tcW w:w="3600" w:type="dxa"/>
            <w:vMerge/>
          </w:tcPr>
          <w:p w14:paraId="0E857FB7" w14:textId="77777777" w:rsidR="003E1FAA" w:rsidRPr="00913C9C" w:rsidRDefault="003E1FAA" w:rsidP="003A3D33">
            <w:pPr>
              <w:rPr>
                <w:sz w:val="22"/>
                <w:szCs w:val="22"/>
              </w:rPr>
            </w:pPr>
          </w:p>
        </w:tc>
        <w:tc>
          <w:tcPr>
            <w:tcW w:w="2880" w:type="dxa"/>
            <w:vMerge/>
          </w:tcPr>
          <w:p w14:paraId="32814F78" w14:textId="77777777" w:rsidR="003E1FAA" w:rsidRPr="00913C9C" w:rsidRDefault="003E1FAA" w:rsidP="003A3D33">
            <w:pPr>
              <w:rPr>
                <w:sz w:val="22"/>
                <w:szCs w:val="22"/>
              </w:rPr>
            </w:pPr>
          </w:p>
        </w:tc>
      </w:tr>
      <w:tr w:rsidR="003E1FAA" w:rsidRPr="00913C9C" w14:paraId="7E6E8331" w14:textId="77777777" w:rsidTr="00C34960">
        <w:tc>
          <w:tcPr>
            <w:tcW w:w="3325" w:type="dxa"/>
            <w:vAlign w:val="center"/>
          </w:tcPr>
          <w:p w14:paraId="197B13FB" w14:textId="77777777" w:rsidR="003E1FAA" w:rsidRPr="00913C9C" w:rsidRDefault="003E1FAA" w:rsidP="003A3D33">
            <w:pPr>
              <w:rPr>
                <w:sz w:val="22"/>
                <w:szCs w:val="22"/>
              </w:rPr>
            </w:pPr>
            <w:r w:rsidRPr="00913C9C">
              <w:rPr>
                <w:sz w:val="22"/>
                <w:szCs w:val="22"/>
              </w:rPr>
              <w:t>EPA Region 9</w:t>
            </w:r>
            <w:r w:rsidR="00C34960">
              <w:rPr>
                <w:sz w:val="22"/>
                <w:szCs w:val="22"/>
              </w:rPr>
              <w:t>, San Francisco, CA</w:t>
            </w:r>
          </w:p>
        </w:tc>
        <w:tc>
          <w:tcPr>
            <w:tcW w:w="3600" w:type="dxa"/>
          </w:tcPr>
          <w:p w14:paraId="21BA4440" w14:textId="77777777" w:rsidR="003E1FAA" w:rsidRPr="00913C9C" w:rsidRDefault="003E1FAA" w:rsidP="003A3D33">
            <w:pPr>
              <w:rPr>
                <w:sz w:val="22"/>
                <w:szCs w:val="22"/>
              </w:rPr>
            </w:pPr>
            <w:r w:rsidRPr="00913C9C">
              <w:rPr>
                <w:sz w:val="22"/>
                <w:szCs w:val="22"/>
              </w:rPr>
              <w:t xml:space="preserve">External soil gas, outdoor air, SVE system (Summa canister); indoor air samplers (passive </w:t>
            </w:r>
            <w:proofErr w:type="spellStart"/>
            <w:r w:rsidRPr="00913C9C">
              <w:rPr>
                <w:sz w:val="22"/>
                <w:szCs w:val="22"/>
              </w:rPr>
              <w:t>Radiello</w:t>
            </w:r>
            <w:proofErr w:type="spellEnd"/>
            <w:r w:rsidRPr="00913C9C">
              <w:rPr>
                <w:sz w:val="22"/>
                <w:szCs w:val="22"/>
              </w:rPr>
              <w:t xml:space="preserve"> 130)</w:t>
            </w:r>
          </w:p>
        </w:tc>
        <w:tc>
          <w:tcPr>
            <w:tcW w:w="2880" w:type="dxa"/>
          </w:tcPr>
          <w:p w14:paraId="01D90A58" w14:textId="77777777" w:rsidR="003E1FAA" w:rsidRPr="00913C9C" w:rsidRDefault="003E1FAA" w:rsidP="003A3D33">
            <w:pPr>
              <w:rPr>
                <w:sz w:val="22"/>
                <w:szCs w:val="22"/>
              </w:rPr>
            </w:pPr>
            <w:r w:rsidRPr="00913C9C">
              <w:rPr>
                <w:sz w:val="22"/>
                <w:szCs w:val="22"/>
              </w:rPr>
              <w:t>EPA Method TO-15 (</w:t>
            </w:r>
            <w:proofErr w:type="spellStart"/>
            <w:r w:rsidRPr="00913C9C">
              <w:rPr>
                <w:sz w:val="22"/>
                <w:szCs w:val="22"/>
              </w:rPr>
              <w:t>Summas</w:t>
            </w:r>
            <w:proofErr w:type="spellEnd"/>
            <w:r w:rsidRPr="00913C9C">
              <w:rPr>
                <w:sz w:val="22"/>
                <w:szCs w:val="22"/>
              </w:rPr>
              <w:t>); Modified EPA Method TO-17 (</w:t>
            </w:r>
            <w:proofErr w:type="spellStart"/>
            <w:r w:rsidRPr="00913C9C">
              <w:rPr>
                <w:sz w:val="22"/>
                <w:szCs w:val="22"/>
              </w:rPr>
              <w:t>Radiellos</w:t>
            </w:r>
            <w:proofErr w:type="spellEnd"/>
            <w:r w:rsidRPr="00913C9C">
              <w:rPr>
                <w:sz w:val="22"/>
                <w:szCs w:val="22"/>
              </w:rPr>
              <w:t>)</w:t>
            </w:r>
          </w:p>
        </w:tc>
      </w:tr>
      <w:tr w:rsidR="003E1FAA" w:rsidRPr="00913C9C" w14:paraId="4D6127E5" w14:textId="77777777" w:rsidTr="00C34960">
        <w:tc>
          <w:tcPr>
            <w:tcW w:w="3325" w:type="dxa"/>
            <w:vAlign w:val="center"/>
          </w:tcPr>
          <w:p w14:paraId="70ABFBF7" w14:textId="77777777" w:rsidR="003E1FAA" w:rsidRPr="00913C9C" w:rsidRDefault="003E1FAA" w:rsidP="003A3D33">
            <w:pPr>
              <w:rPr>
                <w:sz w:val="22"/>
                <w:szCs w:val="22"/>
              </w:rPr>
            </w:pPr>
            <w:r w:rsidRPr="00913C9C">
              <w:rPr>
                <w:sz w:val="22"/>
                <w:szCs w:val="22"/>
              </w:rPr>
              <w:t>Praxis</w:t>
            </w:r>
            <w:r w:rsidR="00C34960">
              <w:rPr>
                <w:sz w:val="22"/>
                <w:szCs w:val="22"/>
              </w:rPr>
              <w:t xml:space="preserve"> Environmental, Burlingame, CA</w:t>
            </w:r>
          </w:p>
        </w:tc>
        <w:tc>
          <w:tcPr>
            <w:tcW w:w="3600" w:type="dxa"/>
          </w:tcPr>
          <w:p w14:paraId="10EE2BBE" w14:textId="77777777" w:rsidR="003E1FAA" w:rsidRPr="00913C9C" w:rsidRDefault="003E1FAA" w:rsidP="003A3D33">
            <w:pPr>
              <w:rPr>
                <w:sz w:val="22"/>
                <w:szCs w:val="22"/>
              </w:rPr>
            </w:pPr>
            <w:r w:rsidRPr="00913C9C">
              <w:rPr>
                <w:sz w:val="22"/>
                <w:szCs w:val="22"/>
              </w:rPr>
              <w:t xml:space="preserve">External and </w:t>
            </w:r>
            <w:proofErr w:type="spellStart"/>
            <w:r w:rsidRPr="00913C9C">
              <w:rPr>
                <w:sz w:val="22"/>
                <w:szCs w:val="22"/>
              </w:rPr>
              <w:t>subslab</w:t>
            </w:r>
            <w:proofErr w:type="spellEnd"/>
            <w:r w:rsidRPr="00913C9C">
              <w:rPr>
                <w:sz w:val="22"/>
                <w:szCs w:val="22"/>
              </w:rPr>
              <w:t xml:space="preserve"> soil gas, SVE system (</w:t>
            </w:r>
            <w:proofErr w:type="spellStart"/>
            <w:r w:rsidRPr="00913C9C">
              <w:rPr>
                <w:sz w:val="22"/>
                <w:szCs w:val="22"/>
              </w:rPr>
              <w:t>Tedlar</w:t>
            </w:r>
            <w:proofErr w:type="spellEnd"/>
            <w:r w:rsidRPr="00913C9C">
              <w:rPr>
                <w:sz w:val="22"/>
                <w:szCs w:val="22"/>
              </w:rPr>
              <w:t xml:space="preserve"> bag)</w:t>
            </w:r>
          </w:p>
        </w:tc>
        <w:tc>
          <w:tcPr>
            <w:tcW w:w="2880" w:type="dxa"/>
          </w:tcPr>
          <w:p w14:paraId="1C10D8FD" w14:textId="77777777" w:rsidR="003E1FAA" w:rsidRPr="00913C9C" w:rsidRDefault="003E1FAA" w:rsidP="003A3D33">
            <w:pPr>
              <w:rPr>
                <w:sz w:val="22"/>
                <w:szCs w:val="22"/>
              </w:rPr>
            </w:pPr>
            <w:r w:rsidRPr="00913C9C">
              <w:rPr>
                <w:sz w:val="22"/>
                <w:szCs w:val="22"/>
              </w:rPr>
              <w:t>Modified EPA Method 18</w:t>
            </w:r>
          </w:p>
        </w:tc>
      </w:tr>
    </w:tbl>
    <w:p w14:paraId="234448B2" w14:textId="77777777" w:rsidR="003E1FAA" w:rsidRPr="002C32BF" w:rsidRDefault="003E1FAA" w:rsidP="003E1FAA">
      <w:pPr>
        <w:rPr>
          <w:sz w:val="20"/>
          <w:szCs w:val="20"/>
        </w:rPr>
      </w:pPr>
      <w:r w:rsidRPr="002C32BF">
        <w:rPr>
          <w:sz w:val="20"/>
          <w:szCs w:val="20"/>
          <w:vertAlign w:val="superscript"/>
        </w:rPr>
        <w:t>1</w:t>
      </w:r>
      <w:r w:rsidRPr="002C32BF">
        <w:rPr>
          <w:sz w:val="20"/>
          <w:szCs w:val="20"/>
        </w:rPr>
        <w:t xml:space="preserve"> U.S. Environmental Protection Agency, Office of Research and Development, Environmental Monitoring Systems Laboratory</w:t>
      </w:r>
    </w:p>
    <w:p w14:paraId="1786FAAB" w14:textId="1378A59A" w:rsidR="000B258C" w:rsidRDefault="003E1FAA" w:rsidP="000B258C">
      <w:pPr>
        <w:pStyle w:val="ExhibitTitle"/>
      </w:pPr>
      <w:r w:rsidRPr="00C34960">
        <w:t>Exhibit 3. General VOC Database Dictionary</w:t>
      </w:r>
    </w:p>
    <w:tbl>
      <w:tblPr>
        <w:tblStyle w:val="TableGrid"/>
        <w:tblW w:w="9355" w:type="dxa"/>
        <w:jc w:val="center"/>
        <w:tblLook w:val="04A0" w:firstRow="1" w:lastRow="0" w:firstColumn="1" w:lastColumn="0" w:noHBand="0" w:noVBand="1"/>
      </w:tblPr>
      <w:tblGrid>
        <w:gridCol w:w="1837"/>
        <w:gridCol w:w="7518"/>
      </w:tblGrid>
      <w:tr w:rsidR="000B258C" w:rsidRPr="000B258C" w14:paraId="32C6B538" w14:textId="77777777" w:rsidTr="000B258C">
        <w:trPr>
          <w:divId w:val="1901862411"/>
          <w:trHeight w:val="300"/>
          <w:tblHeader/>
          <w:jc w:val="center"/>
        </w:trPr>
        <w:tc>
          <w:tcPr>
            <w:tcW w:w="1837" w:type="dxa"/>
            <w:shd w:val="clear" w:color="auto" w:fill="D9E2F3" w:themeFill="accent1" w:themeFillTint="33"/>
            <w:noWrap/>
            <w:hideMark/>
          </w:tcPr>
          <w:p w14:paraId="194140A1" w14:textId="084343A6" w:rsidR="000B258C" w:rsidRPr="000B258C" w:rsidRDefault="000B258C" w:rsidP="000B258C">
            <w:pPr>
              <w:rPr>
                <w:b/>
                <w:sz w:val="22"/>
                <w:szCs w:val="22"/>
              </w:rPr>
            </w:pPr>
            <w:r w:rsidRPr="000B258C">
              <w:rPr>
                <w:b/>
                <w:sz w:val="22"/>
                <w:szCs w:val="22"/>
              </w:rPr>
              <w:t>Field</w:t>
            </w:r>
          </w:p>
        </w:tc>
        <w:tc>
          <w:tcPr>
            <w:tcW w:w="7518" w:type="dxa"/>
            <w:shd w:val="clear" w:color="auto" w:fill="D9E2F3" w:themeFill="accent1" w:themeFillTint="33"/>
            <w:noWrap/>
            <w:hideMark/>
          </w:tcPr>
          <w:p w14:paraId="77592AAA" w14:textId="77777777" w:rsidR="000B258C" w:rsidRPr="000B258C" w:rsidRDefault="000B258C" w:rsidP="000B258C">
            <w:pPr>
              <w:rPr>
                <w:b/>
                <w:sz w:val="22"/>
                <w:szCs w:val="22"/>
              </w:rPr>
            </w:pPr>
            <w:r w:rsidRPr="000B258C">
              <w:rPr>
                <w:b/>
                <w:sz w:val="22"/>
                <w:szCs w:val="22"/>
              </w:rPr>
              <w:t>Description</w:t>
            </w:r>
          </w:p>
        </w:tc>
      </w:tr>
      <w:tr w:rsidR="000B258C" w:rsidRPr="000B258C" w14:paraId="501B4F0C" w14:textId="77777777" w:rsidTr="000B258C">
        <w:trPr>
          <w:divId w:val="1901862411"/>
          <w:trHeight w:val="300"/>
          <w:jc w:val="center"/>
        </w:trPr>
        <w:tc>
          <w:tcPr>
            <w:tcW w:w="1837" w:type="dxa"/>
            <w:noWrap/>
            <w:hideMark/>
          </w:tcPr>
          <w:p w14:paraId="0C22E9C2" w14:textId="77777777" w:rsidR="000B258C" w:rsidRPr="000B258C" w:rsidRDefault="000B258C" w:rsidP="000B258C">
            <w:pPr>
              <w:rPr>
                <w:sz w:val="22"/>
                <w:szCs w:val="22"/>
              </w:rPr>
            </w:pPr>
            <w:proofErr w:type="spellStart"/>
            <w:r w:rsidRPr="000B258C">
              <w:rPr>
                <w:sz w:val="22"/>
                <w:szCs w:val="22"/>
              </w:rPr>
              <w:t>sys_loc_code</w:t>
            </w:r>
            <w:proofErr w:type="spellEnd"/>
          </w:p>
        </w:tc>
        <w:tc>
          <w:tcPr>
            <w:tcW w:w="7518" w:type="dxa"/>
            <w:noWrap/>
            <w:hideMark/>
          </w:tcPr>
          <w:p w14:paraId="326E64BC" w14:textId="77777777" w:rsidR="000B258C" w:rsidRPr="000B258C" w:rsidRDefault="000B258C" w:rsidP="000B258C">
            <w:pPr>
              <w:rPr>
                <w:sz w:val="22"/>
                <w:szCs w:val="22"/>
              </w:rPr>
            </w:pPr>
            <w:r w:rsidRPr="000B258C">
              <w:rPr>
                <w:sz w:val="22"/>
                <w:szCs w:val="22"/>
              </w:rPr>
              <w:t>Unique location ID (station ID + probe depth)</w:t>
            </w:r>
          </w:p>
        </w:tc>
      </w:tr>
      <w:tr w:rsidR="000B258C" w:rsidRPr="000B258C" w14:paraId="4BDBF846" w14:textId="77777777" w:rsidTr="000B258C">
        <w:trPr>
          <w:divId w:val="1901862411"/>
          <w:trHeight w:val="300"/>
          <w:jc w:val="center"/>
        </w:trPr>
        <w:tc>
          <w:tcPr>
            <w:tcW w:w="1837" w:type="dxa"/>
            <w:noWrap/>
            <w:hideMark/>
          </w:tcPr>
          <w:p w14:paraId="42B45587" w14:textId="77777777" w:rsidR="000B258C" w:rsidRPr="000B258C" w:rsidRDefault="000B258C" w:rsidP="000B258C">
            <w:pPr>
              <w:rPr>
                <w:sz w:val="22"/>
                <w:szCs w:val="22"/>
              </w:rPr>
            </w:pPr>
            <w:proofErr w:type="spellStart"/>
            <w:r w:rsidRPr="000B258C">
              <w:rPr>
                <w:sz w:val="22"/>
                <w:szCs w:val="22"/>
              </w:rPr>
              <w:t>sample_purpose</w:t>
            </w:r>
            <w:proofErr w:type="spellEnd"/>
          </w:p>
        </w:tc>
        <w:tc>
          <w:tcPr>
            <w:tcW w:w="7518" w:type="dxa"/>
            <w:noWrap/>
            <w:hideMark/>
          </w:tcPr>
          <w:p w14:paraId="1B41F18A" w14:textId="77777777" w:rsidR="000B258C" w:rsidRPr="000B258C" w:rsidRDefault="000B258C" w:rsidP="000B258C">
            <w:pPr>
              <w:rPr>
                <w:sz w:val="22"/>
                <w:szCs w:val="22"/>
              </w:rPr>
            </w:pPr>
            <w:r w:rsidRPr="000B258C">
              <w:rPr>
                <w:sz w:val="22"/>
                <w:szCs w:val="22"/>
              </w:rPr>
              <w:t>"Duplicate", "Field blank", or "normal"</w:t>
            </w:r>
          </w:p>
        </w:tc>
      </w:tr>
      <w:tr w:rsidR="000B258C" w:rsidRPr="000B258C" w14:paraId="47EB2ECE" w14:textId="77777777" w:rsidTr="000B258C">
        <w:trPr>
          <w:divId w:val="1901862411"/>
          <w:trHeight w:val="300"/>
          <w:jc w:val="center"/>
        </w:trPr>
        <w:tc>
          <w:tcPr>
            <w:tcW w:w="1837" w:type="dxa"/>
            <w:noWrap/>
            <w:hideMark/>
          </w:tcPr>
          <w:p w14:paraId="50D077A9" w14:textId="77777777" w:rsidR="000B258C" w:rsidRPr="000B258C" w:rsidRDefault="000B258C" w:rsidP="000B258C">
            <w:pPr>
              <w:rPr>
                <w:sz w:val="22"/>
                <w:szCs w:val="22"/>
              </w:rPr>
            </w:pPr>
            <w:proofErr w:type="spellStart"/>
            <w:r w:rsidRPr="000B258C">
              <w:rPr>
                <w:sz w:val="22"/>
                <w:szCs w:val="22"/>
              </w:rPr>
              <w:t>begin_date</w:t>
            </w:r>
            <w:proofErr w:type="spellEnd"/>
          </w:p>
        </w:tc>
        <w:tc>
          <w:tcPr>
            <w:tcW w:w="7518" w:type="dxa"/>
            <w:noWrap/>
            <w:hideMark/>
          </w:tcPr>
          <w:p w14:paraId="688B6D40" w14:textId="77777777" w:rsidR="000B258C" w:rsidRPr="000B258C" w:rsidRDefault="000B258C" w:rsidP="000B258C">
            <w:pPr>
              <w:rPr>
                <w:sz w:val="22"/>
                <w:szCs w:val="22"/>
              </w:rPr>
            </w:pPr>
            <w:r w:rsidRPr="000B258C">
              <w:rPr>
                <w:sz w:val="22"/>
                <w:szCs w:val="22"/>
              </w:rPr>
              <w:t>Date sample collection began</w:t>
            </w:r>
          </w:p>
        </w:tc>
      </w:tr>
      <w:tr w:rsidR="000B258C" w:rsidRPr="000B258C" w14:paraId="12ACE968" w14:textId="77777777" w:rsidTr="000B258C">
        <w:trPr>
          <w:divId w:val="1901862411"/>
          <w:trHeight w:val="300"/>
          <w:jc w:val="center"/>
        </w:trPr>
        <w:tc>
          <w:tcPr>
            <w:tcW w:w="1837" w:type="dxa"/>
            <w:noWrap/>
            <w:hideMark/>
          </w:tcPr>
          <w:p w14:paraId="246F66A9" w14:textId="77777777" w:rsidR="000B258C" w:rsidRPr="000B258C" w:rsidRDefault="000B258C" w:rsidP="000B258C">
            <w:pPr>
              <w:rPr>
                <w:sz w:val="22"/>
                <w:szCs w:val="22"/>
              </w:rPr>
            </w:pPr>
            <w:proofErr w:type="spellStart"/>
            <w:r w:rsidRPr="000B258C">
              <w:rPr>
                <w:sz w:val="22"/>
                <w:szCs w:val="22"/>
              </w:rPr>
              <w:t>begin_time</w:t>
            </w:r>
            <w:proofErr w:type="spellEnd"/>
          </w:p>
        </w:tc>
        <w:tc>
          <w:tcPr>
            <w:tcW w:w="7518" w:type="dxa"/>
            <w:noWrap/>
            <w:hideMark/>
          </w:tcPr>
          <w:p w14:paraId="60C2225B" w14:textId="77777777" w:rsidR="000B258C" w:rsidRPr="000B258C" w:rsidRDefault="000B258C" w:rsidP="000B258C">
            <w:pPr>
              <w:rPr>
                <w:sz w:val="22"/>
                <w:szCs w:val="22"/>
              </w:rPr>
            </w:pPr>
            <w:r w:rsidRPr="000B258C">
              <w:rPr>
                <w:sz w:val="22"/>
                <w:szCs w:val="22"/>
              </w:rPr>
              <w:t>Time sample collection began</w:t>
            </w:r>
          </w:p>
        </w:tc>
      </w:tr>
      <w:tr w:rsidR="000B258C" w:rsidRPr="000B258C" w14:paraId="51A4802D" w14:textId="77777777" w:rsidTr="000B258C">
        <w:trPr>
          <w:divId w:val="1901862411"/>
          <w:trHeight w:val="300"/>
          <w:jc w:val="center"/>
        </w:trPr>
        <w:tc>
          <w:tcPr>
            <w:tcW w:w="1837" w:type="dxa"/>
            <w:noWrap/>
            <w:hideMark/>
          </w:tcPr>
          <w:p w14:paraId="0E830749" w14:textId="77777777" w:rsidR="000B258C" w:rsidRPr="000B258C" w:rsidRDefault="000B258C" w:rsidP="000B258C">
            <w:pPr>
              <w:rPr>
                <w:sz w:val="22"/>
                <w:szCs w:val="22"/>
              </w:rPr>
            </w:pPr>
            <w:proofErr w:type="spellStart"/>
            <w:r w:rsidRPr="000B258C">
              <w:rPr>
                <w:sz w:val="22"/>
                <w:szCs w:val="22"/>
              </w:rPr>
              <w:t>end_date</w:t>
            </w:r>
            <w:proofErr w:type="spellEnd"/>
          </w:p>
        </w:tc>
        <w:tc>
          <w:tcPr>
            <w:tcW w:w="7518" w:type="dxa"/>
            <w:noWrap/>
            <w:hideMark/>
          </w:tcPr>
          <w:p w14:paraId="53BB4074" w14:textId="77777777" w:rsidR="000B258C" w:rsidRPr="000B258C" w:rsidRDefault="000B258C" w:rsidP="000B258C">
            <w:pPr>
              <w:rPr>
                <w:sz w:val="22"/>
                <w:szCs w:val="22"/>
              </w:rPr>
            </w:pPr>
            <w:r w:rsidRPr="000B258C">
              <w:rPr>
                <w:sz w:val="22"/>
                <w:szCs w:val="22"/>
              </w:rPr>
              <w:t>Date sample collection ended</w:t>
            </w:r>
          </w:p>
        </w:tc>
      </w:tr>
      <w:tr w:rsidR="000B258C" w:rsidRPr="000B258C" w14:paraId="1BD24ADC" w14:textId="77777777" w:rsidTr="000B258C">
        <w:trPr>
          <w:divId w:val="1901862411"/>
          <w:trHeight w:val="300"/>
          <w:jc w:val="center"/>
        </w:trPr>
        <w:tc>
          <w:tcPr>
            <w:tcW w:w="1837" w:type="dxa"/>
            <w:noWrap/>
            <w:hideMark/>
          </w:tcPr>
          <w:p w14:paraId="2ED6169D" w14:textId="77777777" w:rsidR="000B258C" w:rsidRPr="000B258C" w:rsidRDefault="000B258C" w:rsidP="000B258C">
            <w:pPr>
              <w:rPr>
                <w:sz w:val="22"/>
                <w:szCs w:val="22"/>
              </w:rPr>
            </w:pPr>
            <w:proofErr w:type="spellStart"/>
            <w:r w:rsidRPr="000B258C">
              <w:rPr>
                <w:sz w:val="22"/>
                <w:szCs w:val="22"/>
              </w:rPr>
              <w:t>end_time</w:t>
            </w:r>
            <w:proofErr w:type="spellEnd"/>
          </w:p>
        </w:tc>
        <w:tc>
          <w:tcPr>
            <w:tcW w:w="7518" w:type="dxa"/>
            <w:noWrap/>
            <w:hideMark/>
          </w:tcPr>
          <w:p w14:paraId="662E5DD3" w14:textId="77777777" w:rsidR="000B258C" w:rsidRPr="000B258C" w:rsidRDefault="000B258C" w:rsidP="000B258C">
            <w:pPr>
              <w:rPr>
                <w:sz w:val="22"/>
                <w:szCs w:val="22"/>
              </w:rPr>
            </w:pPr>
            <w:r w:rsidRPr="000B258C">
              <w:rPr>
                <w:sz w:val="22"/>
                <w:szCs w:val="22"/>
              </w:rPr>
              <w:t>Time sample collection ended</w:t>
            </w:r>
          </w:p>
        </w:tc>
      </w:tr>
      <w:tr w:rsidR="000B258C" w:rsidRPr="000B258C" w14:paraId="23901C8F" w14:textId="77777777" w:rsidTr="000B258C">
        <w:trPr>
          <w:divId w:val="1901862411"/>
          <w:trHeight w:val="300"/>
          <w:jc w:val="center"/>
        </w:trPr>
        <w:tc>
          <w:tcPr>
            <w:tcW w:w="1837" w:type="dxa"/>
            <w:noWrap/>
            <w:hideMark/>
          </w:tcPr>
          <w:p w14:paraId="6D8EA047" w14:textId="77777777" w:rsidR="000B258C" w:rsidRPr="000B258C" w:rsidRDefault="000B258C" w:rsidP="000B258C">
            <w:pPr>
              <w:rPr>
                <w:sz w:val="22"/>
                <w:szCs w:val="22"/>
              </w:rPr>
            </w:pPr>
            <w:proofErr w:type="spellStart"/>
            <w:r w:rsidRPr="000B258C">
              <w:rPr>
                <w:sz w:val="22"/>
                <w:szCs w:val="22"/>
              </w:rPr>
              <w:t>duration_min</w:t>
            </w:r>
            <w:proofErr w:type="spellEnd"/>
          </w:p>
        </w:tc>
        <w:tc>
          <w:tcPr>
            <w:tcW w:w="7518" w:type="dxa"/>
            <w:noWrap/>
            <w:hideMark/>
          </w:tcPr>
          <w:p w14:paraId="13A7B324" w14:textId="77777777" w:rsidR="000B258C" w:rsidRPr="000B258C" w:rsidRDefault="000B258C" w:rsidP="000B258C">
            <w:pPr>
              <w:rPr>
                <w:sz w:val="22"/>
                <w:szCs w:val="22"/>
              </w:rPr>
            </w:pPr>
            <w:r w:rsidRPr="000B258C">
              <w:rPr>
                <w:sz w:val="22"/>
                <w:szCs w:val="22"/>
              </w:rPr>
              <w:t>Sample duration (min); "0" for grab samples)</w:t>
            </w:r>
          </w:p>
        </w:tc>
      </w:tr>
      <w:tr w:rsidR="000B258C" w:rsidRPr="000B258C" w14:paraId="46C24143" w14:textId="77777777" w:rsidTr="000B258C">
        <w:trPr>
          <w:divId w:val="1901862411"/>
          <w:trHeight w:val="300"/>
          <w:jc w:val="center"/>
        </w:trPr>
        <w:tc>
          <w:tcPr>
            <w:tcW w:w="1837" w:type="dxa"/>
            <w:noWrap/>
            <w:hideMark/>
          </w:tcPr>
          <w:p w14:paraId="6AA4616E" w14:textId="77777777" w:rsidR="000B258C" w:rsidRPr="000B258C" w:rsidRDefault="000B258C" w:rsidP="000B258C">
            <w:pPr>
              <w:rPr>
                <w:sz w:val="22"/>
                <w:szCs w:val="22"/>
              </w:rPr>
            </w:pPr>
            <w:proofErr w:type="spellStart"/>
            <w:r w:rsidRPr="000B258C">
              <w:rPr>
                <w:sz w:val="22"/>
                <w:szCs w:val="22"/>
              </w:rPr>
              <w:t>sample_volume_L</w:t>
            </w:r>
            <w:proofErr w:type="spellEnd"/>
          </w:p>
        </w:tc>
        <w:tc>
          <w:tcPr>
            <w:tcW w:w="7518" w:type="dxa"/>
            <w:noWrap/>
            <w:hideMark/>
          </w:tcPr>
          <w:p w14:paraId="3F3A9DBD" w14:textId="77777777" w:rsidR="000B258C" w:rsidRPr="000B258C" w:rsidRDefault="000B258C" w:rsidP="000B258C">
            <w:pPr>
              <w:rPr>
                <w:sz w:val="22"/>
                <w:szCs w:val="22"/>
              </w:rPr>
            </w:pPr>
            <w:r w:rsidRPr="000B258C">
              <w:rPr>
                <w:sz w:val="22"/>
                <w:szCs w:val="22"/>
              </w:rPr>
              <w:t>Volume of sample (L)</w:t>
            </w:r>
          </w:p>
        </w:tc>
      </w:tr>
      <w:tr w:rsidR="000B258C" w:rsidRPr="000B258C" w14:paraId="101176F0" w14:textId="77777777" w:rsidTr="000B258C">
        <w:trPr>
          <w:divId w:val="1901862411"/>
          <w:trHeight w:val="300"/>
          <w:jc w:val="center"/>
        </w:trPr>
        <w:tc>
          <w:tcPr>
            <w:tcW w:w="1837" w:type="dxa"/>
            <w:noWrap/>
            <w:hideMark/>
          </w:tcPr>
          <w:p w14:paraId="254E8CDF" w14:textId="77777777" w:rsidR="000B258C" w:rsidRPr="000B258C" w:rsidRDefault="000B258C" w:rsidP="000B258C">
            <w:pPr>
              <w:rPr>
                <w:sz w:val="22"/>
                <w:szCs w:val="22"/>
              </w:rPr>
            </w:pPr>
            <w:proofErr w:type="spellStart"/>
            <w:r w:rsidRPr="000B258C">
              <w:rPr>
                <w:sz w:val="22"/>
                <w:szCs w:val="22"/>
              </w:rPr>
              <w:t>PL_depth_ft</w:t>
            </w:r>
            <w:proofErr w:type="spellEnd"/>
          </w:p>
        </w:tc>
        <w:tc>
          <w:tcPr>
            <w:tcW w:w="7518" w:type="dxa"/>
            <w:noWrap/>
            <w:hideMark/>
          </w:tcPr>
          <w:p w14:paraId="517EFF35" w14:textId="77777777" w:rsidR="000B258C" w:rsidRPr="000B258C" w:rsidRDefault="000B258C" w:rsidP="000B258C">
            <w:pPr>
              <w:rPr>
                <w:sz w:val="22"/>
                <w:szCs w:val="22"/>
              </w:rPr>
            </w:pPr>
            <w:r w:rsidRPr="000B258C">
              <w:rPr>
                <w:sz w:val="22"/>
                <w:szCs w:val="22"/>
              </w:rPr>
              <w:t xml:space="preserve">Depth of </w:t>
            </w:r>
            <w:proofErr w:type="spellStart"/>
            <w:r w:rsidRPr="000B258C">
              <w:rPr>
                <w:sz w:val="22"/>
                <w:szCs w:val="22"/>
              </w:rPr>
              <w:t>PneuLog</w:t>
            </w:r>
            <w:proofErr w:type="spellEnd"/>
            <w:r w:rsidRPr="000B258C">
              <w:rPr>
                <w:sz w:val="22"/>
                <w:szCs w:val="22"/>
              </w:rPr>
              <w:t xml:space="preserve"> measurements (</w:t>
            </w:r>
            <w:proofErr w:type="spellStart"/>
            <w:r w:rsidRPr="000B258C">
              <w:rPr>
                <w:sz w:val="22"/>
                <w:szCs w:val="22"/>
              </w:rPr>
              <w:t>PneuLog</w:t>
            </w:r>
            <w:proofErr w:type="spellEnd"/>
            <w:r w:rsidRPr="000B258C">
              <w:rPr>
                <w:sz w:val="22"/>
                <w:szCs w:val="22"/>
              </w:rPr>
              <w:t xml:space="preserve"> samples only)</w:t>
            </w:r>
          </w:p>
        </w:tc>
      </w:tr>
      <w:tr w:rsidR="000B258C" w:rsidRPr="000B258C" w14:paraId="277C19FF" w14:textId="77777777" w:rsidTr="000B258C">
        <w:trPr>
          <w:divId w:val="1901862411"/>
          <w:trHeight w:val="300"/>
          <w:jc w:val="center"/>
        </w:trPr>
        <w:tc>
          <w:tcPr>
            <w:tcW w:w="1837" w:type="dxa"/>
            <w:noWrap/>
            <w:hideMark/>
          </w:tcPr>
          <w:p w14:paraId="090C9122" w14:textId="77777777" w:rsidR="000B258C" w:rsidRPr="000B258C" w:rsidRDefault="000B258C" w:rsidP="000B258C">
            <w:pPr>
              <w:rPr>
                <w:sz w:val="22"/>
                <w:szCs w:val="22"/>
              </w:rPr>
            </w:pPr>
            <w:proofErr w:type="spellStart"/>
            <w:r w:rsidRPr="000B258C">
              <w:rPr>
                <w:sz w:val="22"/>
                <w:szCs w:val="22"/>
              </w:rPr>
              <w:t>sample_type</w:t>
            </w:r>
            <w:proofErr w:type="spellEnd"/>
          </w:p>
        </w:tc>
        <w:tc>
          <w:tcPr>
            <w:tcW w:w="7518" w:type="dxa"/>
            <w:noWrap/>
            <w:hideMark/>
          </w:tcPr>
          <w:p w14:paraId="422884D1" w14:textId="77777777" w:rsidR="000B258C" w:rsidRPr="000B258C" w:rsidRDefault="000B258C" w:rsidP="000B258C">
            <w:pPr>
              <w:rPr>
                <w:sz w:val="22"/>
                <w:szCs w:val="22"/>
              </w:rPr>
            </w:pPr>
            <w:r w:rsidRPr="000B258C">
              <w:rPr>
                <w:sz w:val="22"/>
                <w:szCs w:val="22"/>
              </w:rPr>
              <w:t>"External", "Indoor", "Outdoor", "Field blank", "Ground water", "Soil gas", "</w:t>
            </w:r>
            <w:proofErr w:type="spellStart"/>
            <w:r w:rsidRPr="000B258C">
              <w:rPr>
                <w:sz w:val="22"/>
                <w:szCs w:val="22"/>
              </w:rPr>
              <w:t>Subslab</w:t>
            </w:r>
            <w:proofErr w:type="spellEnd"/>
            <w:r w:rsidRPr="000B258C">
              <w:rPr>
                <w:sz w:val="22"/>
                <w:szCs w:val="22"/>
              </w:rPr>
              <w:t>", "SVE"</w:t>
            </w:r>
          </w:p>
        </w:tc>
      </w:tr>
      <w:tr w:rsidR="000B258C" w:rsidRPr="000B258C" w14:paraId="7502DAD0" w14:textId="77777777" w:rsidTr="000B258C">
        <w:trPr>
          <w:divId w:val="1901862411"/>
          <w:trHeight w:val="300"/>
          <w:jc w:val="center"/>
        </w:trPr>
        <w:tc>
          <w:tcPr>
            <w:tcW w:w="1837" w:type="dxa"/>
            <w:noWrap/>
            <w:hideMark/>
          </w:tcPr>
          <w:p w14:paraId="5EFE1DD5" w14:textId="77777777" w:rsidR="000B258C" w:rsidRPr="000B258C" w:rsidRDefault="000B258C" w:rsidP="000B258C">
            <w:pPr>
              <w:rPr>
                <w:sz w:val="22"/>
                <w:szCs w:val="22"/>
              </w:rPr>
            </w:pPr>
            <w:proofErr w:type="spellStart"/>
            <w:r w:rsidRPr="000B258C">
              <w:rPr>
                <w:sz w:val="22"/>
                <w:szCs w:val="22"/>
              </w:rPr>
              <w:t>sample_matrix</w:t>
            </w:r>
            <w:proofErr w:type="spellEnd"/>
          </w:p>
        </w:tc>
        <w:tc>
          <w:tcPr>
            <w:tcW w:w="7518" w:type="dxa"/>
            <w:noWrap/>
            <w:hideMark/>
          </w:tcPr>
          <w:p w14:paraId="55CB582F" w14:textId="7240CD90" w:rsidR="000B258C" w:rsidRPr="000B258C" w:rsidRDefault="000B258C" w:rsidP="000B258C">
            <w:pPr>
              <w:rPr>
                <w:sz w:val="22"/>
                <w:szCs w:val="22"/>
              </w:rPr>
            </w:pPr>
            <w:r>
              <w:rPr>
                <w:sz w:val="22"/>
                <w:szCs w:val="22"/>
              </w:rPr>
              <w:t xml:space="preserve">matrix sampled: </w:t>
            </w:r>
            <w:r w:rsidRPr="000B258C">
              <w:rPr>
                <w:sz w:val="22"/>
                <w:szCs w:val="22"/>
              </w:rPr>
              <w:t>"Air", "Ground water", "Soil gas"</w:t>
            </w:r>
          </w:p>
        </w:tc>
      </w:tr>
      <w:tr w:rsidR="000B258C" w:rsidRPr="000B258C" w14:paraId="0C5D563D" w14:textId="77777777" w:rsidTr="000B258C">
        <w:trPr>
          <w:divId w:val="1901862411"/>
          <w:trHeight w:val="510"/>
          <w:jc w:val="center"/>
        </w:trPr>
        <w:tc>
          <w:tcPr>
            <w:tcW w:w="1837" w:type="dxa"/>
            <w:noWrap/>
            <w:hideMark/>
          </w:tcPr>
          <w:p w14:paraId="0991524E" w14:textId="77777777" w:rsidR="000B258C" w:rsidRPr="000B258C" w:rsidRDefault="000B258C" w:rsidP="000B258C">
            <w:pPr>
              <w:rPr>
                <w:sz w:val="22"/>
                <w:szCs w:val="22"/>
              </w:rPr>
            </w:pPr>
            <w:proofErr w:type="spellStart"/>
            <w:r w:rsidRPr="000B258C">
              <w:rPr>
                <w:sz w:val="22"/>
                <w:szCs w:val="22"/>
              </w:rPr>
              <w:t>sorbent_media</w:t>
            </w:r>
            <w:proofErr w:type="spellEnd"/>
          </w:p>
        </w:tc>
        <w:tc>
          <w:tcPr>
            <w:tcW w:w="7518" w:type="dxa"/>
            <w:hideMark/>
          </w:tcPr>
          <w:p w14:paraId="270F2DD0" w14:textId="02AEFF25" w:rsidR="000B258C" w:rsidRPr="000B258C" w:rsidRDefault="000B258C" w:rsidP="000B258C">
            <w:pPr>
              <w:rPr>
                <w:sz w:val="22"/>
                <w:szCs w:val="22"/>
              </w:rPr>
            </w:pPr>
            <w:r>
              <w:rPr>
                <w:sz w:val="22"/>
                <w:szCs w:val="22"/>
              </w:rPr>
              <w:t xml:space="preserve">sampler type: </w:t>
            </w:r>
            <w:r w:rsidRPr="000B258C">
              <w:rPr>
                <w:sz w:val="22"/>
                <w:szCs w:val="22"/>
              </w:rPr>
              <w:t xml:space="preserve">"Active ATD </w:t>
            </w:r>
            <w:proofErr w:type="spellStart"/>
            <w:r w:rsidRPr="000B258C">
              <w:rPr>
                <w:sz w:val="22"/>
                <w:szCs w:val="22"/>
              </w:rPr>
              <w:t>Tenax</w:t>
            </w:r>
            <w:proofErr w:type="spellEnd"/>
            <w:r w:rsidRPr="000B258C">
              <w:rPr>
                <w:sz w:val="22"/>
                <w:szCs w:val="22"/>
              </w:rPr>
              <w:t xml:space="preserve"> TA", "Disposable bailer", "Passive </w:t>
            </w:r>
            <w:proofErr w:type="spellStart"/>
            <w:r w:rsidRPr="000B258C">
              <w:rPr>
                <w:sz w:val="22"/>
                <w:szCs w:val="22"/>
              </w:rPr>
              <w:t>Radiello</w:t>
            </w:r>
            <w:proofErr w:type="spellEnd"/>
            <w:r w:rsidRPr="000B258C">
              <w:rPr>
                <w:sz w:val="22"/>
                <w:szCs w:val="22"/>
              </w:rPr>
              <w:t xml:space="preserve"> 130 SE", "Passive </w:t>
            </w:r>
            <w:proofErr w:type="spellStart"/>
            <w:r w:rsidRPr="000B258C">
              <w:rPr>
                <w:sz w:val="22"/>
                <w:szCs w:val="22"/>
              </w:rPr>
              <w:t>Radiello</w:t>
            </w:r>
            <w:proofErr w:type="spellEnd"/>
            <w:r w:rsidRPr="000B258C">
              <w:rPr>
                <w:sz w:val="22"/>
                <w:szCs w:val="22"/>
              </w:rPr>
              <w:t xml:space="preserve"> 145 TD", "PDB", "Summa Canister", "</w:t>
            </w:r>
            <w:proofErr w:type="spellStart"/>
            <w:r w:rsidRPr="000B258C">
              <w:rPr>
                <w:sz w:val="22"/>
                <w:szCs w:val="22"/>
              </w:rPr>
              <w:t>Tedlar</w:t>
            </w:r>
            <w:proofErr w:type="spellEnd"/>
            <w:r w:rsidRPr="000B258C">
              <w:rPr>
                <w:sz w:val="22"/>
                <w:szCs w:val="22"/>
              </w:rPr>
              <w:t xml:space="preserve"> Bag"</w:t>
            </w:r>
          </w:p>
        </w:tc>
      </w:tr>
      <w:tr w:rsidR="000B258C" w:rsidRPr="000B258C" w14:paraId="41276583" w14:textId="77777777" w:rsidTr="000B258C">
        <w:trPr>
          <w:divId w:val="1901862411"/>
          <w:trHeight w:val="300"/>
          <w:jc w:val="center"/>
        </w:trPr>
        <w:tc>
          <w:tcPr>
            <w:tcW w:w="1837" w:type="dxa"/>
            <w:noWrap/>
            <w:hideMark/>
          </w:tcPr>
          <w:p w14:paraId="73C2152F" w14:textId="77777777" w:rsidR="000B258C" w:rsidRPr="000B258C" w:rsidRDefault="000B258C" w:rsidP="000B258C">
            <w:pPr>
              <w:rPr>
                <w:sz w:val="22"/>
                <w:szCs w:val="22"/>
              </w:rPr>
            </w:pPr>
            <w:r w:rsidRPr="000B258C">
              <w:rPr>
                <w:sz w:val="22"/>
                <w:szCs w:val="22"/>
              </w:rPr>
              <w:t>sampler</w:t>
            </w:r>
          </w:p>
        </w:tc>
        <w:tc>
          <w:tcPr>
            <w:tcW w:w="7518" w:type="dxa"/>
            <w:noWrap/>
            <w:hideMark/>
          </w:tcPr>
          <w:p w14:paraId="77B3A0A9" w14:textId="77777777" w:rsidR="000B258C" w:rsidRPr="000B258C" w:rsidRDefault="000B258C" w:rsidP="000B258C">
            <w:pPr>
              <w:rPr>
                <w:sz w:val="22"/>
                <w:szCs w:val="22"/>
              </w:rPr>
            </w:pPr>
            <w:r w:rsidRPr="000B258C">
              <w:rPr>
                <w:sz w:val="22"/>
                <w:szCs w:val="22"/>
              </w:rPr>
              <w:t>Person or firm who took sample</w:t>
            </w:r>
          </w:p>
        </w:tc>
      </w:tr>
      <w:tr w:rsidR="000B258C" w:rsidRPr="000B258C" w14:paraId="6398895B" w14:textId="77777777" w:rsidTr="000B258C">
        <w:trPr>
          <w:divId w:val="1901862411"/>
          <w:trHeight w:val="300"/>
          <w:jc w:val="center"/>
        </w:trPr>
        <w:tc>
          <w:tcPr>
            <w:tcW w:w="1837" w:type="dxa"/>
            <w:noWrap/>
            <w:hideMark/>
          </w:tcPr>
          <w:p w14:paraId="1F6E1EA5" w14:textId="77777777" w:rsidR="000B258C" w:rsidRPr="000B258C" w:rsidRDefault="000B258C" w:rsidP="000B258C">
            <w:pPr>
              <w:rPr>
                <w:sz w:val="22"/>
                <w:szCs w:val="22"/>
              </w:rPr>
            </w:pPr>
            <w:proofErr w:type="spellStart"/>
            <w:r w:rsidRPr="000B258C">
              <w:rPr>
                <w:sz w:val="22"/>
                <w:szCs w:val="22"/>
              </w:rPr>
              <w:t>tube_id</w:t>
            </w:r>
            <w:proofErr w:type="spellEnd"/>
          </w:p>
        </w:tc>
        <w:tc>
          <w:tcPr>
            <w:tcW w:w="7518" w:type="dxa"/>
            <w:noWrap/>
            <w:hideMark/>
          </w:tcPr>
          <w:p w14:paraId="5E9A616D" w14:textId="77777777" w:rsidR="000B258C" w:rsidRPr="000B258C" w:rsidRDefault="000B258C" w:rsidP="000B258C">
            <w:pPr>
              <w:rPr>
                <w:sz w:val="22"/>
                <w:szCs w:val="22"/>
              </w:rPr>
            </w:pPr>
            <w:r w:rsidRPr="000B258C">
              <w:rPr>
                <w:sz w:val="22"/>
                <w:szCs w:val="22"/>
              </w:rPr>
              <w:t>Tube or sampling device ID (as available)</w:t>
            </w:r>
          </w:p>
        </w:tc>
      </w:tr>
      <w:tr w:rsidR="000B258C" w:rsidRPr="000B258C" w14:paraId="763FC821" w14:textId="77777777" w:rsidTr="000B258C">
        <w:trPr>
          <w:divId w:val="1901862411"/>
          <w:trHeight w:val="300"/>
          <w:jc w:val="center"/>
        </w:trPr>
        <w:tc>
          <w:tcPr>
            <w:tcW w:w="1837" w:type="dxa"/>
            <w:noWrap/>
            <w:hideMark/>
          </w:tcPr>
          <w:p w14:paraId="6DDA6470" w14:textId="77777777" w:rsidR="000B258C" w:rsidRPr="000B258C" w:rsidRDefault="000B258C" w:rsidP="000B258C">
            <w:pPr>
              <w:rPr>
                <w:sz w:val="22"/>
                <w:szCs w:val="22"/>
              </w:rPr>
            </w:pPr>
            <w:proofErr w:type="spellStart"/>
            <w:r w:rsidRPr="000B258C">
              <w:rPr>
                <w:sz w:val="22"/>
                <w:szCs w:val="22"/>
              </w:rPr>
              <w:t>lab_sample_id</w:t>
            </w:r>
            <w:proofErr w:type="spellEnd"/>
          </w:p>
        </w:tc>
        <w:tc>
          <w:tcPr>
            <w:tcW w:w="7518" w:type="dxa"/>
            <w:noWrap/>
            <w:hideMark/>
          </w:tcPr>
          <w:p w14:paraId="6E4C0A9B" w14:textId="77777777" w:rsidR="000B258C" w:rsidRPr="000B258C" w:rsidRDefault="000B258C" w:rsidP="000B258C">
            <w:pPr>
              <w:rPr>
                <w:sz w:val="22"/>
                <w:szCs w:val="22"/>
              </w:rPr>
            </w:pPr>
            <w:r w:rsidRPr="000B258C">
              <w:rPr>
                <w:sz w:val="22"/>
                <w:szCs w:val="22"/>
              </w:rPr>
              <w:t>Unique sample ID used by laboratory</w:t>
            </w:r>
          </w:p>
        </w:tc>
      </w:tr>
      <w:tr w:rsidR="000B258C" w:rsidRPr="000B258C" w14:paraId="5ADFF4C4" w14:textId="77777777" w:rsidTr="000B258C">
        <w:trPr>
          <w:divId w:val="1901862411"/>
          <w:trHeight w:val="300"/>
          <w:jc w:val="center"/>
        </w:trPr>
        <w:tc>
          <w:tcPr>
            <w:tcW w:w="1837" w:type="dxa"/>
            <w:noWrap/>
            <w:hideMark/>
          </w:tcPr>
          <w:p w14:paraId="07ED8284" w14:textId="77777777" w:rsidR="000B258C" w:rsidRPr="000B258C" w:rsidRDefault="000B258C" w:rsidP="000B258C">
            <w:pPr>
              <w:rPr>
                <w:sz w:val="22"/>
                <w:szCs w:val="22"/>
              </w:rPr>
            </w:pPr>
            <w:proofErr w:type="spellStart"/>
            <w:r w:rsidRPr="000B258C">
              <w:rPr>
                <w:sz w:val="22"/>
                <w:szCs w:val="22"/>
              </w:rPr>
              <w:t>lab_name</w:t>
            </w:r>
            <w:proofErr w:type="spellEnd"/>
          </w:p>
        </w:tc>
        <w:tc>
          <w:tcPr>
            <w:tcW w:w="7518" w:type="dxa"/>
            <w:noWrap/>
            <w:hideMark/>
          </w:tcPr>
          <w:p w14:paraId="3DB4C46A" w14:textId="77777777" w:rsidR="000B258C" w:rsidRPr="000B258C" w:rsidRDefault="000B258C" w:rsidP="000B258C">
            <w:pPr>
              <w:rPr>
                <w:sz w:val="22"/>
                <w:szCs w:val="22"/>
              </w:rPr>
            </w:pPr>
            <w:r w:rsidRPr="000B258C">
              <w:rPr>
                <w:sz w:val="22"/>
                <w:szCs w:val="22"/>
              </w:rPr>
              <w:t>Name of analytical laboratory</w:t>
            </w:r>
          </w:p>
        </w:tc>
      </w:tr>
      <w:tr w:rsidR="000B258C" w:rsidRPr="000B258C" w14:paraId="1843F14E" w14:textId="77777777" w:rsidTr="000B258C">
        <w:trPr>
          <w:divId w:val="1901862411"/>
          <w:trHeight w:val="300"/>
          <w:jc w:val="center"/>
        </w:trPr>
        <w:tc>
          <w:tcPr>
            <w:tcW w:w="1837" w:type="dxa"/>
            <w:noWrap/>
            <w:hideMark/>
          </w:tcPr>
          <w:p w14:paraId="5CBDF05F" w14:textId="77777777" w:rsidR="000B258C" w:rsidRPr="000B258C" w:rsidRDefault="000B258C" w:rsidP="000B258C">
            <w:pPr>
              <w:rPr>
                <w:sz w:val="22"/>
                <w:szCs w:val="22"/>
              </w:rPr>
            </w:pPr>
            <w:proofErr w:type="spellStart"/>
            <w:r w:rsidRPr="000B258C">
              <w:rPr>
                <w:sz w:val="22"/>
                <w:szCs w:val="22"/>
              </w:rPr>
              <w:lastRenderedPageBreak/>
              <w:t>lab_request_id</w:t>
            </w:r>
            <w:proofErr w:type="spellEnd"/>
          </w:p>
        </w:tc>
        <w:tc>
          <w:tcPr>
            <w:tcW w:w="7518" w:type="dxa"/>
            <w:noWrap/>
            <w:hideMark/>
          </w:tcPr>
          <w:p w14:paraId="7DBB5F4C" w14:textId="77777777" w:rsidR="000B258C" w:rsidRPr="000B258C" w:rsidRDefault="000B258C" w:rsidP="000B258C">
            <w:pPr>
              <w:rPr>
                <w:sz w:val="22"/>
                <w:szCs w:val="22"/>
              </w:rPr>
            </w:pPr>
            <w:r w:rsidRPr="000B258C">
              <w:rPr>
                <w:sz w:val="22"/>
                <w:szCs w:val="22"/>
              </w:rPr>
              <w:t>Unique ID for batch of samples (e.g., COC)</w:t>
            </w:r>
          </w:p>
        </w:tc>
      </w:tr>
      <w:tr w:rsidR="000B258C" w:rsidRPr="000B258C" w14:paraId="154583F2" w14:textId="77777777" w:rsidTr="000B258C">
        <w:trPr>
          <w:divId w:val="1901862411"/>
          <w:trHeight w:val="510"/>
          <w:jc w:val="center"/>
        </w:trPr>
        <w:tc>
          <w:tcPr>
            <w:tcW w:w="1837" w:type="dxa"/>
            <w:noWrap/>
            <w:hideMark/>
          </w:tcPr>
          <w:p w14:paraId="018CF935" w14:textId="77777777" w:rsidR="000B258C" w:rsidRPr="000B258C" w:rsidRDefault="000B258C" w:rsidP="000B258C">
            <w:pPr>
              <w:rPr>
                <w:sz w:val="22"/>
                <w:szCs w:val="22"/>
              </w:rPr>
            </w:pPr>
            <w:proofErr w:type="spellStart"/>
            <w:r w:rsidRPr="000B258C">
              <w:rPr>
                <w:sz w:val="22"/>
                <w:szCs w:val="22"/>
              </w:rPr>
              <w:t>analysis_method</w:t>
            </w:r>
            <w:proofErr w:type="spellEnd"/>
          </w:p>
        </w:tc>
        <w:tc>
          <w:tcPr>
            <w:tcW w:w="7518" w:type="dxa"/>
            <w:hideMark/>
          </w:tcPr>
          <w:p w14:paraId="18411EC1" w14:textId="77777777" w:rsidR="000B258C" w:rsidRPr="000B258C" w:rsidRDefault="000B258C" w:rsidP="000B258C">
            <w:pPr>
              <w:rPr>
                <w:sz w:val="22"/>
                <w:szCs w:val="22"/>
              </w:rPr>
            </w:pPr>
            <w:r w:rsidRPr="000B258C">
              <w:rPr>
                <w:sz w:val="22"/>
                <w:szCs w:val="22"/>
              </w:rPr>
              <w:t xml:space="preserve">Chemical analysis method: "EPA Method 8260B", "Method TO-15", "Modified Method TO-17", "Modified Method 18" </w:t>
            </w:r>
          </w:p>
        </w:tc>
      </w:tr>
      <w:tr w:rsidR="000B258C" w:rsidRPr="000B258C" w14:paraId="1705694F" w14:textId="77777777" w:rsidTr="000B258C">
        <w:trPr>
          <w:divId w:val="1901862411"/>
          <w:trHeight w:val="300"/>
          <w:jc w:val="center"/>
        </w:trPr>
        <w:tc>
          <w:tcPr>
            <w:tcW w:w="1837" w:type="dxa"/>
            <w:noWrap/>
            <w:hideMark/>
          </w:tcPr>
          <w:p w14:paraId="26E391E0" w14:textId="77777777" w:rsidR="000B258C" w:rsidRPr="000B258C" w:rsidRDefault="000B258C" w:rsidP="000B258C">
            <w:pPr>
              <w:rPr>
                <w:sz w:val="22"/>
                <w:szCs w:val="22"/>
              </w:rPr>
            </w:pPr>
            <w:proofErr w:type="spellStart"/>
            <w:r w:rsidRPr="000B258C">
              <w:rPr>
                <w:sz w:val="22"/>
                <w:szCs w:val="22"/>
              </w:rPr>
              <w:t>test_type</w:t>
            </w:r>
            <w:proofErr w:type="spellEnd"/>
          </w:p>
        </w:tc>
        <w:tc>
          <w:tcPr>
            <w:tcW w:w="7518" w:type="dxa"/>
            <w:noWrap/>
            <w:hideMark/>
          </w:tcPr>
          <w:p w14:paraId="03600DFE" w14:textId="77777777" w:rsidR="000B258C" w:rsidRPr="000B258C" w:rsidRDefault="000B258C" w:rsidP="000B258C">
            <w:pPr>
              <w:rPr>
                <w:sz w:val="22"/>
                <w:szCs w:val="22"/>
              </w:rPr>
            </w:pPr>
            <w:r w:rsidRPr="000B258C">
              <w:rPr>
                <w:sz w:val="22"/>
                <w:szCs w:val="22"/>
              </w:rPr>
              <w:t>"Initial", "Dilution", "Reanalysis" (R9 samples only)</w:t>
            </w:r>
          </w:p>
        </w:tc>
      </w:tr>
      <w:tr w:rsidR="000B258C" w:rsidRPr="000B258C" w14:paraId="4D235EB2" w14:textId="77777777" w:rsidTr="000B258C">
        <w:trPr>
          <w:divId w:val="1901862411"/>
          <w:trHeight w:val="300"/>
          <w:jc w:val="center"/>
        </w:trPr>
        <w:tc>
          <w:tcPr>
            <w:tcW w:w="1837" w:type="dxa"/>
            <w:noWrap/>
            <w:hideMark/>
          </w:tcPr>
          <w:p w14:paraId="45A5B4FB" w14:textId="77777777" w:rsidR="000B258C" w:rsidRPr="000B258C" w:rsidRDefault="000B258C" w:rsidP="000B258C">
            <w:pPr>
              <w:rPr>
                <w:sz w:val="22"/>
                <w:szCs w:val="22"/>
              </w:rPr>
            </w:pPr>
            <w:proofErr w:type="spellStart"/>
            <w:r w:rsidRPr="000B258C">
              <w:rPr>
                <w:sz w:val="22"/>
                <w:szCs w:val="22"/>
              </w:rPr>
              <w:t>date_analyzed</w:t>
            </w:r>
            <w:proofErr w:type="spellEnd"/>
          </w:p>
        </w:tc>
        <w:tc>
          <w:tcPr>
            <w:tcW w:w="7518" w:type="dxa"/>
            <w:noWrap/>
            <w:hideMark/>
          </w:tcPr>
          <w:p w14:paraId="011CE900" w14:textId="77777777" w:rsidR="000B258C" w:rsidRPr="000B258C" w:rsidRDefault="000B258C" w:rsidP="000B258C">
            <w:pPr>
              <w:rPr>
                <w:sz w:val="22"/>
                <w:szCs w:val="22"/>
              </w:rPr>
            </w:pPr>
            <w:r w:rsidRPr="000B258C">
              <w:rPr>
                <w:sz w:val="22"/>
                <w:szCs w:val="22"/>
              </w:rPr>
              <w:t>Date sample was analyzed</w:t>
            </w:r>
          </w:p>
        </w:tc>
      </w:tr>
      <w:tr w:rsidR="000B258C" w:rsidRPr="000B258C" w14:paraId="2D011307" w14:textId="77777777" w:rsidTr="000B258C">
        <w:trPr>
          <w:divId w:val="1901862411"/>
          <w:trHeight w:val="300"/>
          <w:jc w:val="center"/>
        </w:trPr>
        <w:tc>
          <w:tcPr>
            <w:tcW w:w="1837" w:type="dxa"/>
            <w:noWrap/>
            <w:hideMark/>
          </w:tcPr>
          <w:p w14:paraId="60F4A742" w14:textId="77777777" w:rsidR="000B258C" w:rsidRPr="000B258C" w:rsidRDefault="000B258C" w:rsidP="000B258C">
            <w:pPr>
              <w:rPr>
                <w:sz w:val="22"/>
                <w:szCs w:val="22"/>
              </w:rPr>
            </w:pPr>
            <w:proofErr w:type="spellStart"/>
            <w:r w:rsidRPr="000B258C">
              <w:rPr>
                <w:sz w:val="22"/>
                <w:szCs w:val="22"/>
              </w:rPr>
              <w:t>casnum</w:t>
            </w:r>
            <w:proofErr w:type="spellEnd"/>
          </w:p>
        </w:tc>
        <w:tc>
          <w:tcPr>
            <w:tcW w:w="7518" w:type="dxa"/>
            <w:noWrap/>
            <w:hideMark/>
          </w:tcPr>
          <w:p w14:paraId="24C1770E" w14:textId="77777777" w:rsidR="000B258C" w:rsidRPr="000B258C" w:rsidRDefault="000B258C" w:rsidP="000B258C">
            <w:pPr>
              <w:rPr>
                <w:sz w:val="22"/>
                <w:szCs w:val="22"/>
              </w:rPr>
            </w:pPr>
            <w:r w:rsidRPr="000B258C">
              <w:rPr>
                <w:sz w:val="22"/>
                <w:szCs w:val="22"/>
              </w:rPr>
              <w:t>Chemical Abstracts Service Registry Number</w:t>
            </w:r>
          </w:p>
        </w:tc>
      </w:tr>
      <w:tr w:rsidR="000B258C" w:rsidRPr="000B258C" w14:paraId="7966D06F" w14:textId="77777777" w:rsidTr="000B258C">
        <w:trPr>
          <w:divId w:val="1901862411"/>
          <w:trHeight w:val="300"/>
          <w:jc w:val="center"/>
        </w:trPr>
        <w:tc>
          <w:tcPr>
            <w:tcW w:w="1837" w:type="dxa"/>
            <w:noWrap/>
            <w:hideMark/>
          </w:tcPr>
          <w:p w14:paraId="1D43BD33" w14:textId="77777777" w:rsidR="000B258C" w:rsidRPr="000B258C" w:rsidRDefault="000B258C" w:rsidP="000B258C">
            <w:pPr>
              <w:rPr>
                <w:sz w:val="22"/>
                <w:szCs w:val="22"/>
              </w:rPr>
            </w:pPr>
            <w:proofErr w:type="spellStart"/>
            <w:r w:rsidRPr="000B258C">
              <w:rPr>
                <w:sz w:val="22"/>
                <w:szCs w:val="22"/>
              </w:rPr>
              <w:t>compound_name</w:t>
            </w:r>
            <w:proofErr w:type="spellEnd"/>
          </w:p>
        </w:tc>
        <w:tc>
          <w:tcPr>
            <w:tcW w:w="7518" w:type="dxa"/>
            <w:noWrap/>
            <w:hideMark/>
          </w:tcPr>
          <w:p w14:paraId="4ABE1635" w14:textId="77777777" w:rsidR="000B258C" w:rsidRPr="000B258C" w:rsidRDefault="000B258C" w:rsidP="000B258C">
            <w:pPr>
              <w:rPr>
                <w:sz w:val="22"/>
                <w:szCs w:val="22"/>
              </w:rPr>
            </w:pPr>
            <w:r w:rsidRPr="000B258C">
              <w:rPr>
                <w:sz w:val="22"/>
                <w:szCs w:val="22"/>
              </w:rPr>
              <w:t>Chemical name</w:t>
            </w:r>
          </w:p>
        </w:tc>
      </w:tr>
      <w:tr w:rsidR="000B258C" w:rsidRPr="000B258C" w14:paraId="24489D04" w14:textId="77777777" w:rsidTr="000B258C">
        <w:trPr>
          <w:divId w:val="1901862411"/>
          <w:trHeight w:val="300"/>
          <w:jc w:val="center"/>
        </w:trPr>
        <w:tc>
          <w:tcPr>
            <w:tcW w:w="1837" w:type="dxa"/>
            <w:noWrap/>
            <w:hideMark/>
          </w:tcPr>
          <w:p w14:paraId="785722B7" w14:textId="77777777" w:rsidR="000B258C" w:rsidRPr="000B258C" w:rsidRDefault="000B258C" w:rsidP="000B258C">
            <w:pPr>
              <w:rPr>
                <w:sz w:val="22"/>
                <w:szCs w:val="22"/>
              </w:rPr>
            </w:pPr>
            <w:proofErr w:type="spellStart"/>
            <w:r w:rsidRPr="000B258C">
              <w:rPr>
                <w:sz w:val="22"/>
                <w:szCs w:val="22"/>
              </w:rPr>
              <w:t>result_value</w:t>
            </w:r>
            <w:proofErr w:type="spellEnd"/>
          </w:p>
        </w:tc>
        <w:tc>
          <w:tcPr>
            <w:tcW w:w="7518" w:type="dxa"/>
            <w:noWrap/>
            <w:hideMark/>
          </w:tcPr>
          <w:p w14:paraId="41DBB201" w14:textId="77777777" w:rsidR="000B258C" w:rsidRPr="000B258C" w:rsidRDefault="000B258C" w:rsidP="000B258C">
            <w:pPr>
              <w:rPr>
                <w:sz w:val="22"/>
                <w:szCs w:val="22"/>
              </w:rPr>
            </w:pPr>
            <w:r w:rsidRPr="000B258C">
              <w:rPr>
                <w:sz w:val="22"/>
                <w:szCs w:val="22"/>
              </w:rPr>
              <w:t>Analytical results</w:t>
            </w:r>
          </w:p>
        </w:tc>
      </w:tr>
      <w:tr w:rsidR="000B258C" w:rsidRPr="000B258C" w14:paraId="44F60AEE" w14:textId="77777777" w:rsidTr="000B258C">
        <w:trPr>
          <w:divId w:val="1901862411"/>
          <w:trHeight w:val="300"/>
          <w:jc w:val="center"/>
        </w:trPr>
        <w:tc>
          <w:tcPr>
            <w:tcW w:w="1837" w:type="dxa"/>
            <w:noWrap/>
            <w:hideMark/>
          </w:tcPr>
          <w:p w14:paraId="10BC7554" w14:textId="77777777" w:rsidR="000B258C" w:rsidRPr="000B258C" w:rsidRDefault="000B258C" w:rsidP="000B258C">
            <w:pPr>
              <w:rPr>
                <w:sz w:val="22"/>
                <w:szCs w:val="22"/>
              </w:rPr>
            </w:pPr>
            <w:proofErr w:type="spellStart"/>
            <w:r w:rsidRPr="000B258C">
              <w:rPr>
                <w:sz w:val="22"/>
                <w:szCs w:val="22"/>
              </w:rPr>
              <w:t>result_units</w:t>
            </w:r>
            <w:proofErr w:type="spellEnd"/>
          </w:p>
        </w:tc>
        <w:tc>
          <w:tcPr>
            <w:tcW w:w="7518" w:type="dxa"/>
            <w:noWrap/>
            <w:hideMark/>
          </w:tcPr>
          <w:p w14:paraId="28EDC6F2" w14:textId="77777777" w:rsidR="000B258C" w:rsidRPr="000B258C" w:rsidRDefault="000B258C" w:rsidP="000B258C">
            <w:pPr>
              <w:rPr>
                <w:sz w:val="22"/>
                <w:szCs w:val="22"/>
              </w:rPr>
            </w:pPr>
            <w:r w:rsidRPr="000B258C">
              <w:rPr>
                <w:sz w:val="22"/>
                <w:szCs w:val="22"/>
              </w:rPr>
              <w:t>Results units</w:t>
            </w:r>
          </w:p>
        </w:tc>
      </w:tr>
      <w:tr w:rsidR="000B258C" w:rsidRPr="000B258C" w14:paraId="7FF5CC23" w14:textId="77777777" w:rsidTr="000B258C">
        <w:trPr>
          <w:divId w:val="1901862411"/>
          <w:trHeight w:val="300"/>
          <w:jc w:val="center"/>
        </w:trPr>
        <w:tc>
          <w:tcPr>
            <w:tcW w:w="1837" w:type="dxa"/>
            <w:noWrap/>
            <w:hideMark/>
          </w:tcPr>
          <w:p w14:paraId="2E0E1E36" w14:textId="77777777" w:rsidR="000B258C" w:rsidRPr="000B258C" w:rsidRDefault="000B258C" w:rsidP="000B258C">
            <w:pPr>
              <w:rPr>
                <w:sz w:val="22"/>
                <w:szCs w:val="22"/>
              </w:rPr>
            </w:pPr>
            <w:proofErr w:type="spellStart"/>
            <w:r w:rsidRPr="000B258C">
              <w:rPr>
                <w:sz w:val="22"/>
                <w:szCs w:val="22"/>
              </w:rPr>
              <w:t>ND_flag</w:t>
            </w:r>
            <w:proofErr w:type="spellEnd"/>
          </w:p>
        </w:tc>
        <w:tc>
          <w:tcPr>
            <w:tcW w:w="7518" w:type="dxa"/>
            <w:noWrap/>
            <w:hideMark/>
          </w:tcPr>
          <w:p w14:paraId="6EA9B79C" w14:textId="77777777" w:rsidR="000B258C" w:rsidRPr="000B258C" w:rsidRDefault="000B258C" w:rsidP="000B258C">
            <w:pPr>
              <w:rPr>
                <w:sz w:val="22"/>
                <w:szCs w:val="22"/>
              </w:rPr>
            </w:pPr>
            <w:r w:rsidRPr="000B258C">
              <w:rPr>
                <w:sz w:val="22"/>
                <w:szCs w:val="22"/>
              </w:rPr>
              <w:t xml:space="preserve">Binary flag for </w:t>
            </w:r>
            <w:proofErr w:type="spellStart"/>
            <w:r w:rsidRPr="000B258C">
              <w:rPr>
                <w:sz w:val="22"/>
                <w:szCs w:val="22"/>
              </w:rPr>
              <w:t>nondetect</w:t>
            </w:r>
            <w:proofErr w:type="spellEnd"/>
            <w:r w:rsidRPr="000B258C">
              <w:rPr>
                <w:sz w:val="22"/>
                <w:szCs w:val="22"/>
              </w:rPr>
              <w:t xml:space="preserve"> (1) or detection (0)</w:t>
            </w:r>
          </w:p>
        </w:tc>
      </w:tr>
      <w:tr w:rsidR="000B258C" w:rsidRPr="000B258C" w14:paraId="5D110627" w14:textId="77777777" w:rsidTr="000B258C">
        <w:trPr>
          <w:divId w:val="1901862411"/>
          <w:trHeight w:val="300"/>
          <w:jc w:val="center"/>
        </w:trPr>
        <w:tc>
          <w:tcPr>
            <w:tcW w:w="1837" w:type="dxa"/>
            <w:noWrap/>
            <w:hideMark/>
          </w:tcPr>
          <w:p w14:paraId="13A54D49" w14:textId="77777777" w:rsidR="000B258C" w:rsidRPr="000B258C" w:rsidRDefault="000B258C" w:rsidP="000B258C">
            <w:pPr>
              <w:rPr>
                <w:sz w:val="22"/>
                <w:szCs w:val="22"/>
              </w:rPr>
            </w:pPr>
            <w:proofErr w:type="spellStart"/>
            <w:r w:rsidRPr="000B258C">
              <w:rPr>
                <w:sz w:val="22"/>
                <w:szCs w:val="22"/>
              </w:rPr>
              <w:t>result_notes</w:t>
            </w:r>
            <w:proofErr w:type="spellEnd"/>
          </w:p>
        </w:tc>
        <w:tc>
          <w:tcPr>
            <w:tcW w:w="7518" w:type="dxa"/>
            <w:noWrap/>
            <w:hideMark/>
          </w:tcPr>
          <w:p w14:paraId="479292A8" w14:textId="77777777" w:rsidR="000B258C" w:rsidRPr="000B258C" w:rsidRDefault="000B258C" w:rsidP="000B258C">
            <w:pPr>
              <w:rPr>
                <w:sz w:val="22"/>
                <w:szCs w:val="22"/>
              </w:rPr>
            </w:pPr>
            <w:r w:rsidRPr="000B258C">
              <w:rPr>
                <w:sz w:val="22"/>
                <w:szCs w:val="22"/>
              </w:rPr>
              <w:t xml:space="preserve">Results flags (U, J, O, C, etc.; see </w:t>
            </w:r>
            <w:proofErr w:type="spellStart"/>
            <w:r w:rsidRPr="000B258C">
              <w:rPr>
                <w:sz w:val="22"/>
                <w:szCs w:val="22"/>
              </w:rPr>
              <w:t>Results_notes</w:t>
            </w:r>
            <w:proofErr w:type="spellEnd"/>
            <w:r w:rsidRPr="000B258C">
              <w:rPr>
                <w:sz w:val="22"/>
                <w:szCs w:val="22"/>
              </w:rPr>
              <w:t xml:space="preserve"> QA Flags table)</w:t>
            </w:r>
          </w:p>
        </w:tc>
      </w:tr>
      <w:tr w:rsidR="000B258C" w:rsidRPr="000B258C" w14:paraId="00DCFB1D" w14:textId="77777777" w:rsidTr="000B258C">
        <w:trPr>
          <w:divId w:val="1901862411"/>
          <w:trHeight w:val="300"/>
          <w:jc w:val="center"/>
        </w:trPr>
        <w:tc>
          <w:tcPr>
            <w:tcW w:w="1837" w:type="dxa"/>
            <w:noWrap/>
            <w:hideMark/>
          </w:tcPr>
          <w:p w14:paraId="7125FF2D" w14:textId="77777777" w:rsidR="000B258C" w:rsidRPr="000B258C" w:rsidRDefault="000B258C" w:rsidP="000B258C">
            <w:pPr>
              <w:rPr>
                <w:sz w:val="22"/>
                <w:szCs w:val="22"/>
              </w:rPr>
            </w:pPr>
            <w:proofErr w:type="spellStart"/>
            <w:r w:rsidRPr="000B258C">
              <w:rPr>
                <w:sz w:val="22"/>
                <w:szCs w:val="22"/>
              </w:rPr>
              <w:t>percent_recovery</w:t>
            </w:r>
            <w:proofErr w:type="spellEnd"/>
          </w:p>
        </w:tc>
        <w:tc>
          <w:tcPr>
            <w:tcW w:w="7518" w:type="dxa"/>
            <w:noWrap/>
            <w:hideMark/>
          </w:tcPr>
          <w:p w14:paraId="59BB4899" w14:textId="77777777" w:rsidR="000B258C" w:rsidRPr="000B258C" w:rsidRDefault="000B258C" w:rsidP="000B258C">
            <w:pPr>
              <w:rPr>
                <w:sz w:val="22"/>
                <w:szCs w:val="22"/>
              </w:rPr>
            </w:pPr>
            <w:r w:rsidRPr="000B258C">
              <w:rPr>
                <w:sz w:val="22"/>
                <w:szCs w:val="22"/>
              </w:rPr>
              <w:t>percent recovery of added standard (as appropriate)</w:t>
            </w:r>
          </w:p>
        </w:tc>
      </w:tr>
      <w:tr w:rsidR="000B258C" w:rsidRPr="000B258C" w14:paraId="5E0F33CE" w14:textId="77777777" w:rsidTr="000B258C">
        <w:trPr>
          <w:divId w:val="1901862411"/>
          <w:trHeight w:val="300"/>
          <w:jc w:val="center"/>
        </w:trPr>
        <w:tc>
          <w:tcPr>
            <w:tcW w:w="1837" w:type="dxa"/>
            <w:noWrap/>
            <w:hideMark/>
          </w:tcPr>
          <w:p w14:paraId="389A3FBB" w14:textId="77777777" w:rsidR="000B258C" w:rsidRPr="000B258C" w:rsidRDefault="000B258C" w:rsidP="000B258C">
            <w:pPr>
              <w:rPr>
                <w:sz w:val="22"/>
                <w:szCs w:val="22"/>
              </w:rPr>
            </w:pPr>
            <w:r w:rsidRPr="000B258C">
              <w:rPr>
                <w:sz w:val="22"/>
                <w:szCs w:val="22"/>
              </w:rPr>
              <w:t>comments</w:t>
            </w:r>
          </w:p>
        </w:tc>
        <w:tc>
          <w:tcPr>
            <w:tcW w:w="7518" w:type="dxa"/>
            <w:noWrap/>
            <w:hideMark/>
          </w:tcPr>
          <w:p w14:paraId="108BCB9E" w14:textId="77777777" w:rsidR="000B258C" w:rsidRPr="000B258C" w:rsidRDefault="000B258C" w:rsidP="000B258C">
            <w:pPr>
              <w:rPr>
                <w:sz w:val="22"/>
                <w:szCs w:val="22"/>
              </w:rPr>
            </w:pPr>
            <w:r w:rsidRPr="000B258C">
              <w:rPr>
                <w:sz w:val="22"/>
                <w:szCs w:val="22"/>
              </w:rPr>
              <w:t>Comments on sample collection or analysis</w:t>
            </w:r>
          </w:p>
        </w:tc>
      </w:tr>
    </w:tbl>
    <w:p w14:paraId="3EB5CF56" w14:textId="77777777" w:rsidR="003E1FAA" w:rsidRPr="00C34960" w:rsidRDefault="003E1FAA" w:rsidP="00736756">
      <w:pPr>
        <w:pStyle w:val="ExhibitTitle"/>
      </w:pPr>
      <w:r w:rsidRPr="00C34960">
        <w:t>Exhibit 4. VOC Results Flag Definitions</w:t>
      </w:r>
    </w:p>
    <w:tbl>
      <w:tblPr>
        <w:tblW w:w="9355" w:type="dxa"/>
        <w:tblLook w:val="04A0" w:firstRow="1" w:lastRow="0" w:firstColumn="1" w:lastColumn="0" w:noHBand="0" w:noVBand="1"/>
      </w:tblPr>
      <w:tblGrid>
        <w:gridCol w:w="960"/>
        <w:gridCol w:w="8395"/>
      </w:tblGrid>
      <w:tr w:rsidR="003E1FAA" w:rsidRPr="00913C9C" w14:paraId="464CB019" w14:textId="77777777" w:rsidTr="000B258C">
        <w:trPr>
          <w:trHeight w:val="315"/>
          <w:tblHeader/>
        </w:trPr>
        <w:tc>
          <w:tcPr>
            <w:tcW w:w="960" w:type="dxa"/>
            <w:tcBorders>
              <w:top w:val="single" w:sz="4" w:space="0" w:color="000000"/>
              <w:left w:val="single" w:sz="4" w:space="0" w:color="000000"/>
              <w:bottom w:val="single" w:sz="4" w:space="0" w:color="auto"/>
              <w:right w:val="single" w:sz="8" w:space="0" w:color="000000"/>
            </w:tcBorders>
            <w:shd w:val="clear" w:color="auto" w:fill="D9E2F3" w:themeFill="accent1" w:themeFillTint="33"/>
            <w:noWrap/>
            <w:vAlign w:val="center"/>
            <w:hideMark/>
          </w:tcPr>
          <w:p w14:paraId="5FDFF300" w14:textId="77777777" w:rsidR="003E1FAA" w:rsidRPr="00913C9C" w:rsidRDefault="003E1FAA" w:rsidP="003A3D33">
            <w:pPr>
              <w:spacing w:after="0" w:line="240" w:lineRule="auto"/>
              <w:jc w:val="center"/>
              <w:rPr>
                <w:rFonts w:ascii="Calibri" w:eastAsia="Times New Roman" w:hAnsi="Calibri" w:cs="Times New Roman"/>
                <w:b/>
                <w:bCs/>
                <w:color w:val="000000"/>
              </w:rPr>
            </w:pPr>
            <w:r w:rsidRPr="00913C9C">
              <w:rPr>
                <w:rFonts w:ascii="Calibri" w:eastAsia="Times New Roman" w:hAnsi="Calibri" w:cs="Times New Roman"/>
                <w:b/>
                <w:bCs/>
                <w:color w:val="000000"/>
              </w:rPr>
              <w:t>Flag</w:t>
            </w:r>
          </w:p>
        </w:tc>
        <w:tc>
          <w:tcPr>
            <w:tcW w:w="8395" w:type="dxa"/>
            <w:tcBorders>
              <w:top w:val="single" w:sz="4" w:space="0" w:color="000000"/>
              <w:left w:val="nil"/>
              <w:bottom w:val="single" w:sz="4" w:space="0" w:color="auto"/>
              <w:right w:val="single" w:sz="4" w:space="0" w:color="000000"/>
            </w:tcBorders>
            <w:shd w:val="clear" w:color="auto" w:fill="D9E2F3" w:themeFill="accent1" w:themeFillTint="33"/>
            <w:noWrap/>
            <w:vAlign w:val="center"/>
            <w:hideMark/>
          </w:tcPr>
          <w:p w14:paraId="2D7A4242" w14:textId="77777777" w:rsidR="003E1FAA" w:rsidRPr="00913C9C" w:rsidRDefault="003E1FAA" w:rsidP="003A3D33">
            <w:pPr>
              <w:spacing w:after="0" w:line="240" w:lineRule="auto"/>
              <w:jc w:val="center"/>
              <w:rPr>
                <w:rFonts w:ascii="Calibri" w:eastAsia="Times New Roman" w:hAnsi="Calibri" w:cs="Times New Roman"/>
                <w:b/>
                <w:bCs/>
                <w:color w:val="000000"/>
              </w:rPr>
            </w:pPr>
            <w:r w:rsidRPr="00913C9C">
              <w:rPr>
                <w:rFonts w:ascii="Calibri" w:eastAsia="Times New Roman" w:hAnsi="Calibri" w:cs="Times New Roman"/>
                <w:b/>
                <w:bCs/>
                <w:color w:val="000000"/>
              </w:rPr>
              <w:t>Definition</w:t>
            </w:r>
          </w:p>
        </w:tc>
      </w:tr>
      <w:tr w:rsidR="003E1FAA" w:rsidRPr="00913C9C" w14:paraId="1ED6D5CD"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C8BEC"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B</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0923D"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compound present in laboratory blank greater than reporting limit (and no background subtraction)</w:t>
            </w:r>
          </w:p>
        </w:tc>
      </w:tr>
      <w:tr w:rsidR="003E1FAA" w:rsidRPr="00913C9C" w14:paraId="64E67BBF"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4D052"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C</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8B222"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associated calibration verification standard failed project QC criteria</w:t>
            </w:r>
          </w:p>
        </w:tc>
      </w:tr>
      <w:tr w:rsidR="003E1FAA" w:rsidRPr="00913C9C" w14:paraId="6D03E8C2"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62D78"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D</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B41B0"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compound identified in an analysis at a secondary dilution factor</w:t>
            </w:r>
          </w:p>
        </w:tc>
      </w:tr>
      <w:tr w:rsidR="003E1FAA" w:rsidRPr="00913C9C" w14:paraId="68A1D5E4"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542ED"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E</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56007"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estimated value above highest calibration standard concentration</w:t>
            </w:r>
          </w:p>
        </w:tc>
      </w:tr>
      <w:tr w:rsidR="003E1FAA" w:rsidRPr="00913C9C" w14:paraId="09CD857E"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77481"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H</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D4931"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the analyte in question was quantitated using peak heights rather than peak areas for both the analyte and its internal standard.</w:t>
            </w:r>
          </w:p>
        </w:tc>
      </w:tr>
      <w:tr w:rsidR="003E1FAA" w:rsidRPr="00913C9C" w14:paraId="038067CB"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6D817"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I</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CAF5D"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associated internal standard failed project QC criteria</w:t>
            </w:r>
          </w:p>
        </w:tc>
      </w:tr>
      <w:tr w:rsidR="003E1FAA" w:rsidRPr="00913C9C" w14:paraId="7356B916"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A8486"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J</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B0835"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estimated value above method detection limit but below reporting/quantification limit</w:t>
            </w:r>
          </w:p>
        </w:tc>
      </w:tr>
      <w:tr w:rsidR="003E1FAA" w:rsidRPr="00913C9C" w14:paraId="17704B09"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7670B"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NA</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08FA1E"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no flag</w:t>
            </w:r>
          </w:p>
        </w:tc>
      </w:tr>
      <w:tr w:rsidR="003E1FAA" w:rsidRPr="00913C9C" w14:paraId="6C909476"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B4EBE"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O</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8AAE3"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Interference, compound could not be quantified because another compound overlapped.</w:t>
            </w:r>
          </w:p>
        </w:tc>
      </w:tr>
      <w:tr w:rsidR="003E1FAA" w:rsidRPr="00913C9C" w14:paraId="316DCD17"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C7672"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Q</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8A564"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value failed project QC criteria</w:t>
            </w:r>
          </w:p>
        </w:tc>
      </w:tr>
      <w:tr w:rsidR="003E1FAA" w:rsidRPr="00913C9C" w14:paraId="29FEC0BB"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61AF8A"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R</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82636"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rejected - the result was rejected due to a quality control issue (compound may or may not be present)</w:t>
            </w:r>
          </w:p>
        </w:tc>
      </w:tr>
      <w:tr w:rsidR="003E1FAA" w:rsidRPr="00913C9C" w14:paraId="2F3AB455"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49AFB"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S</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A48E1"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associated surrogate standard failed project QC criteria</w:t>
            </w:r>
          </w:p>
        </w:tc>
      </w:tr>
      <w:tr w:rsidR="003E1FAA" w:rsidRPr="00913C9C" w14:paraId="216C8D60"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4FD7D"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T</w:t>
            </w:r>
          </w:p>
        </w:tc>
        <w:tc>
          <w:tcPr>
            <w:tcW w:w="8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D91BA"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analyte peak was truncated</w:t>
            </w:r>
          </w:p>
        </w:tc>
      </w:tr>
      <w:tr w:rsidR="003E1FAA" w:rsidRPr="00913C9C" w14:paraId="232196FB" w14:textId="77777777" w:rsidTr="000B258C">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7858A4"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U</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D7156"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not detected (analysis below method detection limit)</w:t>
            </w:r>
          </w:p>
        </w:tc>
      </w:tr>
      <w:tr w:rsidR="003E1FAA" w:rsidRPr="00913C9C" w14:paraId="2DB7EBBA" w14:textId="77777777" w:rsidTr="000B258C">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9F180"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ND</w:t>
            </w:r>
          </w:p>
        </w:tc>
        <w:tc>
          <w:tcPr>
            <w:tcW w:w="8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29EEE" w14:textId="77777777" w:rsidR="003E1FAA" w:rsidRPr="00913C9C" w:rsidRDefault="003E1FAA" w:rsidP="003A3D33">
            <w:pPr>
              <w:spacing w:after="0" w:line="240" w:lineRule="auto"/>
              <w:rPr>
                <w:rFonts w:ascii="Calibri" w:eastAsia="Times New Roman" w:hAnsi="Calibri" w:cs="Times New Roman"/>
                <w:color w:val="000000"/>
              </w:rPr>
            </w:pPr>
            <w:r w:rsidRPr="00913C9C">
              <w:rPr>
                <w:rFonts w:ascii="Calibri" w:eastAsia="Times New Roman" w:hAnsi="Calibri" w:cs="Times New Roman"/>
                <w:color w:val="000000"/>
              </w:rPr>
              <w:t>not detected (analysis below method detection limit)</w:t>
            </w:r>
          </w:p>
        </w:tc>
      </w:tr>
    </w:tbl>
    <w:p w14:paraId="6A9AA788" w14:textId="77777777" w:rsidR="009B7EA7" w:rsidRDefault="009B7EA7" w:rsidP="009B7EA7">
      <w:pPr>
        <w:rPr>
          <w:b/>
        </w:rPr>
      </w:pPr>
    </w:p>
    <w:p w14:paraId="03DAFB31" w14:textId="74AEA270" w:rsidR="0063143A" w:rsidRPr="0063143A" w:rsidRDefault="0063143A" w:rsidP="009B7EA7">
      <w:pPr>
        <w:rPr>
          <w:b/>
        </w:rPr>
      </w:pPr>
      <w:r w:rsidRPr="0063143A">
        <w:rPr>
          <w:b/>
        </w:rPr>
        <w:t>Differential Pressure and Vacuum Data</w:t>
      </w:r>
    </w:p>
    <w:p w14:paraId="02E33842" w14:textId="70F2D4F8" w:rsidR="0057573D" w:rsidRDefault="0057573D" w:rsidP="009B7EA7">
      <w:pPr>
        <w:pStyle w:val="ListParagraph"/>
        <w:ind w:left="0"/>
      </w:pPr>
      <w:r>
        <w:t xml:space="preserve">In addition to the VOC data, the project collected both </w:t>
      </w:r>
      <w:proofErr w:type="spellStart"/>
      <w:r>
        <w:t>subslab</w:t>
      </w:r>
      <w:proofErr w:type="spellEnd"/>
      <w:r>
        <w:t xml:space="preserve"> to indoor air differential pressure data to see how this VI driving force was influenced by SVE system operation, and vacuum measurements at different subsurface and subsoil locations to measure and quantify the subsurface pressure field at the </w:t>
      </w:r>
      <w:r>
        <w:lastRenderedPageBreak/>
        <w:t>site. These data are include</w:t>
      </w:r>
      <w:r w:rsidR="0063143A">
        <w:t>d</w:t>
      </w:r>
      <w:r>
        <w:t xml:space="preserve"> as attachments to this submittal, </w:t>
      </w:r>
      <w:bookmarkStart w:id="2" w:name="_Hlk523404638"/>
      <w:r w:rsidR="00A81650">
        <w:t>SVE-VI</w:t>
      </w:r>
      <w:r w:rsidR="00A81650" w:rsidRPr="00A81650">
        <w:t>_</w:t>
      </w:r>
      <w:r w:rsidR="00C91A62">
        <w:t>TO-03_</w:t>
      </w:r>
      <w:r w:rsidR="00A81650" w:rsidRPr="00A81650">
        <w:t>Pre</w:t>
      </w:r>
      <w:r w:rsidR="00A81650">
        <w:t>s</w:t>
      </w:r>
      <w:r w:rsidR="00A81650" w:rsidRPr="00A81650">
        <w:t>sure_Data</w:t>
      </w:r>
      <w:r w:rsidR="00A81650">
        <w:t>_8-3</w:t>
      </w:r>
      <w:r w:rsidR="000C33DC">
        <w:t>1</w:t>
      </w:r>
      <w:r w:rsidR="00A81650">
        <w:t>-18</w:t>
      </w:r>
      <w:r w:rsidR="00A81650" w:rsidRPr="00A81650">
        <w:t>.xlsx</w:t>
      </w:r>
      <w:r w:rsidR="00A81650">
        <w:t xml:space="preserve"> and SVE-VI_</w:t>
      </w:r>
      <w:r w:rsidR="00C91A62">
        <w:t>TO-03_</w:t>
      </w:r>
      <w:r w:rsidR="00A81650" w:rsidRPr="00A81650">
        <w:t>Vacuum_Readings_08-3</w:t>
      </w:r>
      <w:r w:rsidR="000C33DC">
        <w:t>1</w:t>
      </w:r>
      <w:r w:rsidR="00A81650" w:rsidRPr="00A81650">
        <w:t>-18.xlsx</w:t>
      </w:r>
      <w:bookmarkEnd w:id="2"/>
      <w:r w:rsidR="00A81650">
        <w:t xml:space="preserve">, respectively. Each of these files contains a data dictionary </w:t>
      </w:r>
      <w:r w:rsidR="0063143A">
        <w:t>(</w:t>
      </w:r>
      <w:r w:rsidR="0063143A" w:rsidRPr="0063143A">
        <w:rPr>
          <w:b/>
        </w:rPr>
        <w:t>Exhibit 5</w:t>
      </w:r>
      <w:r w:rsidR="0063143A">
        <w:t xml:space="preserve"> and </w:t>
      </w:r>
      <w:r w:rsidR="0063143A" w:rsidRPr="0063143A">
        <w:rPr>
          <w:b/>
        </w:rPr>
        <w:t>Exhibit 6</w:t>
      </w:r>
      <w:r w:rsidR="0063143A">
        <w:t>).</w:t>
      </w:r>
    </w:p>
    <w:p w14:paraId="61F1EAF4" w14:textId="77777777" w:rsidR="0063143A" w:rsidRPr="0063143A" w:rsidRDefault="0063143A" w:rsidP="00736756">
      <w:pPr>
        <w:pStyle w:val="ExhibitTitle"/>
      </w:pPr>
      <w:r w:rsidRPr="0063143A">
        <w:t xml:space="preserve">Exhibit </w:t>
      </w:r>
      <w:r>
        <w:t>5</w:t>
      </w:r>
      <w:r w:rsidRPr="0063143A">
        <w:t xml:space="preserve">. SVE-VI </w:t>
      </w:r>
      <w:r w:rsidR="008B4791">
        <w:t>Differential</w:t>
      </w:r>
      <w:r w:rsidRPr="0063143A">
        <w:t xml:space="preserve"> </w:t>
      </w:r>
      <w:r w:rsidR="008B4791">
        <w:t xml:space="preserve">Pressure </w:t>
      </w:r>
      <w:r w:rsidRPr="0063143A">
        <w:t>Database Data Dictionary</w:t>
      </w:r>
    </w:p>
    <w:tbl>
      <w:tblPr>
        <w:tblW w:w="9265" w:type="dxa"/>
        <w:tblLook w:val="04A0" w:firstRow="1" w:lastRow="0" w:firstColumn="1" w:lastColumn="0" w:noHBand="0" w:noVBand="1"/>
      </w:tblPr>
      <w:tblGrid>
        <w:gridCol w:w="2300"/>
        <w:gridCol w:w="6965"/>
      </w:tblGrid>
      <w:tr w:rsidR="008B4791" w:rsidRPr="008B4791" w14:paraId="4D2534FF" w14:textId="77777777" w:rsidTr="00B0703B">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8CF8E94" w14:textId="77777777" w:rsidR="008B4791" w:rsidRPr="008B4791" w:rsidRDefault="008B4791" w:rsidP="008B4791">
            <w:pPr>
              <w:spacing w:after="0" w:line="240" w:lineRule="auto"/>
              <w:rPr>
                <w:rFonts w:ascii="Calibri" w:eastAsia="Times New Roman" w:hAnsi="Calibri" w:cs="Times New Roman"/>
                <w:b/>
                <w:bCs/>
                <w:color w:val="000000"/>
              </w:rPr>
            </w:pPr>
            <w:r w:rsidRPr="008B4791">
              <w:rPr>
                <w:rFonts w:ascii="Calibri" w:eastAsia="Times New Roman" w:hAnsi="Calibri" w:cs="Times New Roman"/>
                <w:b/>
                <w:bCs/>
                <w:color w:val="000000"/>
              </w:rPr>
              <w:t>Field</w:t>
            </w:r>
          </w:p>
        </w:tc>
        <w:tc>
          <w:tcPr>
            <w:tcW w:w="6965"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6D9D7883" w14:textId="77777777" w:rsidR="008B4791" w:rsidRPr="008B4791" w:rsidRDefault="008B4791" w:rsidP="008B4791">
            <w:pPr>
              <w:spacing w:after="0" w:line="240" w:lineRule="auto"/>
              <w:rPr>
                <w:rFonts w:ascii="Calibri" w:eastAsia="Times New Roman" w:hAnsi="Calibri" w:cs="Times New Roman"/>
                <w:b/>
                <w:bCs/>
                <w:color w:val="000000"/>
              </w:rPr>
            </w:pPr>
            <w:r w:rsidRPr="008B4791">
              <w:rPr>
                <w:rFonts w:ascii="Calibri" w:eastAsia="Times New Roman" w:hAnsi="Calibri" w:cs="Times New Roman"/>
                <w:b/>
                <w:bCs/>
                <w:color w:val="000000"/>
              </w:rPr>
              <w:t>Description</w:t>
            </w:r>
          </w:p>
        </w:tc>
      </w:tr>
      <w:tr w:rsidR="008B4791" w:rsidRPr="008B4791" w14:paraId="2E91517B" w14:textId="77777777" w:rsidTr="00913C9C">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76EFAC6" w14:textId="77777777" w:rsidR="008B4791" w:rsidRPr="008B4791" w:rsidRDefault="008B4791" w:rsidP="008B4791">
            <w:pPr>
              <w:spacing w:after="0" w:line="240" w:lineRule="auto"/>
              <w:rPr>
                <w:rFonts w:ascii="Calibri" w:eastAsia="Times New Roman" w:hAnsi="Calibri" w:cs="Times New Roman"/>
                <w:color w:val="000000"/>
              </w:rPr>
            </w:pPr>
            <w:proofErr w:type="spellStart"/>
            <w:r w:rsidRPr="008B4791">
              <w:rPr>
                <w:rFonts w:ascii="Calibri" w:eastAsia="Times New Roman" w:hAnsi="Calibri" w:cs="Times New Roman"/>
                <w:color w:val="000000"/>
              </w:rPr>
              <w:t>sys_loc_code</w:t>
            </w:r>
            <w:proofErr w:type="spellEnd"/>
          </w:p>
        </w:tc>
        <w:tc>
          <w:tcPr>
            <w:tcW w:w="6965" w:type="dxa"/>
            <w:tcBorders>
              <w:top w:val="nil"/>
              <w:left w:val="nil"/>
              <w:bottom w:val="single" w:sz="4" w:space="0" w:color="auto"/>
              <w:right w:val="single" w:sz="4" w:space="0" w:color="auto"/>
            </w:tcBorders>
            <w:shd w:val="clear" w:color="auto" w:fill="auto"/>
            <w:noWrap/>
            <w:vAlign w:val="bottom"/>
            <w:hideMark/>
          </w:tcPr>
          <w:p w14:paraId="67973320" w14:textId="77777777" w:rsidR="008B4791" w:rsidRPr="008B4791" w:rsidRDefault="008B4791" w:rsidP="008B4791">
            <w:pPr>
              <w:spacing w:after="0" w:line="240" w:lineRule="auto"/>
              <w:rPr>
                <w:rFonts w:ascii="Calibri" w:eastAsia="Times New Roman" w:hAnsi="Calibri" w:cs="Times New Roman"/>
                <w:color w:val="000000"/>
              </w:rPr>
            </w:pPr>
            <w:r w:rsidRPr="008B4791">
              <w:rPr>
                <w:rFonts w:ascii="Calibri" w:eastAsia="Times New Roman" w:hAnsi="Calibri" w:cs="Times New Roman"/>
                <w:color w:val="000000"/>
              </w:rPr>
              <w:t>unique location ID (station ID)</w:t>
            </w:r>
          </w:p>
        </w:tc>
      </w:tr>
      <w:tr w:rsidR="008B4791" w:rsidRPr="008B4791" w14:paraId="4117D617" w14:textId="77777777" w:rsidTr="00913C9C">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7EFA305" w14:textId="77777777" w:rsidR="008B4791" w:rsidRPr="008B4791" w:rsidRDefault="008B4791" w:rsidP="008B4791">
            <w:pPr>
              <w:spacing w:after="0" w:line="240" w:lineRule="auto"/>
              <w:rPr>
                <w:rFonts w:ascii="Calibri" w:eastAsia="Times New Roman" w:hAnsi="Calibri" w:cs="Times New Roman"/>
                <w:color w:val="000000"/>
              </w:rPr>
            </w:pPr>
            <w:r w:rsidRPr="008B4791">
              <w:rPr>
                <w:rFonts w:ascii="Calibri" w:eastAsia="Times New Roman" w:hAnsi="Calibri" w:cs="Times New Roman"/>
                <w:color w:val="000000"/>
              </w:rPr>
              <w:t>date</w:t>
            </w:r>
          </w:p>
        </w:tc>
        <w:tc>
          <w:tcPr>
            <w:tcW w:w="6965" w:type="dxa"/>
            <w:tcBorders>
              <w:top w:val="nil"/>
              <w:left w:val="nil"/>
              <w:bottom w:val="single" w:sz="4" w:space="0" w:color="auto"/>
              <w:right w:val="single" w:sz="4" w:space="0" w:color="auto"/>
            </w:tcBorders>
            <w:shd w:val="clear" w:color="auto" w:fill="auto"/>
            <w:noWrap/>
            <w:vAlign w:val="bottom"/>
            <w:hideMark/>
          </w:tcPr>
          <w:p w14:paraId="5F4DA74B" w14:textId="77777777" w:rsidR="008B4791" w:rsidRPr="008B4791" w:rsidRDefault="008B4791" w:rsidP="008B4791">
            <w:pPr>
              <w:spacing w:after="0" w:line="240" w:lineRule="auto"/>
              <w:rPr>
                <w:rFonts w:ascii="Calibri" w:eastAsia="Times New Roman" w:hAnsi="Calibri" w:cs="Times New Roman"/>
                <w:color w:val="000000"/>
              </w:rPr>
            </w:pPr>
            <w:r w:rsidRPr="008B4791">
              <w:rPr>
                <w:rFonts w:ascii="Calibri" w:eastAsia="Times New Roman" w:hAnsi="Calibri" w:cs="Times New Roman"/>
                <w:color w:val="000000"/>
              </w:rPr>
              <w:t>date measurement made</w:t>
            </w:r>
          </w:p>
        </w:tc>
      </w:tr>
      <w:tr w:rsidR="008B4791" w:rsidRPr="008B4791" w14:paraId="1BFEDC2C" w14:textId="77777777" w:rsidTr="00913C9C">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A7D1522" w14:textId="77777777" w:rsidR="008B4791" w:rsidRPr="008B4791" w:rsidRDefault="008B4791" w:rsidP="008B4791">
            <w:pPr>
              <w:spacing w:after="0" w:line="240" w:lineRule="auto"/>
              <w:rPr>
                <w:rFonts w:ascii="Calibri" w:eastAsia="Times New Roman" w:hAnsi="Calibri" w:cs="Times New Roman"/>
                <w:color w:val="000000"/>
              </w:rPr>
            </w:pPr>
            <w:r w:rsidRPr="008B4791">
              <w:rPr>
                <w:rFonts w:ascii="Calibri" w:eastAsia="Times New Roman" w:hAnsi="Calibri" w:cs="Times New Roman"/>
                <w:color w:val="000000"/>
              </w:rPr>
              <w:t>time</w:t>
            </w:r>
          </w:p>
        </w:tc>
        <w:tc>
          <w:tcPr>
            <w:tcW w:w="6965" w:type="dxa"/>
            <w:tcBorders>
              <w:top w:val="nil"/>
              <w:left w:val="nil"/>
              <w:bottom w:val="single" w:sz="4" w:space="0" w:color="auto"/>
              <w:right w:val="single" w:sz="4" w:space="0" w:color="auto"/>
            </w:tcBorders>
            <w:shd w:val="clear" w:color="auto" w:fill="auto"/>
            <w:noWrap/>
            <w:vAlign w:val="bottom"/>
            <w:hideMark/>
          </w:tcPr>
          <w:p w14:paraId="3BA09EF4" w14:textId="77777777" w:rsidR="008B4791" w:rsidRPr="008B4791" w:rsidRDefault="008B4791" w:rsidP="008B4791">
            <w:pPr>
              <w:spacing w:after="0" w:line="240" w:lineRule="auto"/>
              <w:rPr>
                <w:rFonts w:ascii="Calibri" w:eastAsia="Times New Roman" w:hAnsi="Calibri" w:cs="Times New Roman"/>
                <w:color w:val="000000"/>
              </w:rPr>
            </w:pPr>
            <w:r w:rsidRPr="008B4791">
              <w:rPr>
                <w:rFonts w:ascii="Calibri" w:eastAsia="Times New Roman" w:hAnsi="Calibri" w:cs="Times New Roman"/>
                <w:color w:val="000000"/>
              </w:rPr>
              <w:t>time measurement made</w:t>
            </w:r>
          </w:p>
        </w:tc>
      </w:tr>
      <w:tr w:rsidR="008B4791" w:rsidRPr="008B4791" w14:paraId="10E945A3" w14:textId="77777777" w:rsidTr="00913C9C">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B513C2F" w14:textId="77777777" w:rsidR="008B4791" w:rsidRPr="008B4791" w:rsidRDefault="008B4791" w:rsidP="008B4791">
            <w:pPr>
              <w:spacing w:after="0" w:line="240" w:lineRule="auto"/>
              <w:rPr>
                <w:rFonts w:ascii="Calibri" w:eastAsia="Times New Roman" w:hAnsi="Calibri" w:cs="Times New Roman"/>
                <w:color w:val="000000"/>
              </w:rPr>
            </w:pPr>
            <w:proofErr w:type="spellStart"/>
            <w:r w:rsidRPr="008B4791">
              <w:rPr>
                <w:rFonts w:ascii="Calibri" w:eastAsia="Times New Roman" w:hAnsi="Calibri" w:cs="Times New Roman"/>
                <w:color w:val="000000"/>
              </w:rPr>
              <w:t>ambient_temp_C</w:t>
            </w:r>
            <w:proofErr w:type="spellEnd"/>
          </w:p>
        </w:tc>
        <w:tc>
          <w:tcPr>
            <w:tcW w:w="6965" w:type="dxa"/>
            <w:tcBorders>
              <w:top w:val="nil"/>
              <w:left w:val="nil"/>
              <w:bottom w:val="single" w:sz="4" w:space="0" w:color="auto"/>
              <w:right w:val="single" w:sz="4" w:space="0" w:color="auto"/>
            </w:tcBorders>
            <w:shd w:val="clear" w:color="auto" w:fill="auto"/>
            <w:noWrap/>
            <w:vAlign w:val="bottom"/>
            <w:hideMark/>
          </w:tcPr>
          <w:p w14:paraId="167E9365" w14:textId="77777777" w:rsidR="008B4791" w:rsidRPr="008B4791" w:rsidRDefault="008B4791" w:rsidP="008B4791">
            <w:pPr>
              <w:spacing w:after="0" w:line="240" w:lineRule="auto"/>
              <w:rPr>
                <w:rFonts w:ascii="Calibri" w:eastAsia="Times New Roman" w:hAnsi="Calibri" w:cs="Times New Roman"/>
                <w:color w:val="000000"/>
              </w:rPr>
            </w:pPr>
            <w:r w:rsidRPr="008B4791">
              <w:rPr>
                <w:rFonts w:ascii="Calibri" w:eastAsia="Times New Roman" w:hAnsi="Calibri" w:cs="Times New Roman"/>
                <w:color w:val="000000"/>
              </w:rPr>
              <w:t>ambient temperature during measurement</w:t>
            </w:r>
            <w:r w:rsidR="00913C9C">
              <w:rPr>
                <w:rFonts w:ascii="Calibri" w:eastAsia="Times New Roman" w:hAnsi="Calibri" w:cs="Times New Roman"/>
                <w:color w:val="000000"/>
              </w:rPr>
              <w:t xml:space="preserve"> (degrees Centigrade)</w:t>
            </w:r>
          </w:p>
        </w:tc>
      </w:tr>
      <w:tr w:rsidR="008B4791" w:rsidRPr="008B4791" w14:paraId="22132CCB" w14:textId="77777777" w:rsidTr="00913C9C">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63A9C92" w14:textId="77777777" w:rsidR="008B4791" w:rsidRPr="008B4791" w:rsidRDefault="008B4791" w:rsidP="008B4791">
            <w:pPr>
              <w:spacing w:after="0" w:line="240" w:lineRule="auto"/>
              <w:rPr>
                <w:rFonts w:ascii="Calibri" w:eastAsia="Times New Roman" w:hAnsi="Calibri" w:cs="Times New Roman"/>
                <w:color w:val="000000"/>
              </w:rPr>
            </w:pPr>
            <w:r w:rsidRPr="008B4791">
              <w:rPr>
                <w:rFonts w:ascii="Calibri" w:eastAsia="Times New Roman" w:hAnsi="Calibri" w:cs="Times New Roman"/>
                <w:color w:val="000000"/>
              </w:rPr>
              <w:t>pressure_inH2O</w:t>
            </w:r>
          </w:p>
        </w:tc>
        <w:tc>
          <w:tcPr>
            <w:tcW w:w="6965" w:type="dxa"/>
            <w:tcBorders>
              <w:top w:val="nil"/>
              <w:left w:val="nil"/>
              <w:bottom w:val="single" w:sz="4" w:space="0" w:color="auto"/>
              <w:right w:val="single" w:sz="4" w:space="0" w:color="auto"/>
            </w:tcBorders>
            <w:shd w:val="clear" w:color="auto" w:fill="auto"/>
            <w:noWrap/>
            <w:vAlign w:val="bottom"/>
            <w:hideMark/>
          </w:tcPr>
          <w:p w14:paraId="4195921D" w14:textId="77777777" w:rsidR="008B4791" w:rsidRPr="008B4791" w:rsidRDefault="008B4791" w:rsidP="008B4791">
            <w:pPr>
              <w:spacing w:after="0" w:line="240" w:lineRule="auto"/>
              <w:rPr>
                <w:rFonts w:ascii="Calibri" w:eastAsia="Times New Roman" w:hAnsi="Calibri" w:cs="Times New Roman"/>
                <w:color w:val="000000"/>
              </w:rPr>
            </w:pPr>
            <w:r w:rsidRPr="008B4791">
              <w:rPr>
                <w:rFonts w:ascii="Calibri" w:eastAsia="Times New Roman" w:hAnsi="Calibri" w:cs="Times New Roman"/>
                <w:color w:val="000000"/>
              </w:rPr>
              <w:t>measured pressure (inches water column)</w:t>
            </w:r>
          </w:p>
        </w:tc>
      </w:tr>
      <w:tr w:rsidR="008B4791" w:rsidRPr="008B4791" w14:paraId="1CD73F4D" w14:textId="77777777" w:rsidTr="00913C9C">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4AA1B72" w14:textId="77777777" w:rsidR="008B4791" w:rsidRPr="008B4791" w:rsidRDefault="008B4791" w:rsidP="008B4791">
            <w:pPr>
              <w:spacing w:after="0" w:line="240" w:lineRule="auto"/>
              <w:rPr>
                <w:rFonts w:ascii="Calibri" w:eastAsia="Times New Roman" w:hAnsi="Calibri" w:cs="Times New Roman"/>
                <w:color w:val="000000"/>
              </w:rPr>
            </w:pPr>
            <w:proofErr w:type="spellStart"/>
            <w:r w:rsidRPr="008B4791">
              <w:rPr>
                <w:rFonts w:ascii="Calibri" w:eastAsia="Times New Roman" w:hAnsi="Calibri" w:cs="Times New Roman"/>
                <w:color w:val="000000"/>
              </w:rPr>
              <w:t>pressure_Pa</w:t>
            </w:r>
            <w:proofErr w:type="spellEnd"/>
          </w:p>
        </w:tc>
        <w:tc>
          <w:tcPr>
            <w:tcW w:w="6965" w:type="dxa"/>
            <w:tcBorders>
              <w:top w:val="nil"/>
              <w:left w:val="nil"/>
              <w:bottom w:val="single" w:sz="4" w:space="0" w:color="auto"/>
              <w:right w:val="single" w:sz="4" w:space="0" w:color="auto"/>
            </w:tcBorders>
            <w:shd w:val="clear" w:color="auto" w:fill="auto"/>
            <w:noWrap/>
            <w:vAlign w:val="bottom"/>
            <w:hideMark/>
          </w:tcPr>
          <w:p w14:paraId="1CEBCAFE" w14:textId="77777777" w:rsidR="008B4791" w:rsidRPr="008B4791" w:rsidRDefault="008B4791" w:rsidP="008B4791">
            <w:pPr>
              <w:spacing w:after="0" w:line="240" w:lineRule="auto"/>
              <w:rPr>
                <w:rFonts w:ascii="Calibri" w:eastAsia="Times New Roman" w:hAnsi="Calibri" w:cs="Times New Roman"/>
                <w:color w:val="000000"/>
              </w:rPr>
            </w:pPr>
            <w:r w:rsidRPr="008B4791">
              <w:rPr>
                <w:rFonts w:ascii="Calibri" w:eastAsia="Times New Roman" w:hAnsi="Calibri" w:cs="Times New Roman"/>
                <w:color w:val="000000"/>
              </w:rPr>
              <w:t>measured pressure (Pascal)</w:t>
            </w:r>
          </w:p>
        </w:tc>
      </w:tr>
    </w:tbl>
    <w:p w14:paraId="5B16522A" w14:textId="0067A894" w:rsidR="000B258C" w:rsidRDefault="0063143A" w:rsidP="000B258C">
      <w:pPr>
        <w:pStyle w:val="ExhibitTitle"/>
      </w:pPr>
      <w:r w:rsidRPr="0063143A">
        <w:t xml:space="preserve">Exhibit 6. SVE-VI Vacuum </w:t>
      </w:r>
      <w:r w:rsidR="00DC07E4">
        <w:t xml:space="preserve">Readings </w:t>
      </w:r>
      <w:r w:rsidRPr="0063143A">
        <w:t>Database Data Dictionary</w:t>
      </w:r>
    </w:p>
    <w:tbl>
      <w:tblPr>
        <w:tblStyle w:val="TableGrid"/>
        <w:tblW w:w="0" w:type="auto"/>
        <w:tblLook w:val="04A0" w:firstRow="1" w:lastRow="0" w:firstColumn="1" w:lastColumn="0" w:noHBand="0" w:noVBand="1"/>
      </w:tblPr>
      <w:tblGrid>
        <w:gridCol w:w="2335"/>
        <w:gridCol w:w="6461"/>
      </w:tblGrid>
      <w:tr w:rsidR="000B258C" w:rsidRPr="000B258C" w14:paraId="28235D64" w14:textId="77777777" w:rsidTr="000B258C">
        <w:trPr>
          <w:divId w:val="276058766"/>
          <w:trHeight w:val="300"/>
        </w:trPr>
        <w:tc>
          <w:tcPr>
            <w:tcW w:w="2335" w:type="dxa"/>
            <w:shd w:val="clear" w:color="auto" w:fill="D9E2F3" w:themeFill="accent1" w:themeFillTint="33"/>
            <w:noWrap/>
            <w:hideMark/>
          </w:tcPr>
          <w:p w14:paraId="40A94BA1" w14:textId="210F17F2" w:rsidR="000B258C" w:rsidRPr="000B258C" w:rsidRDefault="000B258C" w:rsidP="000B258C">
            <w:pPr>
              <w:keepNext/>
              <w:keepLines/>
              <w:rPr>
                <w:b/>
                <w:sz w:val="22"/>
                <w:szCs w:val="22"/>
              </w:rPr>
            </w:pPr>
            <w:r w:rsidRPr="000B258C">
              <w:rPr>
                <w:b/>
                <w:sz w:val="22"/>
                <w:szCs w:val="22"/>
              </w:rPr>
              <w:t xml:space="preserve">Field </w:t>
            </w:r>
          </w:p>
        </w:tc>
        <w:tc>
          <w:tcPr>
            <w:tcW w:w="6461" w:type="dxa"/>
            <w:shd w:val="clear" w:color="auto" w:fill="D9E2F3" w:themeFill="accent1" w:themeFillTint="33"/>
            <w:noWrap/>
            <w:hideMark/>
          </w:tcPr>
          <w:p w14:paraId="39C726AC" w14:textId="77777777" w:rsidR="000B258C" w:rsidRPr="000B258C" w:rsidRDefault="000B258C" w:rsidP="000B258C">
            <w:pPr>
              <w:rPr>
                <w:b/>
                <w:sz w:val="22"/>
                <w:szCs w:val="22"/>
              </w:rPr>
            </w:pPr>
            <w:r w:rsidRPr="000B258C">
              <w:rPr>
                <w:b/>
                <w:sz w:val="22"/>
                <w:szCs w:val="22"/>
              </w:rPr>
              <w:t>Description</w:t>
            </w:r>
          </w:p>
        </w:tc>
      </w:tr>
      <w:tr w:rsidR="000B258C" w:rsidRPr="000B258C" w14:paraId="36196D79" w14:textId="77777777" w:rsidTr="000B258C">
        <w:trPr>
          <w:divId w:val="276058766"/>
          <w:trHeight w:val="300"/>
        </w:trPr>
        <w:tc>
          <w:tcPr>
            <w:tcW w:w="2335" w:type="dxa"/>
            <w:noWrap/>
            <w:hideMark/>
          </w:tcPr>
          <w:p w14:paraId="6FC2950D" w14:textId="77777777" w:rsidR="000B258C" w:rsidRPr="000B258C" w:rsidRDefault="000B258C" w:rsidP="000B258C">
            <w:pPr>
              <w:keepNext/>
              <w:keepLines/>
              <w:rPr>
                <w:sz w:val="22"/>
                <w:szCs w:val="22"/>
              </w:rPr>
            </w:pPr>
            <w:proofErr w:type="spellStart"/>
            <w:r w:rsidRPr="000B258C">
              <w:rPr>
                <w:sz w:val="22"/>
                <w:szCs w:val="22"/>
              </w:rPr>
              <w:t>sys_loc_code</w:t>
            </w:r>
            <w:proofErr w:type="spellEnd"/>
          </w:p>
        </w:tc>
        <w:tc>
          <w:tcPr>
            <w:tcW w:w="6461" w:type="dxa"/>
            <w:noWrap/>
            <w:hideMark/>
          </w:tcPr>
          <w:p w14:paraId="16DCF7C1" w14:textId="77777777" w:rsidR="000B258C" w:rsidRPr="000B258C" w:rsidRDefault="000B258C" w:rsidP="000B258C">
            <w:pPr>
              <w:rPr>
                <w:sz w:val="22"/>
                <w:szCs w:val="22"/>
              </w:rPr>
            </w:pPr>
            <w:r w:rsidRPr="000B258C">
              <w:rPr>
                <w:sz w:val="22"/>
                <w:szCs w:val="22"/>
              </w:rPr>
              <w:t>Unique location ID (station ID)</w:t>
            </w:r>
          </w:p>
        </w:tc>
      </w:tr>
      <w:tr w:rsidR="000B258C" w:rsidRPr="000B258C" w14:paraId="3105EBA6" w14:textId="77777777" w:rsidTr="000B258C">
        <w:trPr>
          <w:divId w:val="276058766"/>
          <w:trHeight w:val="300"/>
        </w:trPr>
        <w:tc>
          <w:tcPr>
            <w:tcW w:w="2335" w:type="dxa"/>
            <w:noWrap/>
            <w:hideMark/>
          </w:tcPr>
          <w:p w14:paraId="088983F1" w14:textId="77777777" w:rsidR="000B258C" w:rsidRPr="000B258C" w:rsidRDefault="000B258C" w:rsidP="000B258C">
            <w:pPr>
              <w:keepNext/>
              <w:keepLines/>
              <w:rPr>
                <w:sz w:val="22"/>
                <w:szCs w:val="22"/>
              </w:rPr>
            </w:pPr>
            <w:proofErr w:type="spellStart"/>
            <w:r w:rsidRPr="000B258C">
              <w:rPr>
                <w:sz w:val="22"/>
                <w:szCs w:val="22"/>
              </w:rPr>
              <w:t>depth_ft</w:t>
            </w:r>
            <w:proofErr w:type="spellEnd"/>
          </w:p>
        </w:tc>
        <w:tc>
          <w:tcPr>
            <w:tcW w:w="6461" w:type="dxa"/>
            <w:noWrap/>
            <w:hideMark/>
          </w:tcPr>
          <w:p w14:paraId="1E9764E2" w14:textId="77777777" w:rsidR="000B258C" w:rsidRPr="000B258C" w:rsidRDefault="000B258C" w:rsidP="000B258C">
            <w:pPr>
              <w:rPr>
                <w:sz w:val="22"/>
                <w:szCs w:val="22"/>
              </w:rPr>
            </w:pPr>
            <w:r w:rsidRPr="000B258C">
              <w:rPr>
                <w:sz w:val="22"/>
                <w:szCs w:val="22"/>
              </w:rPr>
              <w:t>probe depth in feet</w:t>
            </w:r>
          </w:p>
        </w:tc>
      </w:tr>
      <w:tr w:rsidR="000B258C" w:rsidRPr="000B258C" w14:paraId="1AC7B7EB" w14:textId="77777777" w:rsidTr="000B258C">
        <w:trPr>
          <w:divId w:val="276058766"/>
          <w:trHeight w:val="300"/>
        </w:trPr>
        <w:tc>
          <w:tcPr>
            <w:tcW w:w="2335" w:type="dxa"/>
            <w:noWrap/>
            <w:hideMark/>
          </w:tcPr>
          <w:p w14:paraId="4B2E05F6" w14:textId="77777777" w:rsidR="000B258C" w:rsidRPr="000B258C" w:rsidRDefault="000B258C" w:rsidP="000B258C">
            <w:pPr>
              <w:keepNext/>
              <w:keepLines/>
              <w:rPr>
                <w:sz w:val="22"/>
                <w:szCs w:val="22"/>
              </w:rPr>
            </w:pPr>
            <w:proofErr w:type="spellStart"/>
            <w:r w:rsidRPr="000B258C">
              <w:rPr>
                <w:sz w:val="22"/>
                <w:szCs w:val="22"/>
              </w:rPr>
              <w:t>sample_date</w:t>
            </w:r>
            <w:proofErr w:type="spellEnd"/>
          </w:p>
        </w:tc>
        <w:tc>
          <w:tcPr>
            <w:tcW w:w="6461" w:type="dxa"/>
            <w:noWrap/>
            <w:hideMark/>
          </w:tcPr>
          <w:p w14:paraId="3FA79339" w14:textId="77777777" w:rsidR="000B258C" w:rsidRPr="000B258C" w:rsidRDefault="000B258C" w:rsidP="000B258C">
            <w:pPr>
              <w:rPr>
                <w:sz w:val="22"/>
                <w:szCs w:val="22"/>
              </w:rPr>
            </w:pPr>
            <w:r w:rsidRPr="000B258C">
              <w:rPr>
                <w:sz w:val="22"/>
                <w:szCs w:val="22"/>
              </w:rPr>
              <w:t>date measurement made</w:t>
            </w:r>
          </w:p>
        </w:tc>
      </w:tr>
      <w:tr w:rsidR="000B258C" w:rsidRPr="000B258C" w14:paraId="67638048" w14:textId="77777777" w:rsidTr="000B258C">
        <w:trPr>
          <w:divId w:val="276058766"/>
          <w:trHeight w:val="300"/>
        </w:trPr>
        <w:tc>
          <w:tcPr>
            <w:tcW w:w="2335" w:type="dxa"/>
            <w:noWrap/>
            <w:hideMark/>
          </w:tcPr>
          <w:p w14:paraId="7AE76D69" w14:textId="77777777" w:rsidR="000B258C" w:rsidRPr="000B258C" w:rsidRDefault="000B258C" w:rsidP="000B258C">
            <w:pPr>
              <w:keepNext/>
              <w:keepLines/>
              <w:rPr>
                <w:sz w:val="22"/>
                <w:szCs w:val="22"/>
              </w:rPr>
            </w:pPr>
            <w:proofErr w:type="spellStart"/>
            <w:r w:rsidRPr="000B258C">
              <w:rPr>
                <w:sz w:val="22"/>
                <w:szCs w:val="22"/>
              </w:rPr>
              <w:t>flow_scfm</w:t>
            </w:r>
            <w:proofErr w:type="spellEnd"/>
          </w:p>
        </w:tc>
        <w:tc>
          <w:tcPr>
            <w:tcW w:w="6461" w:type="dxa"/>
            <w:noWrap/>
            <w:hideMark/>
          </w:tcPr>
          <w:p w14:paraId="1B5D5A72" w14:textId="77777777" w:rsidR="000B258C" w:rsidRPr="000B258C" w:rsidRDefault="000B258C" w:rsidP="000B258C">
            <w:pPr>
              <w:rPr>
                <w:sz w:val="22"/>
                <w:szCs w:val="22"/>
              </w:rPr>
            </w:pPr>
            <w:r w:rsidRPr="000B258C">
              <w:rPr>
                <w:sz w:val="22"/>
                <w:szCs w:val="22"/>
              </w:rPr>
              <w:t>flow in standard cubic feet per minute</w:t>
            </w:r>
          </w:p>
        </w:tc>
      </w:tr>
      <w:tr w:rsidR="000B258C" w:rsidRPr="000B258C" w14:paraId="7A8350B9" w14:textId="77777777" w:rsidTr="000B258C">
        <w:trPr>
          <w:divId w:val="276058766"/>
          <w:trHeight w:val="300"/>
        </w:trPr>
        <w:tc>
          <w:tcPr>
            <w:tcW w:w="2335" w:type="dxa"/>
            <w:noWrap/>
            <w:hideMark/>
          </w:tcPr>
          <w:p w14:paraId="6F3D4530" w14:textId="77777777" w:rsidR="000B258C" w:rsidRPr="000B258C" w:rsidRDefault="000B258C" w:rsidP="000B258C">
            <w:pPr>
              <w:keepNext/>
              <w:keepLines/>
              <w:rPr>
                <w:sz w:val="22"/>
                <w:szCs w:val="22"/>
              </w:rPr>
            </w:pPr>
            <w:r w:rsidRPr="000B258C">
              <w:rPr>
                <w:sz w:val="22"/>
                <w:szCs w:val="22"/>
              </w:rPr>
              <w:t>before/after</w:t>
            </w:r>
          </w:p>
        </w:tc>
        <w:tc>
          <w:tcPr>
            <w:tcW w:w="6461" w:type="dxa"/>
            <w:shd w:val="clear" w:color="auto" w:fill="auto"/>
            <w:noWrap/>
            <w:hideMark/>
          </w:tcPr>
          <w:p w14:paraId="1C942605" w14:textId="77777777" w:rsidR="000B258C" w:rsidRPr="000B258C" w:rsidRDefault="000B258C" w:rsidP="000B258C">
            <w:pPr>
              <w:rPr>
                <w:sz w:val="22"/>
                <w:szCs w:val="22"/>
              </w:rPr>
            </w:pPr>
            <w:r w:rsidRPr="000B258C">
              <w:rPr>
                <w:sz w:val="22"/>
                <w:szCs w:val="22"/>
              </w:rPr>
              <w:t>before or after configuration or extraction rate change</w:t>
            </w:r>
          </w:p>
        </w:tc>
      </w:tr>
      <w:tr w:rsidR="000B258C" w:rsidRPr="000B258C" w14:paraId="41F9A3D6" w14:textId="77777777" w:rsidTr="000B258C">
        <w:trPr>
          <w:divId w:val="276058766"/>
          <w:trHeight w:val="300"/>
        </w:trPr>
        <w:tc>
          <w:tcPr>
            <w:tcW w:w="2335" w:type="dxa"/>
            <w:noWrap/>
            <w:hideMark/>
          </w:tcPr>
          <w:p w14:paraId="1ABCD148" w14:textId="77777777" w:rsidR="000B258C" w:rsidRPr="000B258C" w:rsidRDefault="000B258C" w:rsidP="000B258C">
            <w:pPr>
              <w:keepNext/>
              <w:keepLines/>
              <w:rPr>
                <w:sz w:val="22"/>
                <w:szCs w:val="22"/>
              </w:rPr>
            </w:pPr>
            <w:proofErr w:type="spellStart"/>
            <w:r w:rsidRPr="000B258C">
              <w:rPr>
                <w:sz w:val="22"/>
                <w:szCs w:val="22"/>
              </w:rPr>
              <w:t>vacuum_response</w:t>
            </w:r>
            <w:proofErr w:type="spellEnd"/>
          </w:p>
        </w:tc>
        <w:tc>
          <w:tcPr>
            <w:tcW w:w="6461" w:type="dxa"/>
            <w:shd w:val="clear" w:color="auto" w:fill="auto"/>
            <w:noWrap/>
            <w:hideMark/>
          </w:tcPr>
          <w:p w14:paraId="58B5653C" w14:textId="77777777" w:rsidR="000B258C" w:rsidRPr="000B258C" w:rsidRDefault="000B258C" w:rsidP="000B258C">
            <w:pPr>
              <w:rPr>
                <w:sz w:val="22"/>
                <w:szCs w:val="22"/>
              </w:rPr>
            </w:pPr>
            <w:r w:rsidRPr="000B258C">
              <w:rPr>
                <w:sz w:val="22"/>
                <w:szCs w:val="22"/>
              </w:rPr>
              <w:t>measured vacuum (inches of water)</w:t>
            </w:r>
          </w:p>
        </w:tc>
      </w:tr>
    </w:tbl>
    <w:p w14:paraId="2126FCFF" w14:textId="77777777" w:rsidR="009B7EA7" w:rsidRDefault="009B7EA7" w:rsidP="009B7EA7">
      <w:pPr>
        <w:tabs>
          <w:tab w:val="left" w:pos="3030"/>
        </w:tabs>
        <w:rPr>
          <w:rFonts w:ascii="Calibri" w:eastAsia="Times New Roman" w:hAnsi="Calibri" w:cs="Times New Roman"/>
          <w:b/>
          <w:color w:val="000000"/>
        </w:rPr>
      </w:pPr>
    </w:p>
    <w:p w14:paraId="67226083" w14:textId="48813DA7" w:rsidR="009B7EA7" w:rsidRPr="00C91A62" w:rsidRDefault="009B7EA7" w:rsidP="009B7EA7">
      <w:pPr>
        <w:tabs>
          <w:tab w:val="left" w:pos="3030"/>
        </w:tabs>
        <w:rPr>
          <w:rFonts w:ascii="Calibri" w:eastAsia="Times New Roman" w:hAnsi="Calibri" w:cs="Times New Roman"/>
          <w:b/>
          <w:color w:val="000000"/>
        </w:rPr>
      </w:pPr>
      <w:r w:rsidRPr="00C91A62">
        <w:rPr>
          <w:rFonts w:ascii="Calibri" w:eastAsia="Times New Roman" w:hAnsi="Calibri" w:cs="Times New Roman"/>
          <w:b/>
          <w:color w:val="000000"/>
        </w:rPr>
        <w:t>Quality Assurance/Quality Control (QA/QC)</w:t>
      </w:r>
    </w:p>
    <w:p w14:paraId="2CDD7FEC" w14:textId="77777777" w:rsidR="009B7EA7" w:rsidRDefault="009B7EA7" w:rsidP="009B7EA7">
      <w:pPr>
        <w:tabs>
          <w:tab w:val="left" w:pos="3030"/>
        </w:tabs>
        <w:rPr>
          <w:rFonts w:ascii="Calibri" w:eastAsia="Times New Roman" w:hAnsi="Calibri" w:cs="Times New Roman"/>
          <w:color w:val="000000"/>
          <w:sz w:val="24"/>
          <w:szCs w:val="24"/>
        </w:rPr>
      </w:pPr>
      <w:r>
        <w:rPr>
          <w:rFonts w:ascii="Calibri" w:eastAsia="Times New Roman" w:hAnsi="Calibri" w:cs="Times New Roman"/>
          <w:color w:val="000000"/>
        </w:rPr>
        <w:t>All data reported in this database was subject to the requirements of the Quality Assurance Project Plan (QAPP) prepared under the previous project (STREAMS II TO 28) and reviewed and followed under this project (STREAMS 3 TO 03). In addition, the Task Order was subjected to</w:t>
      </w:r>
      <w:r w:rsidRPr="008531BF">
        <w:rPr>
          <w:rFonts w:ascii="Calibri" w:eastAsia="Times New Roman" w:hAnsi="Calibri" w:cs="Times New Roman"/>
          <w:color w:val="000000"/>
        </w:rPr>
        <w:t xml:space="preserve"> a</w:t>
      </w:r>
      <w:r>
        <w:rPr>
          <w:rFonts w:ascii="Calibri" w:eastAsia="Times New Roman" w:hAnsi="Calibri" w:cs="Times New Roman"/>
          <w:color w:val="000000"/>
        </w:rPr>
        <w:t>n EPA</w:t>
      </w:r>
      <w:r w:rsidRPr="008531BF">
        <w:rPr>
          <w:rFonts w:ascii="Calibri" w:eastAsia="Times New Roman" w:hAnsi="Calibri" w:cs="Times New Roman"/>
          <w:color w:val="000000"/>
        </w:rPr>
        <w:t xml:space="preserve"> quality assurance audit (QAA) on August 2, 2017.</w:t>
      </w:r>
      <w:r>
        <w:rPr>
          <w:rFonts w:ascii="Calibri" w:eastAsia="Times New Roman" w:hAnsi="Calibri" w:cs="Times New Roman"/>
          <w:color w:val="000000"/>
        </w:rPr>
        <w:t xml:space="preserve"> T</w:t>
      </w:r>
      <w:r w:rsidRPr="00210CF3">
        <w:rPr>
          <w:rFonts w:ascii="Calibri" w:eastAsia="Times New Roman" w:hAnsi="Calibri" w:cs="Times New Roman"/>
          <w:color w:val="000000"/>
        </w:rPr>
        <w:t xml:space="preserve">he QAA was successfully </w:t>
      </w:r>
      <w:r>
        <w:rPr>
          <w:rFonts w:ascii="Calibri" w:eastAsia="Times New Roman" w:hAnsi="Calibri" w:cs="Times New Roman"/>
          <w:color w:val="000000"/>
        </w:rPr>
        <w:t xml:space="preserve">completed </w:t>
      </w:r>
      <w:r w:rsidRPr="00210CF3">
        <w:rPr>
          <w:rFonts w:ascii="Calibri" w:eastAsia="Times New Roman" w:hAnsi="Calibri" w:cs="Times New Roman"/>
          <w:color w:val="000000"/>
        </w:rPr>
        <w:t xml:space="preserve">by the TOCOR and alternate TOCOR, who stated: </w:t>
      </w:r>
      <w:r w:rsidRPr="00210CF3">
        <w:rPr>
          <w:rFonts w:ascii="Calibri" w:eastAsia="Times New Roman" w:hAnsi="Calibri" w:cs="Times New Roman"/>
          <w:i/>
          <w:color w:val="000000"/>
        </w:rPr>
        <w:t>“Overall, we were very pleased with the quality, efficiency, and knowledge of the required procedures displayed by the various samplers/ sampling teams. We feel confident that the samples collected are of high quality and will meet the needs of the research program.”</w:t>
      </w:r>
    </w:p>
    <w:p w14:paraId="0FD4311A" w14:textId="4A1A0E8E" w:rsidR="003E1FAA" w:rsidRPr="00AD75A1" w:rsidRDefault="003E1FAA" w:rsidP="008B4791">
      <w:pPr>
        <w:pStyle w:val="ListParagraph"/>
        <w:keepNext/>
        <w:keepLines/>
        <w:ind w:left="0"/>
        <w:rPr>
          <w:b/>
        </w:rPr>
      </w:pPr>
      <w:r w:rsidRPr="00AD75A1">
        <w:rPr>
          <w:b/>
        </w:rPr>
        <w:t>Reference</w:t>
      </w:r>
    </w:p>
    <w:p w14:paraId="3230E609" w14:textId="7227A835" w:rsidR="009B1021" w:rsidRPr="009B1021" w:rsidRDefault="0057573D" w:rsidP="00C91A62">
      <w:pPr>
        <w:pStyle w:val="Reference"/>
      </w:pPr>
      <w:r w:rsidRPr="00DD0A81">
        <w:rPr>
          <w:i w:val="0"/>
        </w:rPr>
        <w:t>U.S. EPA (Environmental Protection Agency). 2015.</w:t>
      </w:r>
      <w:r w:rsidRPr="0057573D">
        <w:t xml:space="preserve"> </w:t>
      </w:r>
      <w:r w:rsidRPr="008B4791">
        <w:t>Soil Vapor Extraction Pilot Study to Prevent Vapor Intrusion - Quality Assurance Project Plan – Final. Category III.</w:t>
      </w:r>
      <w:r w:rsidRPr="0057573D">
        <w:t xml:space="preserve"> </w:t>
      </w:r>
      <w:r w:rsidRPr="00DD0A81">
        <w:rPr>
          <w:i w:val="0"/>
        </w:rPr>
        <w:t>Office of Research and Development, Las Vegas, NV, and Region 9, San Francisco, C</w:t>
      </w:r>
      <w:r w:rsidR="00A81650" w:rsidRPr="00DD0A81">
        <w:rPr>
          <w:i w:val="0"/>
        </w:rPr>
        <w:t>A</w:t>
      </w:r>
      <w:r w:rsidR="00D46ECF" w:rsidRPr="00DD0A81">
        <w:rPr>
          <w:b/>
          <w:i w:val="0"/>
        </w:rPr>
        <w:t>.</w:t>
      </w:r>
    </w:p>
    <w:sectPr w:rsidR="009B1021" w:rsidRPr="009B1021" w:rsidSect="00BC52B2">
      <w:headerReference w:type="default" r:id="rId8"/>
      <w:headerReference w:type="first" r:id="rId9"/>
      <w:footerReference w:type="first" r:id="rId10"/>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BFD69" w14:textId="77777777" w:rsidR="00BC2885" w:rsidRDefault="00BC2885" w:rsidP="007E6CEE">
      <w:pPr>
        <w:spacing w:after="0" w:line="240" w:lineRule="auto"/>
      </w:pPr>
      <w:r>
        <w:separator/>
      </w:r>
    </w:p>
  </w:endnote>
  <w:endnote w:type="continuationSeparator" w:id="0">
    <w:p w14:paraId="25BD4EB1" w14:textId="77777777" w:rsidR="00BC2885" w:rsidRDefault="00BC2885" w:rsidP="007E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E09E" w14:textId="77777777" w:rsidR="00FA6E0E" w:rsidRDefault="00D46ECF">
    <w:pPr>
      <w:pStyle w:val="Footer"/>
      <w:jc w:val="center"/>
    </w:pPr>
    <w:r>
      <w:rPr>
        <w:noProof/>
      </w:rPr>
      <w:drawing>
        <wp:anchor distT="0" distB="0" distL="114300" distR="114300" simplePos="0" relativeHeight="251659264" behindDoc="1" locked="0" layoutInCell="1" allowOverlap="1" wp14:anchorId="473CEE6C" wp14:editId="07937D0E">
          <wp:simplePos x="0" y="0"/>
          <wp:positionH relativeFrom="page">
            <wp:posOffset>-19050</wp:posOffset>
          </wp:positionH>
          <wp:positionV relativeFrom="page">
            <wp:posOffset>9468485</wp:posOffset>
          </wp:positionV>
          <wp:extent cx="7820676" cy="493776"/>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I_RTP_Memo_Legal_ID.png"/>
                  <pic:cNvPicPr/>
                </pic:nvPicPr>
                <pic:blipFill>
                  <a:blip r:embed="rId1">
                    <a:extLst>
                      <a:ext uri="{28A0092B-C50C-407E-A947-70E740481C1C}">
                        <a14:useLocalDpi xmlns:a14="http://schemas.microsoft.com/office/drawing/2010/main" val="0"/>
                      </a:ext>
                    </a:extLst>
                  </a:blip>
                  <a:stretch>
                    <a:fillRect/>
                  </a:stretch>
                </pic:blipFill>
                <pic:spPr>
                  <a:xfrm>
                    <a:off x="0" y="0"/>
                    <a:ext cx="7820676" cy="493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D8ED15" w14:textId="77777777" w:rsidR="00D66BC0" w:rsidRDefault="00D66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258F" w14:textId="77777777" w:rsidR="00BC2885" w:rsidRDefault="00BC2885" w:rsidP="007E6CEE">
      <w:pPr>
        <w:spacing w:after="0" w:line="240" w:lineRule="auto"/>
      </w:pPr>
      <w:r>
        <w:separator/>
      </w:r>
    </w:p>
  </w:footnote>
  <w:footnote w:type="continuationSeparator" w:id="0">
    <w:p w14:paraId="36AD3586" w14:textId="77777777" w:rsidR="00BC2885" w:rsidRDefault="00BC2885" w:rsidP="007E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366538"/>
      <w:docPartObj>
        <w:docPartGallery w:val="Page Numbers (Top of Page)"/>
        <w:docPartUnique/>
      </w:docPartObj>
    </w:sdtPr>
    <w:sdtEndPr>
      <w:rPr>
        <w:noProof/>
      </w:rPr>
    </w:sdtEndPr>
    <w:sdtContent>
      <w:p w14:paraId="3B542CD3" w14:textId="77777777" w:rsidR="00D46ECF" w:rsidRDefault="00D46ECF">
        <w:pPr>
          <w:pStyle w:val="Header"/>
          <w:jc w:val="right"/>
        </w:pPr>
        <w:r>
          <w:fldChar w:fldCharType="begin"/>
        </w:r>
        <w:r>
          <w:instrText xml:space="preserve"> PAGE   \* MERGEFORMAT </w:instrText>
        </w:r>
        <w:r>
          <w:fldChar w:fldCharType="separate"/>
        </w:r>
        <w:r w:rsidR="00184D5C">
          <w:rPr>
            <w:noProof/>
          </w:rPr>
          <w:t>6</w:t>
        </w:r>
        <w:r>
          <w:rPr>
            <w:noProof/>
          </w:rPr>
          <w:fldChar w:fldCharType="end"/>
        </w:r>
      </w:p>
    </w:sdtContent>
  </w:sdt>
  <w:p w14:paraId="27487D30" w14:textId="77777777" w:rsidR="00D46ECF" w:rsidRDefault="00D46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7D6C" w14:textId="77777777" w:rsidR="00D46ECF" w:rsidRDefault="00D46ECF">
    <w:pPr>
      <w:pStyle w:val="Header"/>
    </w:pPr>
    <w:r>
      <w:rPr>
        <w:noProof/>
      </w:rPr>
      <w:drawing>
        <wp:anchor distT="0" distB="0" distL="114300" distR="114300" simplePos="0" relativeHeight="251661312" behindDoc="1" locked="0" layoutInCell="1" allowOverlap="1" wp14:anchorId="02DF4181" wp14:editId="49E0918F">
          <wp:simplePos x="0" y="0"/>
          <wp:positionH relativeFrom="page">
            <wp:posOffset>8255</wp:posOffset>
          </wp:positionH>
          <wp:positionV relativeFrom="page">
            <wp:posOffset>19050</wp:posOffset>
          </wp:positionV>
          <wp:extent cx="7749336" cy="1024128"/>
          <wp:effectExtent l="0" t="0" r="444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I_RTP_Memo.png"/>
                  <pic:cNvPicPr/>
                </pic:nvPicPr>
                <pic:blipFill>
                  <a:blip r:embed="rId1">
                    <a:extLst>
                      <a:ext uri="{28A0092B-C50C-407E-A947-70E740481C1C}">
                        <a14:useLocalDpi xmlns:a14="http://schemas.microsoft.com/office/drawing/2010/main" val="0"/>
                      </a:ext>
                    </a:extLst>
                  </a:blip>
                  <a:stretch>
                    <a:fillRect/>
                  </a:stretch>
                </pic:blipFill>
                <pic:spPr>
                  <a:xfrm>
                    <a:off x="0" y="0"/>
                    <a:ext cx="7749336" cy="102412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AB0"/>
    <w:multiLevelType w:val="hybridMultilevel"/>
    <w:tmpl w:val="BFF47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471D4"/>
    <w:multiLevelType w:val="hybridMultilevel"/>
    <w:tmpl w:val="3C2A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84F92"/>
    <w:multiLevelType w:val="hybridMultilevel"/>
    <w:tmpl w:val="BA46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19"/>
    <w:rsid w:val="00005817"/>
    <w:rsid w:val="0001442F"/>
    <w:rsid w:val="00077F3A"/>
    <w:rsid w:val="000B258C"/>
    <w:rsid w:val="000C33DC"/>
    <w:rsid w:val="00116EFE"/>
    <w:rsid w:val="00143E19"/>
    <w:rsid w:val="001543C3"/>
    <w:rsid w:val="00184D5C"/>
    <w:rsid w:val="001B2D9A"/>
    <w:rsid w:val="001D3FB9"/>
    <w:rsid w:val="00281CF2"/>
    <w:rsid w:val="002C4215"/>
    <w:rsid w:val="00331327"/>
    <w:rsid w:val="0036038A"/>
    <w:rsid w:val="003E1FAA"/>
    <w:rsid w:val="003E761C"/>
    <w:rsid w:val="003F5146"/>
    <w:rsid w:val="00401D2A"/>
    <w:rsid w:val="00430EAC"/>
    <w:rsid w:val="00477525"/>
    <w:rsid w:val="004D58E1"/>
    <w:rsid w:val="00526704"/>
    <w:rsid w:val="0056397C"/>
    <w:rsid w:val="0057573D"/>
    <w:rsid w:val="00596D16"/>
    <w:rsid w:val="005C5213"/>
    <w:rsid w:val="005D4FAC"/>
    <w:rsid w:val="005D5374"/>
    <w:rsid w:val="005E169B"/>
    <w:rsid w:val="0063143A"/>
    <w:rsid w:val="00693B11"/>
    <w:rsid w:val="006A2B1B"/>
    <w:rsid w:val="006B25F6"/>
    <w:rsid w:val="00735289"/>
    <w:rsid w:val="00736756"/>
    <w:rsid w:val="00743BFE"/>
    <w:rsid w:val="00771C83"/>
    <w:rsid w:val="007B0761"/>
    <w:rsid w:val="007B6975"/>
    <w:rsid w:val="007D022C"/>
    <w:rsid w:val="007D4D7F"/>
    <w:rsid w:val="007E1E63"/>
    <w:rsid w:val="007E6CEE"/>
    <w:rsid w:val="0080035F"/>
    <w:rsid w:val="0080223A"/>
    <w:rsid w:val="00812C75"/>
    <w:rsid w:val="008375B1"/>
    <w:rsid w:val="008649A4"/>
    <w:rsid w:val="008B4791"/>
    <w:rsid w:val="008D7688"/>
    <w:rsid w:val="008D776A"/>
    <w:rsid w:val="008E4C57"/>
    <w:rsid w:val="00913C9C"/>
    <w:rsid w:val="009B1021"/>
    <w:rsid w:val="009B7EA7"/>
    <w:rsid w:val="009F763E"/>
    <w:rsid w:val="00A64EC8"/>
    <w:rsid w:val="00A76194"/>
    <w:rsid w:val="00A81650"/>
    <w:rsid w:val="00A91995"/>
    <w:rsid w:val="00AB7FEF"/>
    <w:rsid w:val="00AD75A1"/>
    <w:rsid w:val="00AD7EF9"/>
    <w:rsid w:val="00B0703B"/>
    <w:rsid w:val="00B072F7"/>
    <w:rsid w:val="00B32FD1"/>
    <w:rsid w:val="00B35479"/>
    <w:rsid w:val="00BC2885"/>
    <w:rsid w:val="00BC52B2"/>
    <w:rsid w:val="00BE1D2C"/>
    <w:rsid w:val="00C01B3E"/>
    <w:rsid w:val="00C32B34"/>
    <w:rsid w:val="00C34960"/>
    <w:rsid w:val="00C831CC"/>
    <w:rsid w:val="00C91A62"/>
    <w:rsid w:val="00CC49BD"/>
    <w:rsid w:val="00D33CAB"/>
    <w:rsid w:val="00D46ECF"/>
    <w:rsid w:val="00D66BC0"/>
    <w:rsid w:val="00D73503"/>
    <w:rsid w:val="00D86A3B"/>
    <w:rsid w:val="00DC07E4"/>
    <w:rsid w:val="00DD0A81"/>
    <w:rsid w:val="00DD764E"/>
    <w:rsid w:val="00E1031D"/>
    <w:rsid w:val="00E22ED0"/>
    <w:rsid w:val="00E27E30"/>
    <w:rsid w:val="00F330A5"/>
    <w:rsid w:val="00F41313"/>
    <w:rsid w:val="00FA6E0E"/>
    <w:rsid w:val="00FD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42EBF"/>
  <w15:chartTrackingRefBased/>
  <w15:docId w15:val="{9A5EC840-22EB-40B1-B844-111A2849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1327"/>
    <w:rPr>
      <w:sz w:val="16"/>
      <w:szCs w:val="16"/>
    </w:rPr>
  </w:style>
  <w:style w:type="paragraph" w:styleId="CommentText">
    <w:name w:val="annotation text"/>
    <w:basedOn w:val="Normal"/>
    <w:link w:val="CommentTextChar"/>
    <w:uiPriority w:val="99"/>
    <w:semiHidden/>
    <w:unhideWhenUsed/>
    <w:rsid w:val="00331327"/>
    <w:pPr>
      <w:spacing w:line="240" w:lineRule="auto"/>
    </w:pPr>
    <w:rPr>
      <w:sz w:val="20"/>
      <w:szCs w:val="20"/>
    </w:rPr>
  </w:style>
  <w:style w:type="character" w:customStyle="1" w:styleId="CommentTextChar">
    <w:name w:val="Comment Text Char"/>
    <w:basedOn w:val="DefaultParagraphFont"/>
    <w:link w:val="CommentText"/>
    <w:uiPriority w:val="99"/>
    <w:semiHidden/>
    <w:rsid w:val="00331327"/>
    <w:rPr>
      <w:sz w:val="20"/>
      <w:szCs w:val="20"/>
    </w:rPr>
  </w:style>
  <w:style w:type="paragraph" w:styleId="CommentSubject">
    <w:name w:val="annotation subject"/>
    <w:basedOn w:val="CommentText"/>
    <w:next w:val="CommentText"/>
    <w:link w:val="CommentSubjectChar"/>
    <w:uiPriority w:val="99"/>
    <w:semiHidden/>
    <w:unhideWhenUsed/>
    <w:rsid w:val="00331327"/>
    <w:rPr>
      <w:b/>
      <w:bCs/>
    </w:rPr>
  </w:style>
  <w:style w:type="character" w:customStyle="1" w:styleId="CommentSubjectChar">
    <w:name w:val="Comment Subject Char"/>
    <w:basedOn w:val="CommentTextChar"/>
    <w:link w:val="CommentSubject"/>
    <w:uiPriority w:val="99"/>
    <w:semiHidden/>
    <w:rsid w:val="00331327"/>
    <w:rPr>
      <w:b/>
      <w:bCs/>
      <w:sz w:val="20"/>
      <w:szCs w:val="20"/>
    </w:rPr>
  </w:style>
  <w:style w:type="paragraph" w:styleId="BalloonText">
    <w:name w:val="Balloon Text"/>
    <w:basedOn w:val="Normal"/>
    <w:link w:val="BalloonTextChar"/>
    <w:uiPriority w:val="99"/>
    <w:semiHidden/>
    <w:unhideWhenUsed/>
    <w:rsid w:val="00331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327"/>
    <w:rPr>
      <w:rFonts w:ascii="Segoe UI" w:hAnsi="Segoe UI" w:cs="Segoe UI"/>
      <w:sz w:val="18"/>
      <w:szCs w:val="18"/>
    </w:rPr>
  </w:style>
  <w:style w:type="paragraph" w:styleId="ListParagraph">
    <w:name w:val="List Paragraph"/>
    <w:basedOn w:val="Normal"/>
    <w:uiPriority w:val="34"/>
    <w:qFormat/>
    <w:rsid w:val="00771C83"/>
    <w:pPr>
      <w:ind w:left="720"/>
      <w:contextualSpacing/>
    </w:pPr>
  </w:style>
  <w:style w:type="paragraph" w:styleId="FootnoteText">
    <w:name w:val="footnote text"/>
    <w:basedOn w:val="Normal"/>
    <w:link w:val="FootnoteTextChar"/>
    <w:uiPriority w:val="99"/>
    <w:semiHidden/>
    <w:unhideWhenUsed/>
    <w:rsid w:val="007E6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CEE"/>
    <w:rPr>
      <w:sz w:val="20"/>
      <w:szCs w:val="20"/>
    </w:rPr>
  </w:style>
  <w:style w:type="character" w:styleId="FootnoteReference">
    <w:name w:val="footnote reference"/>
    <w:basedOn w:val="DefaultParagraphFont"/>
    <w:uiPriority w:val="99"/>
    <w:semiHidden/>
    <w:unhideWhenUsed/>
    <w:rsid w:val="007E6CEE"/>
    <w:rPr>
      <w:vertAlign w:val="superscript"/>
    </w:rPr>
  </w:style>
  <w:style w:type="paragraph" w:styleId="Caption">
    <w:name w:val="caption"/>
    <w:basedOn w:val="Normal"/>
    <w:next w:val="Normal"/>
    <w:uiPriority w:val="35"/>
    <w:unhideWhenUsed/>
    <w:qFormat/>
    <w:rsid w:val="00AD7EF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C5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B2"/>
  </w:style>
  <w:style w:type="paragraph" w:styleId="Footer">
    <w:name w:val="footer"/>
    <w:basedOn w:val="Normal"/>
    <w:link w:val="FooterChar"/>
    <w:uiPriority w:val="99"/>
    <w:unhideWhenUsed/>
    <w:rsid w:val="00BC5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B2"/>
  </w:style>
  <w:style w:type="paragraph" w:customStyle="1" w:styleId="Heading">
    <w:name w:val="Heading"/>
    <w:basedOn w:val="Normal"/>
    <w:qFormat/>
    <w:rsid w:val="00BC52B2"/>
    <w:pPr>
      <w:spacing w:before="240" w:after="240" w:line="240" w:lineRule="auto"/>
      <w:ind w:left="1440" w:hanging="1440"/>
    </w:pPr>
    <w:rPr>
      <w:rFonts w:ascii="Times New Roman" w:eastAsia="Times New Roman" w:hAnsi="Times New Roman" w:cs="Times New Roman"/>
      <w:szCs w:val="24"/>
    </w:rPr>
  </w:style>
  <w:style w:type="paragraph" w:customStyle="1" w:styleId="Headinglast">
    <w:name w:val="Heading last"/>
    <w:basedOn w:val="Heading"/>
    <w:qFormat/>
    <w:rsid w:val="00BC52B2"/>
    <w:pPr>
      <w:spacing w:after="360"/>
    </w:pPr>
  </w:style>
  <w:style w:type="table" w:styleId="TableGrid">
    <w:name w:val="Table Grid"/>
    <w:basedOn w:val="TableNormal"/>
    <w:uiPriority w:val="59"/>
    <w:rsid w:val="00BC52B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Caption"/>
    <w:qFormat/>
    <w:rsid w:val="00736756"/>
    <w:pPr>
      <w:spacing w:before="240"/>
    </w:pPr>
    <w:rPr>
      <w:b/>
      <w:i w:val="0"/>
      <w:color w:val="auto"/>
      <w:sz w:val="22"/>
      <w:szCs w:val="22"/>
    </w:rPr>
  </w:style>
  <w:style w:type="paragraph" w:styleId="NoSpacing">
    <w:name w:val="No Spacing"/>
    <w:uiPriority w:val="1"/>
    <w:qFormat/>
    <w:rsid w:val="008649A4"/>
    <w:pPr>
      <w:spacing w:after="0" w:line="240" w:lineRule="auto"/>
    </w:pPr>
  </w:style>
  <w:style w:type="paragraph" w:customStyle="1" w:styleId="Reference">
    <w:name w:val="Reference"/>
    <w:basedOn w:val="Normal"/>
    <w:qFormat/>
    <w:rsid w:val="00736756"/>
    <w:pPr>
      <w:ind w:left="720" w:hanging="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8766">
      <w:bodyDiv w:val="1"/>
      <w:marLeft w:val="0"/>
      <w:marRight w:val="0"/>
      <w:marTop w:val="0"/>
      <w:marBottom w:val="0"/>
      <w:divBdr>
        <w:top w:val="none" w:sz="0" w:space="0" w:color="auto"/>
        <w:left w:val="none" w:sz="0" w:space="0" w:color="auto"/>
        <w:bottom w:val="none" w:sz="0" w:space="0" w:color="auto"/>
        <w:right w:val="none" w:sz="0" w:space="0" w:color="auto"/>
      </w:divBdr>
    </w:div>
    <w:div w:id="348607165">
      <w:bodyDiv w:val="1"/>
      <w:marLeft w:val="0"/>
      <w:marRight w:val="0"/>
      <w:marTop w:val="0"/>
      <w:marBottom w:val="0"/>
      <w:divBdr>
        <w:top w:val="none" w:sz="0" w:space="0" w:color="auto"/>
        <w:left w:val="none" w:sz="0" w:space="0" w:color="auto"/>
        <w:bottom w:val="none" w:sz="0" w:space="0" w:color="auto"/>
        <w:right w:val="none" w:sz="0" w:space="0" w:color="auto"/>
      </w:divBdr>
    </w:div>
    <w:div w:id="462384360">
      <w:bodyDiv w:val="1"/>
      <w:marLeft w:val="0"/>
      <w:marRight w:val="0"/>
      <w:marTop w:val="0"/>
      <w:marBottom w:val="0"/>
      <w:divBdr>
        <w:top w:val="none" w:sz="0" w:space="0" w:color="auto"/>
        <w:left w:val="none" w:sz="0" w:space="0" w:color="auto"/>
        <w:bottom w:val="none" w:sz="0" w:space="0" w:color="auto"/>
        <w:right w:val="none" w:sz="0" w:space="0" w:color="auto"/>
      </w:divBdr>
    </w:div>
    <w:div w:id="558059234">
      <w:bodyDiv w:val="1"/>
      <w:marLeft w:val="0"/>
      <w:marRight w:val="0"/>
      <w:marTop w:val="0"/>
      <w:marBottom w:val="0"/>
      <w:divBdr>
        <w:top w:val="none" w:sz="0" w:space="0" w:color="auto"/>
        <w:left w:val="none" w:sz="0" w:space="0" w:color="auto"/>
        <w:bottom w:val="none" w:sz="0" w:space="0" w:color="auto"/>
        <w:right w:val="none" w:sz="0" w:space="0" w:color="auto"/>
      </w:divBdr>
    </w:div>
    <w:div w:id="899051697">
      <w:bodyDiv w:val="1"/>
      <w:marLeft w:val="0"/>
      <w:marRight w:val="0"/>
      <w:marTop w:val="0"/>
      <w:marBottom w:val="0"/>
      <w:divBdr>
        <w:top w:val="none" w:sz="0" w:space="0" w:color="auto"/>
        <w:left w:val="none" w:sz="0" w:space="0" w:color="auto"/>
        <w:bottom w:val="none" w:sz="0" w:space="0" w:color="auto"/>
        <w:right w:val="none" w:sz="0" w:space="0" w:color="auto"/>
      </w:divBdr>
    </w:div>
    <w:div w:id="1029405912">
      <w:bodyDiv w:val="1"/>
      <w:marLeft w:val="0"/>
      <w:marRight w:val="0"/>
      <w:marTop w:val="0"/>
      <w:marBottom w:val="0"/>
      <w:divBdr>
        <w:top w:val="none" w:sz="0" w:space="0" w:color="auto"/>
        <w:left w:val="none" w:sz="0" w:space="0" w:color="auto"/>
        <w:bottom w:val="none" w:sz="0" w:space="0" w:color="auto"/>
        <w:right w:val="none" w:sz="0" w:space="0" w:color="auto"/>
      </w:divBdr>
    </w:div>
    <w:div w:id="1067798585">
      <w:bodyDiv w:val="1"/>
      <w:marLeft w:val="0"/>
      <w:marRight w:val="0"/>
      <w:marTop w:val="0"/>
      <w:marBottom w:val="0"/>
      <w:divBdr>
        <w:top w:val="none" w:sz="0" w:space="0" w:color="auto"/>
        <w:left w:val="none" w:sz="0" w:space="0" w:color="auto"/>
        <w:bottom w:val="none" w:sz="0" w:space="0" w:color="auto"/>
        <w:right w:val="none" w:sz="0" w:space="0" w:color="auto"/>
      </w:divBdr>
    </w:div>
    <w:div w:id="19018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76B8-49E6-4EC3-A4ED-C9C47E7B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Truesdale, Robert</dc:creator>
  <cp:keywords/>
  <dc:description/>
  <cp:lastModifiedBy>Truesdale, Robert</cp:lastModifiedBy>
  <cp:revision>7</cp:revision>
  <dcterms:created xsi:type="dcterms:W3CDTF">2018-08-31T02:23:00Z</dcterms:created>
  <dcterms:modified xsi:type="dcterms:W3CDTF">2018-08-31T16:00:00Z</dcterms:modified>
</cp:coreProperties>
</file>