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DF" w:rsidRPr="00D856FD" w:rsidRDefault="006401DF" w:rsidP="00827B5E">
      <w:pPr>
        <w:jc w:val="center"/>
        <w:rPr>
          <w:rFonts w:cstheme="minorHAnsi"/>
          <w:b/>
          <w:sz w:val="24"/>
          <w:szCs w:val="24"/>
        </w:rPr>
      </w:pPr>
    </w:p>
    <w:p w:rsidR="006401DF" w:rsidRPr="00D856FD" w:rsidRDefault="006401DF" w:rsidP="006401DF">
      <w:pPr>
        <w:spacing w:line="256" w:lineRule="auto"/>
        <w:rPr>
          <w:rFonts w:cstheme="minorHAnsi"/>
          <w:sz w:val="24"/>
          <w:szCs w:val="24"/>
        </w:rPr>
      </w:pPr>
      <w:r w:rsidRPr="00D856FD">
        <w:rPr>
          <w:rFonts w:eastAsia="SimSun" w:cstheme="minorHAnsi"/>
          <w:b/>
          <w:sz w:val="24"/>
          <w:szCs w:val="24"/>
        </w:rPr>
        <w:t xml:space="preserve">Data sets used </w:t>
      </w:r>
      <w:r w:rsidR="00A44E3E" w:rsidRPr="00D856FD">
        <w:rPr>
          <w:rFonts w:eastAsia="SimSun" w:cstheme="minorHAnsi"/>
          <w:b/>
          <w:sz w:val="24"/>
          <w:szCs w:val="24"/>
        </w:rPr>
        <w:t>in the analysis presented</w:t>
      </w:r>
      <w:r w:rsidRPr="00D856FD">
        <w:rPr>
          <w:rFonts w:eastAsia="SimSun" w:cstheme="minorHAnsi"/>
          <w:b/>
          <w:sz w:val="24"/>
          <w:szCs w:val="24"/>
        </w:rPr>
        <w:t xml:space="preserve"> in the manuscript </w:t>
      </w:r>
      <w:r w:rsidRPr="00D856FD">
        <w:rPr>
          <w:rFonts w:eastAsia="SimSun" w:cstheme="minorHAnsi"/>
          <w:sz w:val="24"/>
          <w:szCs w:val="24"/>
        </w:rPr>
        <w:t>“</w:t>
      </w:r>
      <w:r w:rsidR="00956924" w:rsidRPr="00956924">
        <w:rPr>
          <w:rFonts w:cstheme="minorHAnsi"/>
          <w:sz w:val="24"/>
          <w:szCs w:val="24"/>
        </w:rPr>
        <w:t>A New Method for Assessing the Efficacy of Emission Control Strategies to Comply with the Ambient Ozone Standard</w:t>
      </w:r>
      <w:bookmarkStart w:id="0" w:name="_GoBack"/>
      <w:bookmarkEnd w:id="0"/>
      <w:r w:rsidRPr="00D856FD">
        <w:rPr>
          <w:rFonts w:cstheme="minorHAnsi"/>
          <w:sz w:val="24"/>
          <w:szCs w:val="24"/>
        </w:rPr>
        <w:t>”</w:t>
      </w:r>
    </w:p>
    <w:p w:rsidR="008C2A2C" w:rsidRPr="00D856FD" w:rsidRDefault="00F277D1" w:rsidP="008C2A2C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The </w:t>
      </w:r>
      <w:r w:rsidR="008C2A2C" w:rsidRPr="00D856FD">
        <w:rPr>
          <w:rFonts w:eastAsia="SimSun" w:cstheme="minorHAnsi"/>
          <w:sz w:val="24"/>
          <w:szCs w:val="24"/>
        </w:rPr>
        <w:t xml:space="preserve">modeled </w:t>
      </w:r>
      <w:r w:rsidRPr="00D856FD">
        <w:rPr>
          <w:rFonts w:eastAsia="SimSun" w:cstheme="minorHAnsi"/>
          <w:sz w:val="24"/>
          <w:szCs w:val="24"/>
        </w:rPr>
        <w:t xml:space="preserve">datasets used for the analysis presented in this manuscript were provided by researchers in EPA/ORD/NERL/CED. </w:t>
      </w:r>
      <w:proofErr w:type="gramStart"/>
      <w:r w:rsidRPr="00D856FD">
        <w:rPr>
          <w:rFonts w:eastAsia="SimSun" w:cstheme="minorHAnsi"/>
          <w:sz w:val="24"/>
          <w:szCs w:val="24"/>
        </w:rPr>
        <w:t>In particular, the</w:t>
      </w:r>
      <w:proofErr w:type="gramEnd"/>
      <w:r w:rsidRPr="00D856FD">
        <w:rPr>
          <w:rFonts w:eastAsia="SimSun" w:cstheme="minorHAnsi"/>
          <w:sz w:val="24"/>
          <w:szCs w:val="24"/>
        </w:rPr>
        <w:t xml:space="preserve"> EPA/ORD/NERL/CED researchers provided surface mixing ratios for daily maximum 8-hr average ozone observations and WRF/CMAQ </w:t>
      </w:r>
      <w:r w:rsidR="008C2A2C" w:rsidRPr="00D856FD">
        <w:rPr>
          <w:rFonts w:eastAsia="SimSun" w:cstheme="minorHAnsi"/>
          <w:sz w:val="24"/>
          <w:szCs w:val="24"/>
        </w:rPr>
        <w:t xml:space="preserve">model output for two sets of </w:t>
      </w:r>
      <w:r w:rsidRPr="00D856FD">
        <w:rPr>
          <w:rFonts w:eastAsia="SimSun" w:cstheme="minorHAnsi"/>
          <w:sz w:val="24"/>
          <w:szCs w:val="24"/>
        </w:rPr>
        <w:t>simulations</w:t>
      </w:r>
      <w:r w:rsidR="008C2A2C" w:rsidRPr="00D856FD">
        <w:rPr>
          <w:rFonts w:eastAsia="SimSun" w:cstheme="minorHAnsi"/>
          <w:sz w:val="24"/>
          <w:szCs w:val="24"/>
        </w:rPr>
        <w:t>:</w:t>
      </w:r>
    </w:p>
    <w:p w:rsidR="008C2A2C" w:rsidRPr="00D856FD" w:rsidRDefault="00F277D1" w:rsidP="008C2A2C">
      <w:pPr>
        <w:pStyle w:val="ListParagraph"/>
        <w:numPr>
          <w:ilvl w:val="0"/>
          <w:numId w:val="1"/>
        </w:num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1990 – 2010 </w:t>
      </w:r>
      <w:r w:rsidR="008C2A2C" w:rsidRPr="00D856FD">
        <w:rPr>
          <w:rFonts w:eastAsia="SimSun" w:cstheme="minorHAnsi"/>
          <w:sz w:val="24"/>
          <w:szCs w:val="24"/>
        </w:rPr>
        <w:t xml:space="preserve">simulations performed at 36 km horizontal resolution over the contiguous </w:t>
      </w:r>
      <w:proofErr w:type="gramStart"/>
      <w:r w:rsidR="008C2A2C" w:rsidRPr="00D856FD">
        <w:rPr>
          <w:rFonts w:eastAsia="SimSun" w:cstheme="minorHAnsi"/>
          <w:sz w:val="24"/>
          <w:szCs w:val="24"/>
        </w:rPr>
        <w:t>U.S.</w:t>
      </w:r>
      <w:r w:rsidRPr="00D856FD">
        <w:rPr>
          <w:rFonts w:eastAsia="SimSun" w:cstheme="minorHAnsi"/>
          <w:sz w:val="24"/>
          <w:szCs w:val="24"/>
        </w:rPr>
        <w:t>.</w:t>
      </w:r>
      <w:proofErr w:type="gramEnd"/>
      <w:r w:rsidRPr="00D856FD">
        <w:rPr>
          <w:rFonts w:eastAsia="SimSun" w:cstheme="minorHAnsi"/>
          <w:sz w:val="24"/>
          <w:szCs w:val="24"/>
        </w:rPr>
        <w:t xml:space="preserve"> The data </w:t>
      </w:r>
      <w:r w:rsidR="008C2A2C" w:rsidRPr="00D856FD">
        <w:rPr>
          <w:rFonts w:eastAsia="SimSun" w:cstheme="minorHAnsi"/>
          <w:sz w:val="24"/>
          <w:szCs w:val="24"/>
        </w:rPr>
        <w:t xml:space="preserve">for these simulations </w:t>
      </w:r>
      <w:r w:rsidRPr="00D856FD">
        <w:rPr>
          <w:rFonts w:eastAsia="SimSun" w:cstheme="minorHAnsi"/>
          <w:sz w:val="24"/>
          <w:szCs w:val="24"/>
        </w:rPr>
        <w:t>were provided in 12 monthly files for each of the 21 ye</w:t>
      </w:r>
      <w:r w:rsidR="008C2A2C" w:rsidRPr="00D856FD">
        <w:rPr>
          <w:rFonts w:eastAsia="SimSun" w:cstheme="minorHAnsi"/>
          <w:sz w:val="24"/>
          <w:szCs w:val="24"/>
        </w:rPr>
        <w:t>ars, i.e. 252 individual files.</w:t>
      </w:r>
    </w:p>
    <w:p w:rsidR="008C2A2C" w:rsidRPr="00D856FD" w:rsidRDefault="00CD1E8A" w:rsidP="00CD1E8A">
      <w:pPr>
        <w:pStyle w:val="ListParagraph"/>
        <w:numPr>
          <w:ilvl w:val="0"/>
          <w:numId w:val="1"/>
        </w:num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2010 simulations performed at 12 km horizontal resolution over the contiguous U.S. for a base case scenario and a scenario with emissions and boundary conditions reflecting a 20% reduction in anthropogenic emissions</w:t>
      </w:r>
      <w:r w:rsidR="00F73406" w:rsidRPr="00D856FD">
        <w:rPr>
          <w:rFonts w:eastAsia="SimSun" w:cstheme="minorHAnsi"/>
          <w:sz w:val="24"/>
          <w:szCs w:val="24"/>
        </w:rPr>
        <w:t>. The data for these simulations were provided in 12 monthly files for each scenario, i.e. 24 individual files.</w:t>
      </w:r>
    </w:p>
    <w:p w:rsidR="00F277D1" w:rsidRPr="00D856FD" w:rsidRDefault="00F277D1" w:rsidP="008C2A2C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Each</w:t>
      </w:r>
      <w:r w:rsidR="00CD1E8A" w:rsidRPr="00D856FD">
        <w:rPr>
          <w:rFonts w:eastAsia="SimSun" w:cstheme="minorHAnsi"/>
          <w:sz w:val="24"/>
          <w:szCs w:val="24"/>
        </w:rPr>
        <w:t xml:space="preserve"> of the </w:t>
      </w:r>
      <w:r w:rsidR="00F73406" w:rsidRPr="00D856FD">
        <w:rPr>
          <w:rFonts w:eastAsia="SimSun" w:cstheme="minorHAnsi"/>
          <w:sz w:val="24"/>
          <w:szCs w:val="24"/>
        </w:rPr>
        <w:t xml:space="preserve">monthly </w:t>
      </w:r>
      <w:r w:rsidRPr="00D856FD">
        <w:rPr>
          <w:rFonts w:eastAsia="SimSun" w:cstheme="minorHAnsi"/>
          <w:sz w:val="24"/>
          <w:szCs w:val="24"/>
        </w:rPr>
        <w:t>file</w:t>
      </w:r>
      <w:r w:rsidR="008C2A2C" w:rsidRPr="00D856FD">
        <w:rPr>
          <w:rFonts w:eastAsia="SimSun" w:cstheme="minorHAnsi"/>
          <w:sz w:val="24"/>
          <w:szCs w:val="24"/>
        </w:rPr>
        <w:t>s</w:t>
      </w:r>
      <w:r w:rsidRPr="00D856FD">
        <w:rPr>
          <w:rFonts w:eastAsia="SimSun" w:cstheme="minorHAnsi"/>
          <w:sz w:val="24"/>
          <w:szCs w:val="24"/>
        </w:rPr>
        <w:t xml:space="preserve"> is </w:t>
      </w:r>
      <w:r w:rsidR="00CD1E8A" w:rsidRPr="00D856FD">
        <w:rPr>
          <w:rFonts w:eastAsia="SimSun" w:cstheme="minorHAnsi"/>
          <w:sz w:val="24"/>
          <w:szCs w:val="24"/>
        </w:rPr>
        <w:t>formated as</w:t>
      </w:r>
      <w:r w:rsidRPr="00D856FD">
        <w:rPr>
          <w:rFonts w:eastAsia="SimSun" w:cstheme="minorHAnsi"/>
          <w:sz w:val="24"/>
          <w:szCs w:val="24"/>
        </w:rPr>
        <w:t xml:space="preserve"> comma-separated value (csv) </w:t>
      </w:r>
      <w:r w:rsidR="00CD1E8A" w:rsidRPr="00D856FD">
        <w:rPr>
          <w:rFonts w:eastAsia="SimSun" w:cstheme="minorHAnsi"/>
          <w:sz w:val="24"/>
          <w:szCs w:val="24"/>
        </w:rPr>
        <w:t xml:space="preserve">ASCII </w:t>
      </w:r>
      <w:r w:rsidRPr="00D856FD">
        <w:rPr>
          <w:rFonts w:eastAsia="SimSun" w:cstheme="minorHAnsi"/>
          <w:sz w:val="24"/>
          <w:szCs w:val="24"/>
        </w:rPr>
        <w:t xml:space="preserve">format and contains paired observed and </w:t>
      </w:r>
      <w:r w:rsidR="00CD1E8A" w:rsidRPr="00D856FD">
        <w:rPr>
          <w:rFonts w:eastAsia="SimSun" w:cstheme="minorHAnsi"/>
          <w:sz w:val="24"/>
          <w:szCs w:val="24"/>
        </w:rPr>
        <w:t xml:space="preserve">model </w:t>
      </w:r>
      <w:r w:rsidRPr="00D856FD">
        <w:rPr>
          <w:rFonts w:eastAsia="SimSun" w:cstheme="minorHAnsi"/>
          <w:sz w:val="24"/>
          <w:szCs w:val="24"/>
        </w:rPr>
        <w:t>simulated daily maximum 8-hr average ozone mixing ratios at all stations for which monitoring data were available during that month. The first six lines of each file contain header information.</w:t>
      </w:r>
    </w:p>
    <w:p w:rsidR="00F277D1" w:rsidRPr="00D856FD" w:rsidRDefault="00F277D1" w:rsidP="00F277D1">
      <w:pPr>
        <w:spacing w:line="256" w:lineRule="auto"/>
        <w:rPr>
          <w:rFonts w:eastAsia="SimSun" w:cstheme="minorHAnsi"/>
          <w:sz w:val="24"/>
          <w:szCs w:val="24"/>
        </w:rPr>
      </w:pPr>
    </w:p>
    <w:p w:rsidR="00F277D1" w:rsidRPr="00D856FD" w:rsidRDefault="00F277D1" w:rsidP="00F277D1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The data column in the files are as follows: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Pr="00D856FD">
        <w:rPr>
          <w:rFonts w:eastAsia="SimSun" w:cstheme="minorHAnsi"/>
          <w:sz w:val="24"/>
          <w:szCs w:val="24"/>
        </w:rPr>
        <w:t>“state” – two-character ID of the state containing the monitor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2: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Pr="00D856FD">
        <w:rPr>
          <w:rFonts w:eastAsia="SimSun" w:cstheme="minorHAnsi"/>
          <w:sz w:val="24"/>
          <w:szCs w:val="24"/>
        </w:rPr>
        <w:t>“county” – three-character ID of the county containing the monitor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3: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="000A719F" w:rsidRPr="00D856FD">
        <w:rPr>
          <w:rFonts w:eastAsia="SimSun" w:cstheme="minorHAnsi"/>
          <w:sz w:val="24"/>
          <w:szCs w:val="24"/>
        </w:rPr>
        <w:t>“site</w:t>
      </w:r>
      <w:r w:rsidRPr="00D856FD">
        <w:rPr>
          <w:rFonts w:eastAsia="SimSun" w:cstheme="minorHAnsi"/>
          <w:sz w:val="24"/>
          <w:szCs w:val="24"/>
        </w:rPr>
        <w:t>” – four-character ID of the site at which the monitor is located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4: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Pr="00D856FD">
        <w:rPr>
          <w:rFonts w:eastAsia="SimSun" w:cstheme="minorHAnsi"/>
          <w:sz w:val="24"/>
          <w:szCs w:val="24"/>
        </w:rPr>
        <w:t>“Longitude” – longitude (in degrees) of the monitor site location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5: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Pr="00D856FD">
        <w:rPr>
          <w:rFonts w:eastAsia="SimSun" w:cstheme="minorHAnsi"/>
          <w:sz w:val="24"/>
          <w:szCs w:val="24"/>
        </w:rPr>
        <w:t>“Latitude” – latitude (in degrees) of the monitor site location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6: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Pr="00D856FD">
        <w:rPr>
          <w:rFonts w:eastAsia="SimSun" w:cstheme="minorHAnsi"/>
          <w:sz w:val="24"/>
          <w:szCs w:val="24"/>
        </w:rPr>
        <w:t>“column” – integer indicating the model grid cell column containing the monitor</w:t>
      </w:r>
    </w:p>
    <w:p w:rsidR="00F277D1" w:rsidRPr="00D856FD" w:rsidRDefault="00F277D1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7: </w:t>
      </w:r>
      <w:r w:rsidR="0084494D" w:rsidRPr="00D856FD">
        <w:rPr>
          <w:rFonts w:eastAsia="SimSun" w:cstheme="minorHAnsi"/>
          <w:sz w:val="24"/>
          <w:szCs w:val="24"/>
        </w:rPr>
        <w:tab/>
      </w:r>
      <w:r w:rsidRPr="00D856FD">
        <w:rPr>
          <w:rFonts w:eastAsia="SimSun" w:cstheme="minorHAnsi"/>
          <w:sz w:val="24"/>
          <w:szCs w:val="24"/>
        </w:rPr>
        <w:t>“row” – integer indicating the model grid cell row containing the monitor</w:t>
      </w:r>
    </w:p>
    <w:p w:rsidR="00F277D1" w:rsidRPr="00D856FD" w:rsidRDefault="0084494D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8: </w:t>
      </w:r>
      <w:r w:rsidRPr="00D856FD">
        <w:rPr>
          <w:rFonts w:eastAsia="SimSun" w:cstheme="minorHAnsi"/>
          <w:sz w:val="24"/>
          <w:szCs w:val="24"/>
        </w:rPr>
        <w:tab/>
        <w:t>“date” – date (mm/</w:t>
      </w:r>
      <w:proofErr w:type="spellStart"/>
      <w:r w:rsidRPr="00D856FD">
        <w:rPr>
          <w:rFonts w:eastAsia="SimSun" w:cstheme="minorHAnsi"/>
          <w:sz w:val="24"/>
          <w:szCs w:val="24"/>
        </w:rPr>
        <w:t>dd</w:t>
      </w:r>
      <w:proofErr w:type="spellEnd"/>
      <w:r w:rsidRPr="00D856FD">
        <w:rPr>
          <w:rFonts w:eastAsia="SimSun" w:cstheme="minorHAnsi"/>
          <w:sz w:val="24"/>
          <w:szCs w:val="24"/>
        </w:rPr>
        <w:t>/</w:t>
      </w:r>
      <w:proofErr w:type="spellStart"/>
      <w:r w:rsidRPr="00D856FD">
        <w:rPr>
          <w:rFonts w:eastAsia="SimSun" w:cstheme="minorHAnsi"/>
          <w:sz w:val="24"/>
          <w:szCs w:val="24"/>
        </w:rPr>
        <w:t>yyyy</w:t>
      </w:r>
      <w:proofErr w:type="spellEnd"/>
      <w:r w:rsidRPr="00D856FD">
        <w:rPr>
          <w:rFonts w:eastAsia="SimSun" w:cstheme="minorHAnsi"/>
          <w:sz w:val="24"/>
          <w:szCs w:val="24"/>
        </w:rPr>
        <w:t>) of the observed and modeled values</w:t>
      </w:r>
    </w:p>
    <w:p w:rsidR="0084494D" w:rsidRPr="00D856FD" w:rsidRDefault="0084494D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9: </w:t>
      </w:r>
      <w:r w:rsidRPr="00D856FD">
        <w:rPr>
          <w:rFonts w:eastAsia="SimSun" w:cstheme="minorHAnsi"/>
          <w:sz w:val="24"/>
          <w:szCs w:val="24"/>
        </w:rPr>
        <w:tab/>
        <w:t>“O3_1hrmax” – observed daily maximum 1-hr ozone in ppb</w:t>
      </w:r>
    </w:p>
    <w:p w:rsidR="0084494D" w:rsidRPr="00D856FD" w:rsidRDefault="0084494D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10: </w:t>
      </w:r>
      <w:r w:rsidRPr="00D856FD">
        <w:rPr>
          <w:rFonts w:eastAsia="SimSun" w:cstheme="minorHAnsi"/>
          <w:sz w:val="24"/>
          <w:szCs w:val="24"/>
        </w:rPr>
        <w:tab/>
        <w:t>“O3_1hrmax_time” – hour when the observed daily maximum 1-hr ozone occurred</w:t>
      </w:r>
    </w:p>
    <w:p w:rsidR="0084494D" w:rsidRPr="00D856FD" w:rsidRDefault="0084494D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11: </w:t>
      </w:r>
      <w:r w:rsidRPr="00D856FD">
        <w:rPr>
          <w:rFonts w:eastAsia="SimSun" w:cstheme="minorHAnsi"/>
          <w:sz w:val="24"/>
          <w:szCs w:val="24"/>
        </w:rPr>
        <w:tab/>
        <w:t xml:space="preserve">“O3_1hrmax” – </w:t>
      </w:r>
      <w:r w:rsidR="002D641B" w:rsidRPr="00D856FD">
        <w:rPr>
          <w:rFonts w:eastAsia="SimSun" w:cstheme="minorHAnsi"/>
          <w:sz w:val="24"/>
          <w:szCs w:val="24"/>
        </w:rPr>
        <w:t>WRF/CMAQ</w:t>
      </w:r>
      <w:r w:rsidRPr="00D856FD">
        <w:rPr>
          <w:rFonts w:eastAsia="SimSun" w:cstheme="minorHAnsi"/>
          <w:sz w:val="24"/>
          <w:szCs w:val="24"/>
        </w:rPr>
        <w:t xml:space="preserve"> daily maximum 1-hr ozone in ppb</w:t>
      </w:r>
    </w:p>
    <w:p w:rsidR="0084494D" w:rsidRPr="00D856FD" w:rsidRDefault="0084494D" w:rsidP="0084494D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lastRenderedPageBreak/>
        <w:t xml:space="preserve">Column 12: </w:t>
      </w:r>
      <w:r w:rsidRPr="00D856FD">
        <w:rPr>
          <w:rFonts w:eastAsia="SimSun" w:cstheme="minorHAnsi"/>
          <w:sz w:val="24"/>
          <w:szCs w:val="24"/>
        </w:rPr>
        <w:tab/>
        <w:t xml:space="preserve">“O3_1hrmax_9cell” – </w:t>
      </w:r>
      <w:r w:rsidR="002D641B" w:rsidRPr="00D856FD">
        <w:rPr>
          <w:rFonts w:eastAsia="SimSun" w:cstheme="minorHAnsi"/>
          <w:sz w:val="24"/>
          <w:szCs w:val="24"/>
        </w:rPr>
        <w:t>WRF/CMAQ</w:t>
      </w:r>
      <w:r w:rsidRPr="00D856FD">
        <w:rPr>
          <w:rFonts w:eastAsia="SimSun" w:cstheme="minorHAnsi"/>
          <w:sz w:val="24"/>
          <w:szCs w:val="24"/>
        </w:rPr>
        <w:t xml:space="preserve"> daily maximum 1-hr ozone in ppb, considering the grid cell containing the monitor as well as the surrounding eight grid cells</w:t>
      </w:r>
    </w:p>
    <w:p w:rsidR="00E7489E" w:rsidRPr="00D856FD" w:rsidRDefault="00E7489E" w:rsidP="00E7489E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13: </w:t>
      </w:r>
      <w:r w:rsidRPr="00D856FD">
        <w:rPr>
          <w:rFonts w:eastAsia="SimSun" w:cstheme="minorHAnsi"/>
          <w:sz w:val="24"/>
          <w:szCs w:val="24"/>
        </w:rPr>
        <w:tab/>
        <w:t>“O3_</w:t>
      </w:r>
      <w:r w:rsidR="002D641B" w:rsidRPr="00D856FD">
        <w:rPr>
          <w:rFonts w:eastAsia="SimSun" w:cstheme="minorHAnsi"/>
          <w:sz w:val="24"/>
          <w:szCs w:val="24"/>
        </w:rPr>
        <w:t>8</w:t>
      </w:r>
      <w:r w:rsidRPr="00D856FD">
        <w:rPr>
          <w:rFonts w:eastAsia="SimSun" w:cstheme="minorHAnsi"/>
          <w:sz w:val="24"/>
          <w:szCs w:val="24"/>
        </w:rPr>
        <w:t xml:space="preserve">hrmax” – observed daily maximum </w:t>
      </w:r>
      <w:r w:rsidR="002D641B" w:rsidRPr="00D856FD">
        <w:rPr>
          <w:rFonts w:eastAsia="SimSun" w:cstheme="minorHAnsi"/>
          <w:sz w:val="24"/>
          <w:szCs w:val="24"/>
        </w:rPr>
        <w:t>8</w:t>
      </w:r>
      <w:r w:rsidRPr="00D856FD">
        <w:rPr>
          <w:rFonts w:eastAsia="SimSun" w:cstheme="minorHAnsi"/>
          <w:sz w:val="24"/>
          <w:szCs w:val="24"/>
        </w:rPr>
        <w:t xml:space="preserve">-hr </w:t>
      </w:r>
      <w:r w:rsidR="002D641B" w:rsidRPr="00D856FD">
        <w:rPr>
          <w:rFonts w:eastAsia="SimSun" w:cstheme="minorHAnsi"/>
          <w:sz w:val="24"/>
          <w:szCs w:val="24"/>
        </w:rPr>
        <w:t xml:space="preserve">average </w:t>
      </w:r>
      <w:r w:rsidRPr="00D856FD">
        <w:rPr>
          <w:rFonts w:eastAsia="SimSun" w:cstheme="minorHAnsi"/>
          <w:sz w:val="24"/>
          <w:szCs w:val="24"/>
        </w:rPr>
        <w:t>ozone in ppb</w:t>
      </w:r>
    </w:p>
    <w:p w:rsidR="00E7489E" w:rsidRPr="00D856FD" w:rsidRDefault="00E7489E" w:rsidP="00E7489E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14: </w:t>
      </w:r>
      <w:r w:rsidRPr="00D856FD">
        <w:rPr>
          <w:rFonts w:eastAsia="SimSun" w:cstheme="minorHAnsi"/>
          <w:sz w:val="24"/>
          <w:szCs w:val="24"/>
        </w:rPr>
        <w:tab/>
        <w:t>“O3_</w:t>
      </w:r>
      <w:r w:rsidR="002D641B" w:rsidRPr="00D856FD">
        <w:rPr>
          <w:rFonts w:eastAsia="SimSun" w:cstheme="minorHAnsi"/>
          <w:sz w:val="24"/>
          <w:szCs w:val="24"/>
        </w:rPr>
        <w:t>8</w:t>
      </w:r>
      <w:r w:rsidRPr="00D856FD">
        <w:rPr>
          <w:rFonts w:eastAsia="SimSun" w:cstheme="minorHAnsi"/>
          <w:sz w:val="24"/>
          <w:szCs w:val="24"/>
        </w:rPr>
        <w:t xml:space="preserve">hrmax_time” – hour when the observed daily maximum </w:t>
      </w:r>
      <w:r w:rsidR="002D641B" w:rsidRPr="00D856FD">
        <w:rPr>
          <w:rFonts w:eastAsia="SimSun" w:cstheme="minorHAnsi"/>
          <w:sz w:val="24"/>
          <w:szCs w:val="24"/>
        </w:rPr>
        <w:t>8-hr average</w:t>
      </w:r>
      <w:r w:rsidRPr="00D856FD">
        <w:rPr>
          <w:rFonts w:eastAsia="SimSun" w:cstheme="minorHAnsi"/>
          <w:sz w:val="24"/>
          <w:szCs w:val="24"/>
        </w:rPr>
        <w:t xml:space="preserve"> ozone occurred</w:t>
      </w:r>
    </w:p>
    <w:p w:rsidR="00E7489E" w:rsidRPr="00D856FD" w:rsidRDefault="00E7489E" w:rsidP="00E7489E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15: </w:t>
      </w:r>
      <w:r w:rsidRPr="00D856FD">
        <w:rPr>
          <w:rFonts w:eastAsia="SimSun" w:cstheme="minorHAnsi"/>
          <w:sz w:val="24"/>
          <w:szCs w:val="24"/>
        </w:rPr>
        <w:tab/>
        <w:t>“O3_</w:t>
      </w:r>
      <w:r w:rsidR="002D641B" w:rsidRPr="00D856FD">
        <w:rPr>
          <w:rFonts w:eastAsia="SimSun" w:cstheme="minorHAnsi"/>
          <w:sz w:val="24"/>
          <w:szCs w:val="24"/>
        </w:rPr>
        <w:t>8</w:t>
      </w:r>
      <w:r w:rsidRPr="00D856FD">
        <w:rPr>
          <w:rFonts w:eastAsia="SimSun" w:cstheme="minorHAnsi"/>
          <w:sz w:val="24"/>
          <w:szCs w:val="24"/>
        </w:rPr>
        <w:t xml:space="preserve">hrmax” – </w:t>
      </w:r>
      <w:r w:rsidR="002D641B" w:rsidRPr="00D856FD">
        <w:rPr>
          <w:rFonts w:eastAsia="SimSun" w:cstheme="minorHAnsi"/>
          <w:sz w:val="24"/>
          <w:szCs w:val="24"/>
        </w:rPr>
        <w:t>WRF/CMAQ</w:t>
      </w:r>
      <w:r w:rsidRPr="00D856FD">
        <w:rPr>
          <w:rFonts w:eastAsia="SimSun" w:cstheme="minorHAnsi"/>
          <w:sz w:val="24"/>
          <w:szCs w:val="24"/>
        </w:rPr>
        <w:t xml:space="preserve"> </w:t>
      </w:r>
      <w:r w:rsidR="002D641B" w:rsidRPr="00D856FD">
        <w:rPr>
          <w:rFonts w:eastAsia="SimSun" w:cstheme="minorHAnsi"/>
          <w:sz w:val="24"/>
          <w:szCs w:val="24"/>
        </w:rPr>
        <w:t xml:space="preserve">simulated </w:t>
      </w:r>
      <w:r w:rsidRPr="00D856FD">
        <w:rPr>
          <w:rFonts w:eastAsia="SimSun" w:cstheme="minorHAnsi"/>
          <w:sz w:val="24"/>
          <w:szCs w:val="24"/>
        </w:rPr>
        <w:t xml:space="preserve">daily maximum </w:t>
      </w:r>
      <w:r w:rsidR="002D641B" w:rsidRPr="00D856FD">
        <w:rPr>
          <w:rFonts w:eastAsia="SimSun" w:cstheme="minorHAnsi"/>
          <w:sz w:val="24"/>
          <w:szCs w:val="24"/>
        </w:rPr>
        <w:t xml:space="preserve">8-hr average </w:t>
      </w:r>
      <w:r w:rsidRPr="00D856FD">
        <w:rPr>
          <w:rFonts w:eastAsia="SimSun" w:cstheme="minorHAnsi"/>
          <w:sz w:val="24"/>
          <w:szCs w:val="24"/>
        </w:rPr>
        <w:t>ozone in ppb</w:t>
      </w:r>
    </w:p>
    <w:p w:rsidR="00E7489E" w:rsidRPr="00D856FD" w:rsidRDefault="00E7489E" w:rsidP="00500CCE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 xml:space="preserve">Column 16: </w:t>
      </w:r>
      <w:r w:rsidRPr="00D856FD">
        <w:rPr>
          <w:rFonts w:eastAsia="SimSun" w:cstheme="minorHAnsi"/>
          <w:sz w:val="24"/>
          <w:szCs w:val="24"/>
        </w:rPr>
        <w:tab/>
        <w:t>“O3_</w:t>
      </w:r>
      <w:r w:rsidR="002D641B" w:rsidRPr="00D856FD">
        <w:rPr>
          <w:rFonts w:eastAsia="SimSun" w:cstheme="minorHAnsi"/>
          <w:sz w:val="24"/>
          <w:szCs w:val="24"/>
        </w:rPr>
        <w:t>8</w:t>
      </w:r>
      <w:r w:rsidRPr="00D856FD">
        <w:rPr>
          <w:rFonts w:eastAsia="SimSun" w:cstheme="minorHAnsi"/>
          <w:sz w:val="24"/>
          <w:szCs w:val="24"/>
        </w:rPr>
        <w:t xml:space="preserve">hrmax_9cell” – </w:t>
      </w:r>
      <w:r w:rsidR="002D641B" w:rsidRPr="00D856FD">
        <w:rPr>
          <w:rFonts w:eastAsia="SimSun" w:cstheme="minorHAnsi"/>
          <w:sz w:val="24"/>
          <w:szCs w:val="24"/>
        </w:rPr>
        <w:t>WRF/CMAQ</w:t>
      </w:r>
      <w:r w:rsidRPr="00D856FD">
        <w:rPr>
          <w:rFonts w:eastAsia="SimSun" w:cstheme="minorHAnsi"/>
          <w:sz w:val="24"/>
          <w:szCs w:val="24"/>
        </w:rPr>
        <w:t xml:space="preserve"> daily maximum </w:t>
      </w:r>
      <w:r w:rsidR="002D641B" w:rsidRPr="00D856FD">
        <w:rPr>
          <w:rFonts w:eastAsia="SimSun" w:cstheme="minorHAnsi"/>
          <w:sz w:val="24"/>
          <w:szCs w:val="24"/>
        </w:rPr>
        <w:t xml:space="preserve">8-hr average </w:t>
      </w:r>
      <w:r w:rsidRPr="00D856FD">
        <w:rPr>
          <w:rFonts w:eastAsia="SimSun" w:cstheme="minorHAnsi"/>
          <w:sz w:val="24"/>
          <w:szCs w:val="24"/>
        </w:rPr>
        <w:t>ozone in ppb, considering the grid cell containing the monitor as well as the surrounding eight grid cells</w:t>
      </w:r>
    </w:p>
    <w:p w:rsidR="00E7489E" w:rsidRPr="00D856FD" w:rsidRDefault="00500CCE" w:rsidP="00500CCE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Column 17:</w:t>
      </w:r>
      <w:r w:rsidRPr="00D856FD">
        <w:rPr>
          <w:rFonts w:eastAsia="SimSun" w:cstheme="minorHAnsi"/>
          <w:sz w:val="24"/>
          <w:szCs w:val="24"/>
        </w:rPr>
        <w:tab/>
        <w:t>“W126” – cumulative W126 exposure index calculated from observations</w:t>
      </w:r>
      <w:r w:rsidR="00936003" w:rsidRPr="00D856FD">
        <w:rPr>
          <w:rFonts w:eastAsia="SimSun" w:cstheme="minorHAnsi"/>
          <w:sz w:val="24"/>
          <w:szCs w:val="24"/>
        </w:rPr>
        <w:t xml:space="preserve"> in ppm-hours</w:t>
      </w:r>
    </w:p>
    <w:p w:rsidR="00500CCE" w:rsidRPr="00D856FD" w:rsidRDefault="00500CCE" w:rsidP="00500CCE">
      <w:pPr>
        <w:spacing w:line="256" w:lineRule="auto"/>
        <w:ind w:left="1440" w:hanging="1440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Column 18:</w:t>
      </w:r>
      <w:r w:rsidRPr="00D856FD">
        <w:rPr>
          <w:rFonts w:eastAsia="SimSun" w:cstheme="minorHAnsi"/>
          <w:sz w:val="24"/>
          <w:szCs w:val="24"/>
        </w:rPr>
        <w:tab/>
        <w:t>“W126” – cumulative W126 exposure index calculated from WRF/CMAQ simulations</w:t>
      </w:r>
      <w:r w:rsidR="00936003" w:rsidRPr="00D856FD">
        <w:rPr>
          <w:rFonts w:eastAsia="SimSun" w:cstheme="minorHAnsi"/>
          <w:sz w:val="24"/>
          <w:szCs w:val="24"/>
        </w:rPr>
        <w:t xml:space="preserve"> in ppm-hours</w:t>
      </w:r>
    </w:p>
    <w:p w:rsidR="00F277D1" w:rsidRPr="00D856FD" w:rsidRDefault="00F277D1" w:rsidP="00F277D1">
      <w:pPr>
        <w:spacing w:line="256" w:lineRule="auto"/>
        <w:rPr>
          <w:rFonts w:eastAsia="SimSun" w:cstheme="minorHAnsi"/>
          <w:sz w:val="24"/>
          <w:szCs w:val="24"/>
        </w:rPr>
      </w:pPr>
    </w:p>
    <w:p w:rsidR="00936003" w:rsidRPr="00D856FD" w:rsidRDefault="00936003" w:rsidP="00F277D1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Only the data contained in columns 4, 5, 13 and 15 was used in the analysis presented in this manuscript.</w:t>
      </w:r>
    </w:p>
    <w:p w:rsidR="0008058A" w:rsidRPr="00D856FD" w:rsidRDefault="00CD1E8A" w:rsidP="00F277D1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For the first set of simulations (1990 – 2010 at 36km horizontal resolution), t</w:t>
      </w:r>
      <w:r w:rsidR="0008058A" w:rsidRPr="00D856FD">
        <w:rPr>
          <w:rFonts w:eastAsia="SimSun" w:cstheme="minorHAnsi"/>
          <w:sz w:val="24"/>
          <w:szCs w:val="24"/>
        </w:rPr>
        <w:t xml:space="preserve">he </w:t>
      </w:r>
      <w:r w:rsidRPr="00D856FD">
        <w:rPr>
          <w:rFonts w:eastAsia="SimSun" w:cstheme="minorHAnsi"/>
          <w:sz w:val="24"/>
          <w:szCs w:val="24"/>
        </w:rPr>
        <w:t xml:space="preserve">252 </w:t>
      </w:r>
      <w:r w:rsidR="0008058A" w:rsidRPr="00D856FD">
        <w:rPr>
          <w:rFonts w:eastAsia="SimSun" w:cstheme="minorHAnsi"/>
          <w:sz w:val="24"/>
          <w:szCs w:val="24"/>
        </w:rPr>
        <w:t>individual</w:t>
      </w:r>
      <w:r w:rsidRPr="00D856FD">
        <w:rPr>
          <w:rFonts w:eastAsia="SimSun" w:cstheme="minorHAnsi"/>
          <w:sz w:val="24"/>
          <w:szCs w:val="24"/>
        </w:rPr>
        <w:t xml:space="preserve"> monthly</w:t>
      </w:r>
      <w:r w:rsidR="0008058A" w:rsidRPr="00D856FD">
        <w:rPr>
          <w:rFonts w:eastAsia="SimSun" w:cstheme="minorHAnsi"/>
          <w:sz w:val="24"/>
          <w:szCs w:val="24"/>
        </w:rPr>
        <w:t xml:space="preserve"> files are named “AQS_Daily_DOE_CONUS36_SF_RERUN.csv” in folders named “YYYYMM” indicating a </w:t>
      </w:r>
      <w:proofErr w:type="gramStart"/>
      <w:r w:rsidR="0008058A" w:rsidRPr="00D856FD">
        <w:rPr>
          <w:rFonts w:eastAsia="SimSun" w:cstheme="minorHAnsi"/>
          <w:sz w:val="24"/>
          <w:szCs w:val="24"/>
        </w:rPr>
        <w:t>four digit</w:t>
      </w:r>
      <w:proofErr w:type="gramEnd"/>
      <w:r w:rsidR="0008058A" w:rsidRPr="00D856FD">
        <w:rPr>
          <w:rFonts w:eastAsia="SimSun" w:cstheme="minorHAnsi"/>
          <w:sz w:val="24"/>
          <w:szCs w:val="24"/>
        </w:rPr>
        <w:t xml:space="preserve"> year (1990 – 2010) and a two digit month (01 – 12).</w:t>
      </w:r>
    </w:p>
    <w:p w:rsidR="00CD1E8A" w:rsidRPr="00D856FD" w:rsidRDefault="00CD1E8A" w:rsidP="00CD1E8A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For the second set of simulations (2010 at 12km horizontal resolution for both the base case and the sensitivity scenario described above), the 24 individual monthly files are named “AQS_Daily_AQMEII3_BASE.csv” and “</w:t>
      </w:r>
      <w:proofErr w:type="gramStart"/>
      <w:r w:rsidRPr="00D856FD">
        <w:rPr>
          <w:rFonts w:eastAsia="SimSun" w:cstheme="minorHAnsi"/>
          <w:sz w:val="24"/>
          <w:szCs w:val="24"/>
        </w:rPr>
        <w:t>AQS_Daily_AQMEII3_BC_GLO_EM_GLO.csv”  in</w:t>
      </w:r>
      <w:proofErr w:type="gramEnd"/>
      <w:r w:rsidRPr="00D856FD">
        <w:rPr>
          <w:rFonts w:eastAsia="SimSun" w:cstheme="minorHAnsi"/>
          <w:sz w:val="24"/>
          <w:szCs w:val="24"/>
        </w:rPr>
        <w:t xml:space="preserve"> folders named “MM” indicating a two digit month (01 – 12).</w:t>
      </w:r>
    </w:p>
    <w:p w:rsidR="00CD1E8A" w:rsidRPr="00D856FD" w:rsidRDefault="00CD1E8A" w:rsidP="00F277D1">
      <w:pPr>
        <w:spacing w:line="256" w:lineRule="auto"/>
        <w:rPr>
          <w:rFonts w:eastAsia="SimSun" w:cstheme="minorHAnsi"/>
          <w:sz w:val="24"/>
          <w:szCs w:val="24"/>
        </w:rPr>
      </w:pPr>
    </w:p>
    <w:p w:rsidR="00F277D1" w:rsidRPr="00D856FD" w:rsidRDefault="00F277D1" w:rsidP="00F277D1">
      <w:pPr>
        <w:spacing w:line="256" w:lineRule="auto"/>
        <w:rPr>
          <w:rFonts w:eastAsia="SimSun" w:cstheme="minorHAnsi"/>
          <w:b/>
          <w:sz w:val="24"/>
          <w:szCs w:val="24"/>
        </w:rPr>
      </w:pPr>
      <w:r w:rsidRPr="00D856FD">
        <w:rPr>
          <w:rFonts w:eastAsia="SimSun" w:cstheme="minorHAnsi"/>
          <w:b/>
          <w:sz w:val="24"/>
          <w:szCs w:val="24"/>
        </w:rPr>
        <w:t>Original WRF/CMAQ Model Data</w:t>
      </w:r>
    </w:p>
    <w:p w:rsidR="00F277D1" w:rsidRPr="00D856FD" w:rsidRDefault="00F277D1" w:rsidP="00F277D1">
      <w:pPr>
        <w:spacing w:line="256" w:lineRule="auto"/>
        <w:rPr>
          <w:rFonts w:eastAsia="SimSun" w:cstheme="minorHAnsi"/>
          <w:sz w:val="24"/>
          <w:szCs w:val="24"/>
        </w:rPr>
      </w:pPr>
      <w:r w:rsidRPr="00D856FD">
        <w:rPr>
          <w:rFonts w:eastAsia="SimSun" w:cstheme="minorHAnsi"/>
          <w:sz w:val="24"/>
          <w:szCs w:val="24"/>
        </w:rPr>
        <w:t>The data from the original WRF/CMAQ model simulations from which the attached data were extracted are very large (several terabytes) and cannot be uploaded to ScienceHub due to size restrictions. These original WRF/CMAQ model simulations are stored on the /</w:t>
      </w:r>
      <w:proofErr w:type="spellStart"/>
      <w:r w:rsidRPr="00D856FD">
        <w:rPr>
          <w:rFonts w:eastAsia="SimSun" w:cstheme="minorHAnsi"/>
          <w:sz w:val="24"/>
          <w:szCs w:val="24"/>
        </w:rPr>
        <w:t>asm</w:t>
      </w:r>
      <w:proofErr w:type="spellEnd"/>
      <w:r w:rsidRPr="00D856FD">
        <w:rPr>
          <w:rFonts w:eastAsia="SimSun" w:cstheme="minorHAnsi"/>
          <w:sz w:val="24"/>
          <w:szCs w:val="24"/>
        </w:rPr>
        <w:t xml:space="preserve"> archival system accessible through the </w:t>
      </w:r>
      <w:r w:rsidR="00865F56">
        <w:rPr>
          <w:rFonts w:eastAsia="SimSun" w:cstheme="minorHAnsi"/>
          <w:sz w:val="24"/>
          <w:szCs w:val="24"/>
        </w:rPr>
        <w:t>atmos</w:t>
      </w:r>
      <w:r w:rsidRPr="00D856FD">
        <w:rPr>
          <w:rFonts w:eastAsia="SimSun" w:cstheme="minorHAnsi"/>
          <w:sz w:val="24"/>
          <w:szCs w:val="24"/>
        </w:rPr>
        <w:t xml:space="preserve"> high-performance computing system.</w:t>
      </w:r>
      <w:r w:rsidRPr="00D856FD">
        <w:rPr>
          <w:rFonts w:eastAsia="SimSun" w:cstheme="minorHAnsi"/>
          <w:i/>
          <w:sz w:val="24"/>
          <w:szCs w:val="24"/>
        </w:rPr>
        <w:t xml:space="preserve"> </w:t>
      </w:r>
      <w:r w:rsidRPr="00D856FD">
        <w:rPr>
          <w:rFonts w:eastAsia="SimSun" w:cstheme="minorHAnsi"/>
          <w:sz w:val="24"/>
          <w:szCs w:val="24"/>
        </w:rPr>
        <w:t xml:space="preserve"> Due to data management policies, files on /</w:t>
      </w:r>
      <w:proofErr w:type="spellStart"/>
      <w:r w:rsidRPr="00D856FD">
        <w:rPr>
          <w:rFonts w:eastAsia="SimSun" w:cstheme="minorHAnsi"/>
          <w:sz w:val="24"/>
          <w:szCs w:val="24"/>
        </w:rPr>
        <w:t>asm</w:t>
      </w:r>
      <w:proofErr w:type="spellEnd"/>
      <w:r w:rsidRPr="00D856FD">
        <w:rPr>
          <w:rFonts w:eastAsia="SimSun" w:cstheme="minorHAnsi"/>
          <w:sz w:val="24"/>
          <w:szCs w:val="24"/>
        </w:rPr>
        <w:t xml:space="preserve"> are subject to expiry depending on the template of the project. Files not requested for extension after the expiry date are deleted permanently from the system. </w:t>
      </w:r>
      <w:r w:rsidRPr="00D856FD">
        <w:rPr>
          <w:rFonts w:cstheme="minorHAnsi"/>
          <w:sz w:val="24"/>
          <w:szCs w:val="24"/>
        </w:rPr>
        <w:t xml:space="preserve">The format of the files used in this analysis and listed below is </w:t>
      </w:r>
      <w:proofErr w:type="spellStart"/>
      <w:r w:rsidRPr="00D856FD">
        <w:rPr>
          <w:rFonts w:cstheme="minorHAnsi"/>
          <w:sz w:val="24"/>
          <w:szCs w:val="24"/>
        </w:rPr>
        <w:t>ioapi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netcdf</w:t>
      </w:r>
      <w:proofErr w:type="spellEnd"/>
      <w:r w:rsidRPr="00D856FD">
        <w:rPr>
          <w:rFonts w:cstheme="minorHAnsi"/>
          <w:sz w:val="24"/>
          <w:szCs w:val="24"/>
        </w:rPr>
        <w:t xml:space="preserve">. Documentation of this format, including definitions of the geographical projection attributes </w:t>
      </w:r>
      <w:r w:rsidRPr="00D856FD">
        <w:rPr>
          <w:rFonts w:cstheme="minorHAnsi"/>
          <w:sz w:val="24"/>
          <w:szCs w:val="24"/>
        </w:rPr>
        <w:lastRenderedPageBreak/>
        <w:t>contained in the file headers, are available at https://www.cmascenter.org/ioapi/documentation/3.1/html/AA.html</w:t>
      </w:r>
    </w:p>
    <w:p w:rsidR="00EC0571" w:rsidRPr="00D856FD" w:rsidRDefault="00D856FD" w:rsidP="00D856F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856FD">
        <w:rPr>
          <w:rFonts w:cstheme="minorHAnsi"/>
          <w:b/>
          <w:sz w:val="24"/>
          <w:szCs w:val="24"/>
        </w:rPr>
        <w:t xml:space="preserve">Meteorological and </w:t>
      </w:r>
      <w:r w:rsidR="00EC0571" w:rsidRPr="00D856FD">
        <w:rPr>
          <w:rFonts w:cstheme="minorHAnsi"/>
          <w:b/>
          <w:sz w:val="24"/>
          <w:szCs w:val="24"/>
        </w:rPr>
        <w:t>Air Quality Variables</w:t>
      </w:r>
      <w:r w:rsidR="00F73406" w:rsidRPr="00D856FD">
        <w:rPr>
          <w:rFonts w:cstheme="minorHAnsi"/>
          <w:b/>
          <w:sz w:val="24"/>
          <w:szCs w:val="24"/>
        </w:rPr>
        <w:t xml:space="preserve"> for the First Set of Simulations </w:t>
      </w:r>
    </w:p>
    <w:p w:rsidR="00C4216A" w:rsidRPr="00D856FD" w:rsidRDefault="00197065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 xml:space="preserve">Files with gridded </w:t>
      </w:r>
      <w:r w:rsidR="00533BBE" w:rsidRPr="00D856FD">
        <w:rPr>
          <w:rFonts w:cstheme="minorHAnsi"/>
          <w:sz w:val="24"/>
          <w:szCs w:val="24"/>
        </w:rPr>
        <w:t xml:space="preserve">hourly </w:t>
      </w:r>
      <w:r w:rsidRPr="00D856FD">
        <w:rPr>
          <w:rFonts w:cstheme="minorHAnsi"/>
          <w:sz w:val="24"/>
          <w:szCs w:val="24"/>
        </w:rPr>
        <w:t xml:space="preserve">air quality and meteorological variables used in the analysis are available for each hour for the 1990 – </w:t>
      </w:r>
      <w:proofErr w:type="gramStart"/>
      <w:r w:rsidRPr="00D856FD">
        <w:rPr>
          <w:rFonts w:cstheme="minorHAnsi"/>
          <w:sz w:val="24"/>
          <w:szCs w:val="24"/>
        </w:rPr>
        <w:t>2010 time</w:t>
      </w:r>
      <w:proofErr w:type="gramEnd"/>
      <w:r w:rsidRPr="00D856FD">
        <w:rPr>
          <w:rFonts w:cstheme="minorHAnsi"/>
          <w:sz w:val="24"/>
          <w:szCs w:val="24"/>
        </w:rPr>
        <w:t xml:space="preserve"> period and are organized in 252 individual files, one for each month. The horizontal resolution of the </w:t>
      </w:r>
      <w:r w:rsidR="00533BBE" w:rsidRPr="00D856FD">
        <w:rPr>
          <w:rFonts w:cstheme="minorHAnsi"/>
          <w:sz w:val="24"/>
          <w:szCs w:val="24"/>
        </w:rPr>
        <w:t>files is 36 km on a Lambert Conformal projection.</w:t>
      </w:r>
      <w:r w:rsidR="00D856FD" w:rsidRPr="00D856FD">
        <w:rPr>
          <w:rFonts w:cstheme="minorHAnsi"/>
          <w:sz w:val="24"/>
          <w:szCs w:val="24"/>
        </w:rPr>
        <w:t xml:space="preserve"> In all file names listed below, {YYYY} is the year (1990 – 2010</w:t>
      </w:r>
      <w:proofErr w:type="gramStart"/>
      <w:r w:rsidR="00D856FD" w:rsidRPr="00D856FD">
        <w:rPr>
          <w:rFonts w:cstheme="minorHAnsi"/>
          <w:sz w:val="24"/>
          <w:szCs w:val="24"/>
        </w:rPr>
        <w:t>),  and</w:t>
      </w:r>
      <w:proofErr w:type="gramEnd"/>
      <w:r w:rsidR="00D856FD" w:rsidRPr="00D856FD">
        <w:rPr>
          <w:rFonts w:cstheme="minorHAnsi"/>
          <w:sz w:val="24"/>
          <w:szCs w:val="24"/>
        </w:rPr>
        <w:t xml:space="preserve"> {MM} is the two-digit month (01 – 12)</w:t>
      </w:r>
    </w:p>
    <w:p w:rsidR="00732E38" w:rsidRPr="00D856FD" w:rsidRDefault="00732E38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For 1990 – 1994</w:t>
      </w:r>
      <w:r w:rsidR="00C4216A" w:rsidRPr="00D856FD">
        <w:rPr>
          <w:rFonts w:cstheme="minorHAnsi"/>
          <w:sz w:val="24"/>
          <w:szCs w:val="24"/>
        </w:rPr>
        <w:t>, the monthly files are</w:t>
      </w:r>
      <w:r w:rsidRPr="00D856FD">
        <w:rPr>
          <w:rFonts w:cstheme="minorHAnsi"/>
          <w:sz w:val="24"/>
          <w:szCs w:val="24"/>
        </w:rPr>
        <w:t>:</w:t>
      </w:r>
    </w:p>
    <w:p w:rsidR="00732E38" w:rsidRPr="00D856FD" w:rsidRDefault="00732E38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/asm/css/DOE_20years/36km/{YYYY}/CCTM_DOE_36km_SF_</w:t>
      </w:r>
      <w:proofErr w:type="gramStart"/>
      <w:r w:rsidRPr="00D856FD">
        <w:rPr>
          <w:rFonts w:cstheme="minorHAnsi"/>
          <w:sz w:val="24"/>
          <w:szCs w:val="24"/>
        </w:rPr>
        <w:t>combine.aconc</w:t>
      </w:r>
      <w:proofErr w:type="gramEnd"/>
      <w:r w:rsidRPr="00D856FD">
        <w:rPr>
          <w:rFonts w:cstheme="minorHAnsi"/>
          <w:sz w:val="24"/>
          <w:szCs w:val="24"/>
        </w:rPr>
        <w:t>.{YYYY}{MM}</w:t>
      </w:r>
    </w:p>
    <w:p w:rsidR="00732E38" w:rsidRPr="00D856FD" w:rsidRDefault="00732E38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For 1995 – 2000</w:t>
      </w:r>
      <w:r w:rsidR="00C4216A" w:rsidRPr="00D856FD">
        <w:rPr>
          <w:rFonts w:cstheme="minorHAnsi"/>
          <w:sz w:val="24"/>
          <w:szCs w:val="24"/>
        </w:rPr>
        <w:t>, the monthly files are:</w:t>
      </w:r>
    </w:p>
    <w:p w:rsidR="00A44E3E" w:rsidRPr="00D856FD" w:rsidRDefault="00732E38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/asm/css/DOE_20years/36km/{YYYY}/CCTM_DOE_36km_SF_RERUN_</w:t>
      </w:r>
      <w:proofErr w:type="gramStart"/>
      <w:r w:rsidRPr="00D856FD">
        <w:rPr>
          <w:rFonts w:cstheme="minorHAnsi"/>
          <w:sz w:val="24"/>
          <w:szCs w:val="24"/>
        </w:rPr>
        <w:t>combine.aconc</w:t>
      </w:r>
      <w:proofErr w:type="gramEnd"/>
      <w:r w:rsidRPr="00D856FD">
        <w:rPr>
          <w:rFonts w:cstheme="minorHAnsi"/>
          <w:sz w:val="24"/>
          <w:szCs w:val="24"/>
        </w:rPr>
        <w:t>.{YYYY}{MM}</w:t>
      </w:r>
    </w:p>
    <w:p w:rsidR="00F73406" w:rsidRPr="00D856FD" w:rsidRDefault="00D856FD" w:rsidP="00D856F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856FD">
        <w:rPr>
          <w:rFonts w:cstheme="minorHAnsi"/>
          <w:sz w:val="24"/>
          <w:szCs w:val="24"/>
        </w:rPr>
        <w:t xml:space="preserve"> </w:t>
      </w:r>
      <w:r w:rsidRPr="00D856FD">
        <w:rPr>
          <w:rFonts w:cstheme="minorHAnsi"/>
          <w:b/>
          <w:sz w:val="24"/>
          <w:szCs w:val="24"/>
        </w:rPr>
        <w:t xml:space="preserve">Meteorological and Air Quality Variables for the Second Set of Simulations </w:t>
      </w:r>
    </w:p>
    <w:p w:rsidR="00D856FD" w:rsidRPr="00D856FD" w:rsidRDefault="00D856FD" w:rsidP="00D856FD">
      <w:pPr>
        <w:rPr>
          <w:rFonts w:cstheme="minorHAnsi"/>
          <w:sz w:val="24"/>
          <w:szCs w:val="24"/>
          <w:u w:val="single"/>
        </w:rPr>
      </w:pPr>
      <w:r w:rsidRPr="00D856FD">
        <w:rPr>
          <w:rFonts w:cstheme="minorHAnsi"/>
          <w:sz w:val="24"/>
          <w:szCs w:val="24"/>
          <w:u w:val="single"/>
        </w:rPr>
        <w:t>WRF Meteorological Input Files to CMAQ</w:t>
      </w:r>
    </w:p>
    <w:p w:rsidR="00D856FD" w:rsidRPr="00D856FD" w:rsidRDefault="00D856FD" w:rsidP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/asm/MOD3APP/met/MCIP_v4.1.3/WRF_2010_35aL/12US1_wetlands100/mcip_out</w:t>
      </w:r>
    </w:p>
    <w:p w:rsidR="00D856FD" w:rsidRPr="00D856FD" w:rsidRDefault="00D856FD" w:rsidP="00D856FD">
      <w:pPr>
        <w:rPr>
          <w:rFonts w:cstheme="minorHAnsi"/>
          <w:sz w:val="24"/>
          <w:szCs w:val="24"/>
          <w:u w:val="single"/>
        </w:rPr>
      </w:pPr>
      <w:r w:rsidRPr="00D856FD">
        <w:rPr>
          <w:rFonts w:cstheme="minorHAnsi"/>
          <w:sz w:val="24"/>
          <w:szCs w:val="24"/>
          <w:u w:val="single"/>
        </w:rPr>
        <w:t>Emission Input Files to CMAQ</w:t>
      </w:r>
    </w:p>
    <w:p w:rsidR="00D856FD" w:rsidRPr="00D856FD" w:rsidRDefault="00D856FD" w:rsidP="00865F56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/MOD3EVAL/E21/</w:t>
      </w:r>
      <w:proofErr w:type="spellStart"/>
      <w:r w:rsidRPr="00D856FD">
        <w:rPr>
          <w:rFonts w:cstheme="minorHAnsi"/>
          <w:sz w:val="24"/>
          <w:szCs w:val="24"/>
        </w:rPr>
        <w:t>smoke_out</w:t>
      </w:r>
      <w:proofErr w:type="spellEnd"/>
      <w:r w:rsidRPr="00D856FD">
        <w:rPr>
          <w:rFonts w:cstheme="minorHAnsi"/>
          <w:sz w:val="24"/>
          <w:szCs w:val="24"/>
        </w:rPr>
        <w:t>/2007ed_10/12US1/cmaq_cb05_soa</w:t>
      </w:r>
    </w:p>
    <w:p w:rsidR="00D856FD" w:rsidRPr="00D856FD" w:rsidRDefault="00D856FD" w:rsidP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css</w:t>
      </w:r>
      <w:proofErr w:type="spellEnd"/>
      <w:r w:rsidRPr="00D856FD">
        <w:rPr>
          <w:rFonts w:cstheme="minorHAnsi"/>
          <w:sz w:val="24"/>
          <w:szCs w:val="24"/>
        </w:rPr>
        <w:t>/AQMEII3/EMIS/anthro20</w:t>
      </w:r>
    </w:p>
    <w:p w:rsidR="00D856FD" w:rsidRPr="00D856FD" w:rsidRDefault="00D856FD" w:rsidP="00D856FD">
      <w:pPr>
        <w:rPr>
          <w:rFonts w:cstheme="minorHAnsi"/>
          <w:sz w:val="24"/>
          <w:szCs w:val="24"/>
          <w:u w:val="single"/>
        </w:rPr>
      </w:pPr>
      <w:r w:rsidRPr="00D856FD">
        <w:rPr>
          <w:rFonts w:cstheme="minorHAnsi"/>
          <w:sz w:val="24"/>
          <w:szCs w:val="24"/>
          <w:u w:val="single"/>
        </w:rPr>
        <w:t>EPIC Input Files to CMAQ</w:t>
      </w:r>
    </w:p>
    <w:p w:rsidR="00D856FD" w:rsidRPr="00D856FD" w:rsidRDefault="00D856FD" w:rsidP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eni</w:t>
      </w:r>
      <w:proofErr w:type="spellEnd"/>
      <w:r w:rsidRPr="00D856FD">
        <w:rPr>
          <w:rFonts w:cstheme="minorHAnsi"/>
          <w:sz w:val="24"/>
          <w:szCs w:val="24"/>
        </w:rPr>
        <w:t>/output4CMAQ/app/</w:t>
      </w:r>
      <w:proofErr w:type="spellStart"/>
      <w:r w:rsidRPr="00D856FD">
        <w:rPr>
          <w:rFonts w:cstheme="minorHAnsi"/>
          <w:sz w:val="24"/>
          <w:szCs w:val="24"/>
        </w:rPr>
        <w:t>toCMAQ</w:t>
      </w:r>
      <w:proofErr w:type="spellEnd"/>
      <w:r w:rsidRPr="00D856FD">
        <w:rPr>
          <w:rFonts w:cstheme="minorHAnsi"/>
          <w:sz w:val="24"/>
          <w:szCs w:val="24"/>
        </w:rPr>
        <w:t>/2010</w:t>
      </w:r>
    </w:p>
    <w:p w:rsidR="00D856FD" w:rsidRPr="00D856FD" w:rsidRDefault="00D856FD" w:rsidP="00D856FD">
      <w:pPr>
        <w:rPr>
          <w:rFonts w:cstheme="minorHAnsi"/>
          <w:sz w:val="24"/>
          <w:szCs w:val="24"/>
          <w:u w:val="single"/>
        </w:rPr>
      </w:pPr>
      <w:r w:rsidRPr="00D856FD">
        <w:rPr>
          <w:rFonts w:cstheme="minorHAnsi"/>
          <w:sz w:val="24"/>
          <w:szCs w:val="24"/>
          <w:u w:val="single"/>
        </w:rPr>
        <w:t>Boundary Condition Input Files to CMAQ</w:t>
      </w:r>
    </w:p>
    <w:p w:rsidR="00D856FD" w:rsidRPr="00D856FD" w:rsidRDefault="00D856FD" w:rsidP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css</w:t>
      </w:r>
      <w:proofErr w:type="spellEnd"/>
      <w:r w:rsidRPr="00D856FD">
        <w:rPr>
          <w:rFonts w:cstheme="minorHAnsi"/>
          <w:sz w:val="24"/>
          <w:szCs w:val="24"/>
        </w:rPr>
        <w:t>/MACC/</w:t>
      </w:r>
      <w:proofErr w:type="spellStart"/>
      <w:r w:rsidRPr="00D856FD">
        <w:rPr>
          <w:rFonts w:cstheme="minorHAnsi"/>
          <w:sz w:val="24"/>
          <w:szCs w:val="24"/>
        </w:rPr>
        <w:t>icbcs</w:t>
      </w:r>
      <w:proofErr w:type="spellEnd"/>
      <w:r w:rsidRPr="00D856FD">
        <w:rPr>
          <w:rFonts w:cstheme="minorHAnsi"/>
          <w:sz w:val="24"/>
          <w:szCs w:val="24"/>
        </w:rPr>
        <w:t>/bctr_12km_MACC_AQMEII3_2010${MM</w:t>
      </w:r>
      <w:proofErr w:type="gramStart"/>
      <w:r w:rsidRPr="00D856FD">
        <w:rPr>
          <w:rFonts w:cstheme="minorHAnsi"/>
          <w:sz w:val="24"/>
          <w:szCs w:val="24"/>
        </w:rPr>
        <w:t>}.</w:t>
      </w:r>
      <w:proofErr w:type="spellStart"/>
      <w:r w:rsidRPr="00D856FD">
        <w:rPr>
          <w:rFonts w:cstheme="minorHAnsi"/>
          <w:sz w:val="24"/>
          <w:szCs w:val="24"/>
        </w:rPr>
        <w:t>ioapi</w:t>
      </w:r>
      <w:proofErr w:type="spellEnd"/>
      <w:proofErr w:type="gramEnd"/>
      <w:r w:rsidRPr="00D856FD">
        <w:rPr>
          <w:rFonts w:cstheme="minorHAnsi"/>
          <w:sz w:val="24"/>
          <w:szCs w:val="24"/>
        </w:rPr>
        <w:t xml:space="preserve"> where {MM} is the two-digit month (01 – 12)</w:t>
      </w:r>
    </w:p>
    <w:p w:rsidR="00D856FD" w:rsidRPr="00D856FD" w:rsidRDefault="00D856FD" w:rsidP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css</w:t>
      </w:r>
      <w:proofErr w:type="spellEnd"/>
      <w:r w:rsidRPr="00D856FD">
        <w:rPr>
          <w:rFonts w:cstheme="minorHAnsi"/>
          <w:sz w:val="24"/>
          <w:szCs w:val="24"/>
        </w:rPr>
        <w:t>/MACC/</w:t>
      </w:r>
      <w:proofErr w:type="spellStart"/>
      <w:r w:rsidRPr="00D856FD">
        <w:rPr>
          <w:rFonts w:cstheme="minorHAnsi"/>
          <w:sz w:val="24"/>
          <w:szCs w:val="24"/>
        </w:rPr>
        <w:t>icbcs</w:t>
      </w:r>
      <w:proofErr w:type="spellEnd"/>
      <w:r w:rsidRPr="00D856FD">
        <w:rPr>
          <w:rFonts w:cstheme="minorHAnsi"/>
          <w:sz w:val="24"/>
          <w:szCs w:val="24"/>
        </w:rPr>
        <w:t>/bctr_12km_MACC_AQMEII3_GLO_2010${MM</w:t>
      </w:r>
      <w:proofErr w:type="gramStart"/>
      <w:r w:rsidRPr="00D856FD">
        <w:rPr>
          <w:rFonts w:cstheme="minorHAnsi"/>
          <w:sz w:val="24"/>
          <w:szCs w:val="24"/>
        </w:rPr>
        <w:t>}.</w:t>
      </w:r>
      <w:proofErr w:type="spellStart"/>
      <w:r w:rsidRPr="00D856FD">
        <w:rPr>
          <w:rFonts w:cstheme="minorHAnsi"/>
          <w:sz w:val="24"/>
          <w:szCs w:val="24"/>
        </w:rPr>
        <w:t>ioapi</w:t>
      </w:r>
      <w:proofErr w:type="spellEnd"/>
      <w:proofErr w:type="gramEnd"/>
      <w:r w:rsidRPr="00D856FD">
        <w:rPr>
          <w:rFonts w:cstheme="minorHAnsi"/>
          <w:sz w:val="24"/>
          <w:szCs w:val="24"/>
        </w:rPr>
        <w:t xml:space="preserve"> where {MM} is the two-digit month (01 – 12)</w:t>
      </w:r>
    </w:p>
    <w:p w:rsidR="00D856FD" w:rsidRPr="00D856FD" w:rsidRDefault="00D856FD" w:rsidP="00D856FD">
      <w:pPr>
        <w:rPr>
          <w:rFonts w:cstheme="minorHAnsi"/>
          <w:sz w:val="24"/>
          <w:szCs w:val="24"/>
          <w:u w:val="single"/>
        </w:rPr>
      </w:pPr>
      <w:r w:rsidRPr="00D856FD">
        <w:rPr>
          <w:rFonts w:cstheme="minorHAnsi"/>
          <w:sz w:val="24"/>
          <w:szCs w:val="24"/>
          <w:u w:val="single"/>
        </w:rPr>
        <w:t>CMAQ Output Files</w:t>
      </w:r>
    </w:p>
    <w:p w:rsidR="00D856FD" w:rsidRPr="00D856FD" w:rsidRDefault="00D856FD" w:rsidP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css</w:t>
      </w:r>
      <w:proofErr w:type="spellEnd"/>
      <w:r w:rsidRPr="00D856FD">
        <w:rPr>
          <w:rFonts w:cstheme="minorHAnsi"/>
          <w:sz w:val="24"/>
          <w:szCs w:val="24"/>
        </w:rPr>
        <w:t>/AQMEII3/BASE/Outputs (base case simulation)</w:t>
      </w:r>
    </w:p>
    <w:p w:rsidR="00F73406" w:rsidRPr="00D856FD" w:rsidRDefault="00D856FD">
      <w:pPr>
        <w:rPr>
          <w:rFonts w:cstheme="minorHAnsi"/>
          <w:sz w:val="24"/>
          <w:szCs w:val="24"/>
        </w:rPr>
      </w:pPr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asm</w:t>
      </w:r>
      <w:proofErr w:type="spellEnd"/>
      <w:r w:rsidRPr="00D856FD">
        <w:rPr>
          <w:rFonts w:cstheme="minorHAnsi"/>
          <w:sz w:val="24"/>
          <w:szCs w:val="24"/>
        </w:rPr>
        <w:t>/</w:t>
      </w:r>
      <w:proofErr w:type="spellStart"/>
      <w:r w:rsidRPr="00D856FD">
        <w:rPr>
          <w:rFonts w:cstheme="minorHAnsi"/>
          <w:sz w:val="24"/>
          <w:szCs w:val="24"/>
        </w:rPr>
        <w:t>css</w:t>
      </w:r>
      <w:proofErr w:type="spellEnd"/>
      <w:r w:rsidRPr="00D856FD">
        <w:rPr>
          <w:rFonts w:cstheme="minorHAnsi"/>
          <w:sz w:val="24"/>
          <w:szCs w:val="24"/>
        </w:rPr>
        <w:t>/AQMEII3/BC_BASE_EM_GLO/Outputs (20% emission reduction simulation)</w:t>
      </w:r>
    </w:p>
    <w:sectPr w:rsidR="00F73406" w:rsidRPr="00D8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433"/>
    <w:multiLevelType w:val="hybridMultilevel"/>
    <w:tmpl w:val="3BD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1E95"/>
    <w:multiLevelType w:val="hybridMultilevel"/>
    <w:tmpl w:val="74A8DB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B"/>
    <w:rsid w:val="00053BF3"/>
    <w:rsid w:val="0008058A"/>
    <w:rsid w:val="000A719F"/>
    <w:rsid w:val="000E4633"/>
    <w:rsid w:val="00113A87"/>
    <w:rsid w:val="001309A3"/>
    <w:rsid w:val="00150C30"/>
    <w:rsid w:val="00175790"/>
    <w:rsid w:val="001761B0"/>
    <w:rsid w:val="0018062A"/>
    <w:rsid w:val="00197065"/>
    <w:rsid w:val="001A4A74"/>
    <w:rsid w:val="001D0FA7"/>
    <w:rsid w:val="001D4ED4"/>
    <w:rsid w:val="001E02CD"/>
    <w:rsid w:val="001F41B8"/>
    <w:rsid w:val="00217F8B"/>
    <w:rsid w:val="0022048B"/>
    <w:rsid w:val="00220D57"/>
    <w:rsid w:val="00251C54"/>
    <w:rsid w:val="002679D6"/>
    <w:rsid w:val="00275CCC"/>
    <w:rsid w:val="00283740"/>
    <w:rsid w:val="00294830"/>
    <w:rsid w:val="002B39F5"/>
    <w:rsid w:val="002C4888"/>
    <w:rsid w:val="002D641B"/>
    <w:rsid w:val="00317A37"/>
    <w:rsid w:val="003809C3"/>
    <w:rsid w:val="00405C0B"/>
    <w:rsid w:val="00410210"/>
    <w:rsid w:val="00415136"/>
    <w:rsid w:val="00457039"/>
    <w:rsid w:val="004E4FDA"/>
    <w:rsid w:val="004E5CE9"/>
    <w:rsid w:val="00500CCE"/>
    <w:rsid w:val="00505366"/>
    <w:rsid w:val="005122FB"/>
    <w:rsid w:val="00533BBE"/>
    <w:rsid w:val="00560D13"/>
    <w:rsid w:val="00576B4B"/>
    <w:rsid w:val="005A0865"/>
    <w:rsid w:val="005A51E1"/>
    <w:rsid w:val="005C01AB"/>
    <w:rsid w:val="0061321E"/>
    <w:rsid w:val="006401DF"/>
    <w:rsid w:val="006416F2"/>
    <w:rsid w:val="006536A0"/>
    <w:rsid w:val="00665C9D"/>
    <w:rsid w:val="00667E3B"/>
    <w:rsid w:val="00673C49"/>
    <w:rsid w:val="00687F8C"/>
    <w:rsid w:val="00695B28"/>
    <w:rsid w:val="00721ACB"/>
    <w:rsid w:val="0072239D"/>
    <w:rsid w:val="00732E38"/>
    <w:rsid w:val="00755BC2"/>
    <w:rsid w:val="00783007"/>
    <w:rsid w:val="00792A1E"/>
    <w:rsid w:val="007B6C44"/>
    <w:rsid w:val="007C25C9"/>
    <w:rsid w:val="007D154D"/>
    <w:rsid w:val="007D1F8D"/>
    <w:rsid w:val="00807440"/>
    <w:rsid w:val="008168DA"/>
    <w:rsid w:val="00827B5E"/>
    <w:rsid w:val="0084494D"/>
    <w:rsid w:val="008522F3"/>
    <w:rsid w:val="00865173"/>
    <w:rsid w:val="00865F56"/>
    <w:rsid w:val="0088309E"/>
    <w:rsid w:val="00890D0C"/>
    <w:rsid w:val="008926D9"/>
    <w:rsid w:val="008A514F"/>
    <w:rsid w:val="008C2A2C"/>
    <w:rsid w:val="008C31C3"/>
    <w:rsid w:val="008C4E54"/>
    <w:rsid w:val="008E5028"/>
    <w:rsid w:val="00924DE0"/>
    <w:rsid w:val="00936003"/>
    <w:rsid w:val="00937AF9"/>
    <w:rsid w:val="00953864"/>
    <w:rsid w:val="00956924"/>
    <w:rsid w:val="00976540"/>
    <w:rsid w:val="009876C4"/>
    <w:rsid w:val="00996B69"/>
    <w:rsid w:val="009975EB"/>
    <w:rsid w:val="009B60FF"/>
    <w:rsid w:val="009B74D7"/>
    <w:rsid w:val="009D0FBE"/>
    <w:rsid w:val="009E085E"/>
    <w:rsid w:val="009F040F"/>
    <w:rsid w:val="009F65D2"/>
    <w:rsid w:val="00A316DD"/>
    <w:rsid w:val="00A44E3E"/>
    <w:rsid w:val="00A561FB"/>
    <w:rsid w:val="00A655BF"/>
    <w:rsid w:val="00A65F4C"/>
    <w:rsid w:val="00A67F71"/>
    <w:rsid w:val="00A72BD3"/>
    <w:rsid w:val="00AB4FB6"/>
    <w:rsid w:val="00AC4090"/>
    <w:rsid w:val="00AD0C9C"/>
    <w:rsid w:val="00AF24B3"/>
    <w:rsid w:val="00B0681C"/>
    <w:rsid w:val="00B265FB"/>
    <w:rsid w:val="00B70901"/>
    <w:rsid w:val="00B7454E"/>
    <w:rsid w:val="00B80B14"/>
    <w:rsid w:val="00BD10A2"/>
    <w:rsid w:val="00BE2523"/>
    <w:rsid w:val="00C16701"/>
    <w:rsid w:val="00C4216A"/>
    <w:rsid w:val="00C73AC5"/>
    <w:rsid w:val="00C80D5C"/>
    <w:rsid w:val="00C94590"/>
    <w:rsid w:val="00CA2E75"/>
    <w:rsid w:val="00CC3CF2"/>
    <w:rsid w:val="00CD1E8A"/>
    <w:rsid w:val="00CE4761"/>
    <w:rsid w:val="00D5201E"/>
    <w:rsid w:val="00D62D01"/>
    <w:rsid w:val="00D64853"/>
    <w:rsid w:val="00D856FD"/>
    <w:rsid w:val="00DD73BB"/>
    <w:rsid w:val="00DD7A43"/>
    <w:rsid w:val="00DE67F7"/>
    <w:rsid w:val="00E30F6E"/>
    <w:rsid w:val="00E433A0"/>
    <w:rsid w:val="00E640A4"/>
    <w:rsid w:val="00E74823"/>
    <w:rsid w:val="00E7489E"/>
    <w:rsid w:val="00EC0571"/>
    <w:rsid w:val="00EC11DE"/>
    <w:rsid w:val="00ED016E"/>
    <w:rsid w:val="00F277D1"/>
    <w:rsid w:val="00F332CA"/>
    <w:rsid w:val="00F673D4"/>
    <w:rsid w:val="00F71027"/>
    <w:rsid w:val="00F73406"/>
    <w:rsid w:val="00F85BC3"/>
    <w:rsid w:val="00F910E2"/>
    <w:rsid w:val="00FA3F46"/>
    <w:rsid w:val="00FA4C1C"/>
    <w:rsid w:val="00FC45D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8D2B1-2086-4D8C-9B66-B353C01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Jia</dc:creator>
  <cp:keywords/>
  <dc:description/>
  <cp:lastModifiedBy>Hogrefe, Christian</cp:lastModifiedBy>
  <cp:revision>16</cp:revision>
  <dcterms:created xsi:type="dcterms:W3CDTF">2017-03-30T19:48:00Z</dcterms:created>
  <dcterms:modified xsi:type="dcterms:W3CDTF">2018-09-11T14:36:00Z</dcterms:modified>
</cp:coreProperties>
</file>