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65FF59" w14:textId="77777777" w:rsidR="00912CFC" w:rsidRPr="00375747" w:rsidRDefault="00912CFC" w:rsidP="00912CFC">
      <w:pPr>
        <w:spacing w:line="360" w:lineRule="auto"/>
        <w:rPr>
          <w:rFonts w:asciiTheme="minorHAnsi" w:hAnsiTheme="minorHAnsi"/>
          <w:b/>
          <w:sz w:val="32"/>
          <w:szCs w:val="32"/>
        </w:rPr>
      </w:pPr>
      <w:r w:rsidRPr="00375747">
        <w:rPr>
          <w:rFonts w:asciiTheme="minorHAnsi" w:hAnsiTheme="minorHAnsi"/>
          <w:b/>
          <w:sz w:val="32"/>
          <w:szCs w:val="32"/>
        </w:rPr>
        <w:t>Supplementary Materials</w:t>
      </w:r>
    </w:p>
    <w:p w14:paraId="7801B319" w14:textId="77777777" w:rsidR="00912CFC" w:rsidRPr="00375747" w:rsidRDefault="00912CFC" w:rsidP="00912CFC">
      <w:pPr>
        <w:spacing w:line="360" w:lineRule="auto"/>
        <w:rPr>
          <w:rFonts w:asciiTheme="minorHAnsi" w:hAnsiTheme="minorHAnsi"/>
          <w:sz w:val="22"/>
          <w:szCs w:val="22"/>
        </w:rPr>
      </w:pPr>
    </w:p>
    <w:p w14:paraId="7440C801" w14:textId="77777777" w:rsidR="00912CFC" w:rsidRPr="00375747" w:rsidRDefault="00912CFC" w:rsidP="00912CFC">
      <w:pPr>
        <w:spacing w:line="360" w:lineRule="auto"/>
        <w:rPr>
          <w:rFonts w:asciiTheme="minorHAnsi" w:hAnsiTheme="minorHAnsi"/>
          <w:sz w:val="22"/>
          <w:szCs w:val="22"/>
        </w:rPr>
      </w:pPr>
    </w:p>
    <w:p w14:paraId="7445CD5D" w14:textId="77777777" w:rsidR="00912CFC" w:rsidRPr="00375747" w:rsidRDefault="00912CFC" w:rsidP="00912CFC">
      <w:pPr>
        <w:pStyle w:val="Title"/>
        <w:spacing w:after="0" w:line="360" w:lineRule="auto"/>
        <w:rPr>
          <w:rFonts w:asciiTheme="minorHAnsi" w:eastAsia="Calibri" w:hAnsiTheme="minorHAnsi" w:cs="Calibri"/>
          <w:b/>
          <w:color w:val="000000" w:themeColor="text1"/>
          <w:sz w:val="22"/>
          <w:szCs w:val="22"/>
        </w:rPr>
      </w:pPr>
      <w:r w:rsidRPr="00375747">
        <w:rPr>
          <w:rFonts w:asciiTheme="minorHAnsi" w:eastAsia="Calibri" w:hAnsiTheme="minorHAnsi" w:cs="Calibri"/>
          <w:b/>
          <w:color w:val="000000" w:themeColor="text1"/>
          <w:sz w:val="22"/>
          <w:szCs w:val="22"/>
        </w:rPr>
        <w:t>Adverse Outcome Pathway Networks I: Development and Applications</w:t>
      </w:r>
    </w:p>
    <w:p w14:paraId="34E4647E" w14:textId="77777777" w:rsidR="00912CFC" w:rsidRPr="002A1AE5" w:rsidRDefault="00912CFC" w:rsidP="00912CFC">
      <w:pPr>
        <w:spacing w:line="360" w:lineRule="auto"/>
        <w:rPr>
          <w:rFonts w:asciiTheme="minorHAnsi" w:hAnsiTheme="minorHAnsi"/>
          <w:color w:val="000000" w:themeColor="text1"/>
          <w:sz w:val="22"/>
          <w:szCs w:val="22"/>
        </w:rPr>
      </w:pPr>
    </w:p>
    <w:p w14:paraId="38F00B6B" w14:textId="77777777" w:rsidR="00912CFC" w:rsidRPr="002A1AE5" w:rsidRDefault="00912CFC" w:rsidP="00912CFC">
      <w:pPr>
        <w:spacing w:line="360" w:lineRule="auto"/>
        <w:jc w:val="both"/>
        <w:rPr>
          <w:rFonts w:asciiTheme="minorHAnsi" w:hAnsiTheme="minorHAnsi"/>
          <w:color w:val="000000" w:themeColor="text1"/>
          <w:sz w:val="22"/>
          <w:szCs w:val="22"/>
        </w:rPr>
      </w:pPr>
      <w:r w:rsidRPr="002A1AE5">
        <w:rPr>
          <w:rFonts w:asciiTheme="minorHAnsi" w:hAnsiTheme="minorHAnsi"/>
          <w:color w:val="000000" w:themeColor="text1"/>
          <w:sz w:val="22"/>
          <w:szCs w:val="22"/>
        </w:rPr>
        <w:t>Dries Knapen</w:t>
      </w:r>
      <w:r w:rsidRPr="002A1AE5">
        <w:rPr>
          <w:rFonts w:asciiTheme="minorHAnsi" w:hAnsiTheme="minorHAnsi"/>
          <w:color w:val="000000" w:themeColor="text1"/>
          <w:sz w:val="22"/>
          <w:szCs w:val="22"/>
          <w:vertAlign w:val="superscript"/>
        </w:rPr>
        <w:t>a,</w:t>
      </w:r>
      <w:r w:rsidRPr="002A1AE5">
        <w:rPr>
          <w:rFonts w:asciiTheme="minorHAnsi" w:hAnsiTheme="minorHAnsi"/>
          <w:color w:val="000000" w:themeColor="text1"/>
          <w:sz w:val="22"/>
          <w:szCs w:val="22"/>
        </w:rPr>
        <w:t>*, Michelle M. Angrish</w:t>
      </w:r>
      <w:r w:rsidRPr="002A1AE5">
        <w:rPr>
          <w:rFonts w:asciiTheme="minorHAnsi" w:hAnsiTheme="minorHAnsi"/>
          <w:color w:val="000000" w:themeColor="text1"/>
          <w:sz w:val="22"/>
          <w:szCs w:val="22"/>
          <w:vertAlign w:val="superscript"/>
        </w:rPr>
        <w:t>b</w:t>
      </w:r>
      <w:r w:rsidRPr="002A1AE5">
        <w:rPr>
          <w:rFonts w:asciiTheme="minorHAnsi" w:hAnsiTheme="minorHAnsi"/>
          <w:color w:val="000000" w:themeColor="text1"/>
          <w:sz w:val="22"/>
          <w:szCs w:val="22"/>
        </w:rPr>
        <w:t>, Marie C. Fortin</w:t>
      </w:r>
      <w:r w:rsidRPr="002A1AE5">
        <w:rPr>
          <w:rFonts w:asciiTheme="minorHAnsi" w:hAnsiTheme="minorHAnsi"/>
          <w:color w:val="000000" w:themeColor="text1"/>
          <w:sz w:val="22"/>
          <w:szCs w:val="22"/>
          <w:vertAlign w:val="superscript"/>
        </w:rPr>
        <w:t>c</w:t>
      </w:r>
      <w:r w:rsidRPr="002A1AE5">
        <w:rPr>
          <w:rFonts w:asciiTheme="minorHAnsi" w:hAnsiTheme="minorHAnsi"/>
          <w:color w:val="000000" w:themeColor="text1"/>
          <w:sz w:val="22"/>
          <w:szCs w:val="22"/>
        </w:rPr>
        <w:t>, Ioanna Katsiadaki</w:t>
      </w:r>
      <w:r w:rsidRPr="002A1AE5">
        <w:rPr>
          <w:rFonts w:asciiTheme="minorHAnsi" w:hAnsiTheme="minorHAnsi"/>
          <w:color w:val="000000" w:themeColor="text1"/>
          <w:sz w:val="22"/>
          <w:szCs w:val="22"/>
          <w:vertAlign w:val="superscript"/>
        </w:rPr>
        <w:t>d</w:t>
      </w:r>
      <w:r w:rsidRPr="002A1AE5">
        <w:rPr>
          <w:rFonts w:asciiTheme="minorHAnsi" w:hAnsiTheme="minorHAnsi"/>
          <w:color w:val="000000" w:themeColor="text1"/>
          <w:sz w:val="22"/>
          <w:szCs w:val="22"/>
        </w:rPr>
        <w:t>, Marc Leonard</w:t>
      </w:r>
      <w:r w:rsidRPr="002A1AE5">
        <w:rPr>
          <w:rFonts w:asciiTheme="minorHAnsi" w:hAnsiTheme="minorHAnsi"/>
          <w:color w:val="000000" w:themeColor="text1"/>
          <w:sz w:val="22"/>
          <w:szCs w:val="22"/>
          <w:vertAlign w:val="superscript"/>
        </w:rPr>
        <w:t>e</w:t>
      </w:r>
      <w:r w:rsidRPr="002A1AE5">
        <w:rPr>
          <w:rFonts w:asciiTheme="minorHAnsi" w:hAnsiTheme="minorHAnsi"/>
          <w:color w:val="000000" w:themeColor="text1"/>
          <w:sz w:val="22"/>
          <w:szCs w:val="22"/>
        </w:rPr>
        <w:t>, Luigi Margiotta-Casaluci</w:t>
      </w:r>
      <w:r w:rsidRPr="002A1AE5">
        <w:rPr>
          <w:rFonts w:asciiTheme="minorHAnsi" w:hAnsiTheme="minorHAnsi"/>
          <w:color w:val="000000" w:themeColor="text1"/>
          <w:sz w:val="22"/>
          <w:szCs w:val="22"/>
          <w:vertAlign w:val="superscript"/>
        </w:rPr>
        <w:t>f</w:t>
      </w:r>
      <w:r w:rsidRPr="002A1AE5">
        <w:rPr>
          <w:rFonts w:asciiTheme="minorHAnsi" w:hAnsiTheme="minorHAnsi"/>
          <w:color w:val="000000" w:themeColor="text1"/>
          <w:sz w:val="22"/>
          <w:szCs w:val="22"/>
        </w:rPr>
        <w:t>, Sharon Munn</w:t>
      </w:r>
      <w:r w:rsidRPr="002A1AE5">
        <w:rPr>
          <w:rFonts w:asciiTheme="minorHAnsi" w:hAnsiTheme="minorHAnsi"/>
          <w:color w:val="000000" w:themeColor="text1"/>
          <w:sz w:val="22"/>
          <w:szCs w:val="22"/>
          <w:vertAlign w:val="superscript"/>
        </w:rPr>
        <w:t>g</w:t>
      </w:r>
      <w:r w:rsidRPr="002A1AE5">
        <w:rPr>
          <w:rFonts w:asciiTheme="minorHAnsi" w:hAnsiTheme="minorHAnsi"/>
          <w:color w:val="000000" w:themeColor="text1"/>
          <w:sz w:val="22"/>
          <w:szCs w:val="22"/>
        </w:rPr>
        <w:t>, Jason M. O’Brien</w:t>
      </w:r>
      <w:r w:rsidRPr="002A1AE5">
        <w:rPr>
          <w:rFonts w:asciiTheme="minorHAnsi" w:hAnsiTheme="minorHAnsi"/>
          <w:color w:val="000000" w:themeColor="text1"/>
          <w:sz w:val="22"/>
          <w:szCs w:val="22"/>
          <w:vertAlign w:val="superscript"/>
        </w:rPr>
        <w:t>h</w:t>
      </w:r>
      <w:r w:rsidRPr="002A1AE5">
        <w:rPr>
          <w:rFonts w:asciiTheme="minorHAnsi" w:hAnsiTheme="minorHAnsi"/>
          <w:color w:val="000000" w:themeColor="text1"/>
          <w:sz w:val="22"/>
          <w:szCs w:val="22"/>
        </w:rPr>
        <w:t>, Nathan Pollesch</w:t>
      </w:r>
      <w:r w:rsidRPr="002A1AE5">
        <w:rPr>
          <w:rFonts w:asciiTheme="minorHAnsi" w:hAnsiTheme="minorHAnsi"/>
          <w:color w:val="000000" w:themeColor="text1"/>
          <w:sz w:val="22"/>
          <w:szCs w:val="22"/>
          <w:vertAlign w:val="superscript"/>
        </w:rPr>
        <w:t>i</w:t>
      </w:r>
      <w:r w:rsidRPr="002A1AE5">
        <w:rPr>
          <w:rFonts w:asciiTheme="minorHAnsi" w:hAnsiTheme="minorHAnsi"/>
          <w:color w:val="000000" w:themeColor="text1"/>
          <w:sz w:val="22"/>
          <w:szCs w:val="22"/>
        </w:rPr>
        <w:t>, L. Cody Smith</w:t>
      </w:r>
      <w:r w:rsidRPr="002A1AE5">
        <w:rPr>
          <w:rFonts w:asciiTheme="minorHAnsi" w:hAnsiTheme="minorHAnsi"/>
          <w:color w:val="000000" w:themeColor="text1"/>
          <w:sz w:val="22"/>
          <w:szCs w:val="22"/>
          <w:vertAlign w:val="superscript"/>
        </w:rPr>
        <w:t>j</w:t>
      </w:r>
      <w:r w:rsidRPr="002A1AE5">
        <w:rPr>
          <w:rFonts w:asciiTheme="minorHAnsi" w:hAnsiTheme="minorHAnsi"/>
          <w:color w:val="000000" w:themeColor="text1"/>
          <w:sz w:val="22"/>
          <w:szCs w:val="22"/>
        </w:rPr>
        <w:t>, Xiaowei Zhang</w:t>
      </w:r>
      <w:r w:rsidRPr="002A1AE5">
        <w:rPr>
          <w:rFonts w:asciiTheme="minorHAnsi" w:hAnsiTheme="minorHAnsi"/>
          <w:color w:val="000000" w:themeColor="text1"/>
          <w:sz w:val="22"/>
          <w:szCs w:val="22"/>
          <w:vertAlign w:val="superscript"/>
        </w:rPr>
        <w:t>k</w:t>
      </w:r>
      <w:r w:rsidRPr="002A1AE5">
        <w:rPr>
          <w:rFonts w:asciiTheme="minorHAnsi" w:hAnsiTheme="minorHAnsi"/>
          <w:color w:val="000000" w:themeColor="text1"/>
          <w:sz w:val="22"/>
          <w:szCs w:val="22"/>
        </w:rPr>
        <w:t>, Daniel L. Villeneuve</w:t>
      </w:r>
      <w:r w:rsidRPr="002A1AE5">
        <w:rPr>
          <w:rFonts w:asciiTheme="minorHAnsi" w:hAnsiTheme="minorHAnsi"/>
          <w:color w:val="000000" w:themeColor="text1"/>
          <w:sz w:val="22"/>
          <w:szCs w:val="22"/>
          <w:vertAlign w:val="superscript"/>
        </w:rPr>
        <w:t>i</w:t>
      </w:r>
    </w:p>
    <w:p w14:paraId="6BF2D2F2" w14:textId="77777777" w:rsidR="00912CFC" w:rsidRPr="002A1AE5" w:rsidRDefault="00912CFC" w:rsidP="00912CFC">
      <w:pPr>
        <w:spacing w:line="360" w:lineRule="auto"/>
        <w:rPr>
          <w:rFonts w:asciiTheme="minorHAnsi" w:hAnsiTheme="minorHAnsi"/>
          <w:color w:val="000000" w:themeColor="text1"/>
          <w:sz w:val="22"/>
          <w:szCs w:val="22"/>
        </w:rPr>
      </w:pPr>
    </w:p>
    <w:p w14:paraId="5D938E44"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 xml:space="preserve">a </w:t>
      </w:r>
      <w:r w:rsidRPr="002A1AE5">
        <w:rPr>
          <w:rFonts w:asciiTheme="minorHAnsi" w:hAnsiTheme="minorHAnsi"/>
          <w:color w:val="000000" w:themeColor="text1"/>
          <w:sz w:val="22"/>
          <w:szCs w:val="22"/>
        </w:rPr>
        <w:t>Zebrafishlab, Veterinary Physiology and Biochemistry, University of Antwerp, Wilrijk, Belgium</w:t>
      </w:r>
    </w:p>
    <w:p w14:paraId="00C5A664"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b</w:t>
      </w:r>
      <w:r w:rsidRPr="002A1AE5">
        <w:rPr>
          <w:rFonts w:asciiTheme="minorHAnsi" w:hAnsiTheme="minorHAnsi"/>
          <w:color w:val="000000" w:themeColor="text1"/>
          <w:sz w:val="22"/>
          <w:szCs w:val="22"/>
        </w:rPr>
        <w:t xml:space="preserve"> United States Environmental Protection Agency, National Center for Environmental Assessment, Research Triangle Park, NC, USA</w:t>
      </w:r>
    </w:p>
    <w:p w14:paraId="398CFC15"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c</w:t>
      </w:r>
      <w:r w:rsidRPr="002A1AE5">
        <w:rPr>
          <w:rFonts w:asciiTheme="minorHAnsi" w:hAnsiTheme="minorHAnsi"/>
          <w:color w:val="000000" w:themeColor="text1"/>
          <w:sz w:val="22"/>
          <w:szCs w:val="22"/>
        </w:rPr>
        <w:t xml:space="preserve"> Department of Pharmacology and Toxicology, Ernest Mario School of Pharmacy, Rutgers University, Piscataway, NJ, USA</w:t>
      </w:r>
    </w:p>
    <w:p w14:paraId="70AF7C7B"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d</w:t>
      </w:r>
      <w:r w:rsidRPr="002A1AE5">
        <w:rPr>
          <w:rFonts w:asciiTheme="minorHAnsi" w:hAnsiTheme="minorHAnsi"/>
          <w:color w:val="000000" w:themeColor="text1"/>
          <w:sz w:val="22"/>
          <w:szCs w:val="22"/>
        </w:rPr>
        <w:t xml:space="preserve"> Centre for Environment, Fisheries and Aquaculture Science, Weymouth, United Kingdom</w:t>
      </w:r>
    </w:p>
    <w:p w14:paraId="17477199"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e</w:t>
      </w:r>
      <w:r w:rsidRPr="002A1AE5">
        <w:rPr>
          <w:rFonts w:asciiTheme="minorHAnsi" w:hAnsiTheme="minorHAnsi"/>
          <w:color w:val="000000" w:themeColor="text1"/>
          <w:sz w:val="22"/>
          <w:szCs w:val="22"/>
        </w:rPr>
        <w:t xml:space="preserve"> L’Oréal Advanced Research, Aulnay-sous-Bois, France</w:t>
      </w:r>
    </w:p>
    <w:p w14:paraId="2ADDB840"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f</w:t>
      </w:r>
      <w:r w:rsidRPr="002A1AE5">
        <w:rPr>
          <w:rFonts w:asciiTheme="minorHAnsi" w:hAnsiTheme="minorHAnsi"/>
          <w:color w:val="000000" w:themeColor="text1"/>
          <w:sz w:val="22"/>
          <w:szCs w:val="22"/>
        </w:rPr>
        <w:t xml:space="preserve"> Institute of Environment, Health and Societies, Brunel University London, London, United Kingdom</w:t>
      </w:r>
    </w:p>
    <w:p w14:paraId="16F23589"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g</w:t>
      </w:r>
      <w:r w:rsidRPr="002A1AE5">
        <w:rPr>
          <w:rFonts w:asciiTheme="minorHAnsi" w:hAnsiTheme="minorHAnsi"/>
          <w:color w:val="000000" w:themeColor="text1"/>
          <w:sz w:val="22"/>
          <w:szCs w:val="22"/>
        </w:rPr>
        <w:t xml:space="preserve"> Joint Research Centre (JRC), European Commission, Ispra, Italy</w:t>
      </w:r>
    </w:p>
    <w:p w14:paraId="64FC8AC8"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h</w:t>
      </w:r>
      <w:r w:rsidRPr="002A1AE5">
        <w:rPr>
          <w:rFonts w:asciiTheme="minorHAnsi" w:hAnsiTheme="minorHAnsi"/>
          <w:color w:val="000000" w:themeColor="text1"/>
          <w:sz w:val="22"/>
          <w:szCs w:val="22"/>
        </w:rPr>
        <w:t xml:space="preserve"> Environment and Climate Change Canada, National Wildlife Research Centre, Ottawa, ON, Canada</w:t>
      </w:r>
    </w:p>
    <w:p w14:paraId="4764F578"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i</w:t>
      </w:r>
      <w:r w:rsidRPr="002A1AE5">
        <w:rPr>
          <w:rFonts w:asciiTheme="minorHAnsi" w:hAnsiTheme="minorHAnsi"/>
          <w:color w:val="000000" w:themeColor="text1"/>
          <w:sz w:val="22"/>
          <w:szCs w:val="22"/>
        </w:rPr>
        <w:t xml:space="preserve"> United States Environmental Protection Agency, Mid-Continent Ecology Division, Duluth, MN, USA </w:t>
      </w:r>
    </w:p>
    <w:p w14:paraId="0729DC22"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j</w:t>
      </w:r>
      <w:r w:rsidRPr="002A1AE5">
        <w:rPr>
          <w:rFonts w:asciiTheme="minorHAnsi" w:hAnsiTheme="minorHAnsi"/>
          <w:color w:val="000000" w:themeColor="text1"/>
          <w:sz w:val="22"/>
          <w:szCs w:val="22"/>
        </w:rPr>
        <w:t xml:space="preserve"> Center for Environmental and Human Toxicology, University of Florida, Gainesville, FL, USA</w:t>
      </w:r>
    </w:p>
    <w:p w14:paraId="6BEEA82A" w14:textId="77777777" w:rsidR="00912CFC" w:rsidRPr="002A1AE5" w:rsidRDefault="00912CFC" w:rsidP="00912CFC">
      <w:pPr>
        <w:spacing w:line="360" w:lineRule="auto"/>
        <w:rPr>
          <w:rFonts w:asciiTheme="minorHAnsi" w:hAnsiTheme="minorHAnsi"/>
          <w:color w:val="000000" w:themeColor="text1"/>
          <w:sz w:val="22"/>
          <w:szCs w:val="22"/>
        </w:rPr>
      </w:pPr>
      <w:r w:rsidRPr="002A1AE5">
        <w:rPr>
          <w:rFonts w:asciiTheme="minorHAnsi" w:hAnsiTheme="minorHAnsi"/>
          <w:color w:val="000000" w:themeColor="text1"/>
          <w:sz w:val="22"/>
          <w:szCs w:val="22"/>
          <w:vertAlign w:val="superscript"/>
        </w:rPr>
        <w:t>k</w:t>
      </w:r>
      <w:r w:rsidRPr="002A1AE5">
        <w:rPr>
          <w:rFonts w:asciiTheme="minorHAnsi" w:hAnsiTheme="minorHAnsi"/>
          <w:color w:val="000000" w:themeColor="text1"/>
          <w:sz w:val="22"/>
          <w:szCs w:val="22"/>
        </w:rPr>
        <w:t xml:space="preserve"> State Key Laboratory of Pollution Control and Resource Reuse, School of the Environment, Nanjing University, Nanjing, People’s Republic of China</w:t>
      </w:r>
    </w:p>
    <w:p w14:paraId="3DB64CB8" w14:textId="77777777" w:rsidR="00912CFC" w:rsidRPr="002A1AE5" w:rsidRDefault="00912CFC" w:rsidP="00912CFC">
      <w:pPr>
        <w:spacing w:line="360" w:lineRule="auto"/>
        <w:rPr>
          <w:rFonts w:asciiTheme="minorHAnsi" w:hAnsiTheme="minorHAnsi"/>
          <w:color w:val="000000" w:themeColor="text1"/>
          <w:sz w:val="22"/>
          <w:szCs w:val="22"/>
        </w:rPr>
      </w:pPr>
    </w:p>
    <w:p w14:paraId="15A9F342" w14:textId="77777777" w:rsidR="00912CFC" w:rsidRPr="00375747" w:rsidRDefault="00912CFC" w:rsidP="00912CFC">
      <w:pPr>
        <w:spacing w:line="360" w:lineRule="auto"/>
        <w:rPr>
          <w:rFonts w:asciiTheme="minorHAnsi" w:hAnsiTheme="minorHAnsi"/>
          <w:color w:val="000000" w:themeColor="text1"/>
          <w:sz w:val="22"/>
          <w:szCs w:val="22"/>
        </w:rPr>
      </w:pPr>
      <w:r w:rsidRPr="00375747">
        <w:rPr>
          <w:rFonts w:asciiTheme="minorHAnsi" w:hAnsiTheme="minorHAnsi"/>
          <w:color w:val="000000" w:themeColor="text1"/>
          <w:sz w:val="22"/>
          <w:szCs w:val="22"/>
        </w:rPr>
        <w:t>* Address correspondence to: dries.knapen@uantwerpen.be.</w:t>
      </w:r>
    </w:p>
    <w:p w14:paraId="33E5D83C" w14:textId="77777777" w:rsidR="00912CFC" w:rsidRPr="00375747" w:rsidRDefault="00912CFC" w:rsidP="00912CFC">
      <w:pPr>
        <w:spacing w:line="360" w:lineRule="auto"/>
        <w:rPr>
          <w:rFonts w:asciiTheme="minorHAnsi" w:hAnsiTheme="minorHAnsi"/>
          <w:sz w:val="22"/>
          <w:szCs w:val="22"/>
        </w:rPr>
      </w:pPr>
    </w:p>
    <w:p w14:paraId="13A5448D" w14:textId="77777777" w:rsidR="00912CFC" w:rsidRPr="00375747" w:rsidRDefault="00912CFC" w:rsidP="00912CFC">
      <w:pPr>
        <w:spacing w:line="360" w:lineRule="auto"/>
        <w:rPr>
          <w:rFonts w:asciiTheme="minorHAnsi" w:hAnsiTheme="minorHAnsi"/>
          <w:sz w:val="22"/>
          <w:szCs w:val="22"/>
        </w:rPr>
      </w:pPr>
      <w:r w:rsidRPr="00375747">
        <w:rPr>
          <w:rFonts w:asciiTheme="minorHAnsi" w:hAnsiTheme="minorHAnsi"/>
          <w:sz w:val="22"/>
          <w:szCs w:val="22"/>
        </w:rPr>
        <w:br w:type="page"/>
      </w:r>
    </w:p>
    <w:p w14:paraId="46438507" w14:textId="77777777" w:rsidR="00912CFC" w:rsidRPr="00D8239B" w:rsidRDefault="00912CFC" w:rsidP="00912CFC">
      <w:pPr>
        <w:spacing w:line="360" w:lineRule="auto"/>
        <w:rPr>
          <w:rFonts w:asciiTheme="minorHAnsi" w:hAnsiTheme="minorHAnsi"/>
          <w:color w:val="000000" w:themeColor="text1"/>
          <w:sz w:val="22"/>
          <w:szCs w:val="22"/>
        </w:rPr>
      </w:pPr>
      <w:r w:rsidRPr="00D8239B">
        <w:rPr>
          <w:rFonts w:asciiTheme="minorHAnsi" w:hAnsiTheme="minorHAnsi"/>
          <w:color w:val="000000" w:themeColor="text1"/>
          <w:sz w:val="22"/>
          <w:szCs w:val="22"/>
        </w:rPr>
        <w:lastRenderedPageBreak/>
        <w:t>Table S1. Description of parameters that could be used to filter a primary AOP network to derive an AOP network tailored to a specific application.</w:t>
      </w:r>
    </w:p>
    <w:p w14:paraId="2753330A" w14:textId="77777777" w:rsidR="00912CFC" w:rsidRPr="00D8239B" w:rsidRDefault="00912CFC" w:rsidP="00912CFC">
      <w:pPr>
        <w:spacing w:line="360" w:lineRule="auto"/>
        <w:rPr>
          <w:rFonts w:asciiTheme="minorHAnsi" w:hAnsiTheme="minorHAnsi"/>
          <w:color w:val="000000" w:themeColor="text1"/>
          <w:sz w:val="22"/>
          <w:szCs w:val="22"/>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860"/>
        <w:gridCol w:w="5500"/>
      </w:tblGrid>
      <w:tr w:rsidR="00912CFC" w:rsidRPr="00D8239B" w14:paraId="1C8DB4C2" w14:textId="77777777" w:rsidTr="009955A0">
        <w:tc>
          <w:tcPr>
            <w:tcW w:w="3860" w:type="dxa"/>
            <w:tcBorders>
              <w:left w:val="nil"/>
              <w:right w:val="nil"/>
            </w:tcBorders>
            <w:shd w:val="clear" w:color="auto" w:fill="F2F2F2" w:themeFill="background1" w:themeFillShade="F2"/>
            <w:tcMar>
              <w:top w:w="100" w:type="dxa"/>
              <w:left w:w="100" w:type="dxa"/>
              <w:bottom w:w="100" w:type="dxa"/>
              <w:right w:w="100" w:type="dxa"/>
            </w:tcMar>
          </w:tcPr>
          <w:p w14:paraId="3DD9C3C6" w14:textId="77777777" w:rsidR="00912CFC" w:rsidRPr="00D8239B" w:rsidRDefault="00912CFC" w:rsidP="009955A0">
            <w:pPr>
              <w:rPr>
                <w:rFonts w:asciiTheme="minorHAnsi" w:hAnsiTheme="minorHAnsi"/>
                <w:b/>
                <w:color w:val="000000" w:themeColor="text1"/>
                <w:sz w:val="22"/>
                <w:szCs w:val="22"/>
              </w:rPr>
            </w:pPr>
            <w:r w:rsidRPr="00D8239B">
              <w:rPr>
                <w:rFonts w:asciiTheme="minorHAnsi" w:hAnsiTheme="minorHAnsi"/>
                <w:b/>
                <w:color w:val="000000" w:themeColor="text1"/>
                <w:sz w:val="22"/>
                <w:szCs w:val="22"/>
              </w:rPr>
              <w:t>Filter</w:t>
            </w:r>
          </w:p>
        </w:tc>
        <w:tc>
          <w:tcPr>
            <w:tcW w:w="5500" w:type="dxa"/>
            <w:tcBorders>
              <w:left w:val="nil"/>
              <w:right w:val="nil"/>
            </w:tcBorders>
            <w:shd w:val="clear" w:color="auto" w:fill="F2F2F2" w:themeFill="background1" w:themeFillShade="F2"/>
            <w:tcMar>
              <w:top w:w="100" w:type="dxa"/>
              <w:left w:w="100" w:type="dxa"/>
              <w:bottom w:w="100" w:type="dxa"/>
              <w:right w:w="100" w:type="dxa"/>
            </w:tcMar>
          </w:tcPr>
          <w:p w14:paraId="66386529" w14:textId="77777777" w:rsidR="00912CFC" w:rsidRPr="00D8239B" w:rsidRDefault="00912CFC" w:rsidP="009955A0">
            <w:pPr>
              <w:rPr>
                <w:rFonts w:asciiTheme="minorHAnsi" w:hAnsiTheme="minorHAnsi"/>
                <w:b/>
                <w:color w:val="000000" w:themeColor="text1"/>
                <w:sz w:val="22"/>
                <w:szCs w:val="22"/>
              </w:rPr>
            </w:pPr>
            <w:r w:rsidRPr="00D8239B">
              <w:rPr>
                <w:rFonts w:asciiTheme="minorHAnsi" w:hAnsiTheme="minorHAnsi"/>
                <w:b/>
                <w:color w:val="000000" w:themeColor="text1"/>
                <w:sz w:val="22"/>
                <w:szCs w:val="22"/>
              </w:rPr>
              <w:t>Description</w:t>
            </w:r>
          </w:p>
        </w:tc>
      </w:tr>
      <w:tr w:rsidR="00912CFC" w:rsidRPr="00D8239B" w14:paraId="1B2987DC" w14:textId="77777777" w:rsidTr="009955A0">
        <w:tc>
          <w:tcPr>
            <w:tcW w:w="3860" w:type="dxa"/>
            <w:tcBorders>
              <w:left w:val="nil"/>
              <w:right w:val="nil"/>
            </w:tcBorders>
            <w:tcMar>
              <w:top w:w="100" w:type="dxa"/>
              <w:left w:w="100" w:type="dxa"/>
              <w:bottom w:w="100" w:type="dxa"/>
              <w:right w:w="100" w:type="dxa"/>
            </w:tcMar>
          </w:tcPr>
          <w:p w14:paraId="035C284F" w14:textId="77777777" w:rsidR="00912CFC" w:rsidRPr="00D8239B" w:rsidRDefault="00912CFC" w:rsidP="009955A0">
            <w:pPr>
              <w:rPr>
                <w:rFonts w:asciiTheme="minorHAnsi" w:hAnsiTheme="minorHAnsi"/>
                <w:color w:val="000000" w:themeColor="text1"/>
                <w:sz w:val="22"/>
                <w:szCs w:val="22"/>
                <w:vertAlign w:val="superscript"/>
              </w:rPr>
            </w:pPr>
            <w:r w:rsidRPr="00D8239B">
              <w:rPr>
                <w:rFonts w:asciiTheme="minorHAnsi" w:hAnsiTheme="minorHAnsi"/>
                <w:color w:val="000000" w:themeColor="text1"/>
                <w:sz w:val="22"/>
                <w:szCs w:val="22"/>
              </w:rPr>
              <w:t>Taxonomic applicability</w:t>
            </w:r>
            <w:r w:rsidRPr="00D8239B">
              <w:rPr>
                <w:rFonts w:asciiTheme="minorHAnsi" w:hAnsiTheme="minorHAnsi"/>
                <w:color w:val="000000" w:themeColor="text1"/>
                <w:sz w:val="22"/>
                <w:szCs w:val="22"/>
                <w:vertAlign w:val="superscript"/>
              </w:rPr>
              <w:t>b</w:t>
            </w:r>
          </w:p>
        </w:tc>
        <w:tc>
          <w:tcPr>
            <w:tcW w:w="5500" w:type="dxa"/>
            <w:tcBorders>
              <w:left w:val="nil"/>
              <w:right w:val="nil"/>
            </w:tcBorders>
            <w:tcMar>
              <w:top w:w="100" w:type="dxa"/>
              <w:left w:w="100" w:type="dxa"/>
              <w:bottom w:w="100" w:type="dxa"/>
              <w:right w:w="100" w:type="dxa"/>
            </w:tcMar>
          </w:tcPr>
          <w:p w14:paraId="01830A29"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Restricts the network to a given taxonomic space.</w:t>
            </w:r>
          </w:p>
        </w:tc>
      </w:tr>
      <w:tr w:rsidR="00912CFC" w:rsidRPr="00D8239B" w14:paraId="6945781A" w14:textId="77777777" w:rsidTr="009955A0">
        <w:tc>
          <w:tcPr>
            <w:tcW w:w="3860" w:type="dxa"/>
            <w:tcBorders>
              <w:left w:val="nil"/>
              <w:right w:val="nil"/>
            </w:tcBorders>
            <w:tcMar>
              <w:top w:w="100" w:type="dxa"/>
              <w:left w:w="100" w:type="dxa"/>
              <w:bottom w:w="100" w:type="dxa"/>
              <w:right w:w="100" w:type="dxa"/>
            </w:tcMar>
          </w:tcPr>
          <w:p w14:paraId="234DC8E8" w14:textId="77777777" w:rsidR="00912CFC" w:rsidRPr="00D8239B" w:rsidRDefault="00912CFC" w:rsidP="009955A0">
            <w:pPr>
              <w:rPr>
                <w:rFonts w:asciiTheme="minorHAnsi" w:hAnsiTheme="minorHAnsi"/>
                <w:color w:val="000000" w:themeColor="text1"/>
                <w:sz w:val="22"/>
                <w:szCs w:val="22"/>
                <w:vertAlign w:val="superscript"/>
              </w:rPr>
            </w:pPr>
            <w:r w:rsidRPr="00D8239B">
              <w:rPr>
                <w:rFonts w:asciiTheme="minorHAnsi" w:hAnsiTheme="minorHAnsi"/>
                <w:color w:val="000000" w:themeColor="text1"/>
                <w:sz w:val="22"/>
                <w:szCs w:val="22"/>
              </w:rPr>
              <w:t>Life stage applicability</w:t>
            </w:r>
            <w:r w:rsidRPr="00D8239B">
              <w:rPr>
                <w:rFonts w:asciiTheme="minorHAnsi" w:hAnsiTheme="minorHAnsi"/>
                <w:color w:val="000000" w:themeColor="text1"/>
                <w:sz w:val="22"/>
                <w:szCs w:val="22"/>
                <w:vertAlign w:val="superscript"/>
              </w:rPr>
              <w:t>a</w:t>
            </w:r>
          </w:p>
        </w:tc>
        <w:tc>
          <w:tcPr>
            <w:tcW w:w="5500" w:type="dxa"/>
            <w:tcBorders>
              <w:left w:val="nil"/>
              <w:right w:val="nil"/>
            </w:tcBorders>
            <w:tcMar>
              <w:top w:w="100" w:type="dxa"/>
              <w:left w:w="100" w:type="dxa"/>
              <w:bottom w:w="100" w:type="dxa"/>
              <w:right w:w="100" w:type="dxa"/>
            </w:tcMar>
          </w:tcPr>
          <w:p w14:paraId="7A214448"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Restricts the network to specific life stages.</w:t>
            </w:r>
          </w:p>
        </w:tc>
      </w:tr>
      <w:tr w:rsidR="00912CFC" w:rsidRPr="00D8239B" w14:paraId="08D39F6A" w14:textId="77777777" w:rsidTr="009955A0">
        <w:tc>
          <w:tcPr>
            <w:tcW w:w="3860" w:type="dxa"/>
            <w:tcBorders>
              <w:left w:val="nil"/>
              <w:right w:val="nil"/>
            </w:tcBorders>
            <w:tcMar>
              <w:top w:w="100" w:type="dxa"/>
              <w:left w:w="100" w:type="dxa"/>
              <w:bottom w:w="100" w:type="dxa"/>
              <w:right w:w="100" w:type="dxa"/>
            </w:tcMar>
          </w:tcPr>
          <w:p w14:paraId="291D5BEE" w14:textId="77777777" w:rsidR="00912CFC" w:rsidRPr="00D8239B" w:rsidRDefault="00912CFC" w:rsidP="009955A0">
            <w:pPr>
              <w:rPr>
                <w:rFonts w:asciiTheme="minorHAnsi" w:hAnsiTheme="minorHAnsi"/>
                <w:color w:val="000000" w:themeColor="text1"/>
                <w:sz w:val="22"/>
                <w:szCs w:val="22"/>
                <w:vertAlign w:val="superscript"/>
              </w:rPr>
            </w:pPr>
            <w:r w:rsidRPr="00D8239B">
              <w:rPr>
                <w:rFonts w:asciiTheme="minorHAnsi" w:hAnsiTheme="minorHAnsi"/>
                <w:color w:val="000000" w:themeColor="text1"/>
                <w:sz w:val="22"/>
                <w:szCs w:val="22"/>
              </w:rPr>
              <w:t>Sex applicability</w:t>
            </w:r>
            <w:r w:rsidRPr="00D8239B">
              <w:rPr>
                <w:rFonts w:asciiTheme="minorHAnsi" w:hAnsiTheme="minorHAnsi"/>
                <w:color w:val="000000" w:themeColor="text1"/>
                <w:sz w:val="22"/>
                <w:szCs w:val="22"/>
                <w:vertAlign w:val="superscript"/>
              </w:rPr>
              <w:t>a</w:t>
            </w:r>
          </w:p>
        </w:tc>
        <w:tc>
          <w:tcPr>
            <w:tcW w:w="5500" w:type="dxa"/>
            <w:tcBorders>
              <w:left w:val="nil"/>
              <w:right w:val="nil"/>
            </w:tcBorders>
            <w:tcMar>
              <w:top w:w="100" w:type="dxa"/>
              <w:left w:w="100" w:type="dxa"/>
              <w:bottom w:w="100" w:type="dxa"/>
              <w:right w:w="100" w:type="dxa"/>
            </w:tcMar>
          </w:tcPr>
          <w:p w14:paraId="665C952C"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Restricts the network to pathways relevant to male or female organisms.</w:t>
            </w:r>
          </w:p>
        </w:tc>
      </w:tr>
      <w:tr w:rsidR="00912CFC" w:rsidRPr="00D8239B" w14:paraId="5F0193C9" w14:textId="77777777" w:rsidTr="009955A0">
        <w:tc>
          <w:tcPr>
            <w:tcW w:w="3860" w:type="dxa"/>
            <w:tcBorders>
              <w:left w:val="nil"/>
              <w:right w:val="nil"/>
            </w:tcBorders>
            <w:tcMar>
              <w:top w:w="100" w:type="dxa"/>
              <w:left w:w="100" w:type="dxa"/>
              <w:bottom w:w="100" w:type="dxa"/>
              <w:right w:w="100" w:type="dxa"/>
            </w:tcMar>
          </w:tcPr>
          <w:p w14:paraId="39976499"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Network metrics</w:t>
            </w:r>
            <w:r w:rsidRPr="00D8239B">
              <w:rPr>
                <w:rFonts w:asciiTheme="minorHAnsi" w:hAnsiTheme="minorHAnsi"/>
                <w:color w:val="000000" w:themeColor="text1"/>
                <w:sz w:val="22"/>
                <w:szCs w:val="22"/>
                <w:vertAlign w:val="superscript"/>
              </w:rPr>
              <w:t>c</w:t>
            </w:r>
          </w:p>
        </w:tc>
        <w:tc>
          <w:tcPr>
            <w:tcW w:w="5500" w:type="dxa"/>
            <w:tcBorders>
              <w:left w:val="nil"/>
              <w:right w:val="nil"/>
            </w:tcBorders>
            <w:tcMar>
              <w:top w:w="100" w:type="dxa"/>
              <w:left w:w="100" w:type="dxa"/>
              <w:bottom w:w="100" w:type="dxa"/>
              <w:right w:w="100" w:type="dxa"/>
            </w:tcMar>
          </w:tcPr>
          <w:p w14:paraId="7FFB192B"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Network metrics are calculated statistics representing how strongly or weakly connected KEs and AOPs are to the network. Networks could be restricted to strongly interconnected AOPs only, or alternatively be expanded to include AOPs that are rather peripheral to the network.</w:t>
            </w:r>
          </w:p>
        </w:tc>
      </w:tr>
      <w:tr w:rsidR="00912CFC" w:rsidRPr="00D8239B" w14:paraId="2104E8CD" w14:textId="77777777" w:rsidTr="009955A0">
        <w:tc>
          <w:tcPr>
            <w:tcW w:w="3860" w:type="dxa"/>
            <w:tcBorders>
              <w:left w:val="nil"/>
              <w:right w:val="nil"/>
            </w:tcBorders>
            <w:tcMar>
              <w:top w:w="100" w:type="dxa"/>
              <w:left w:w="100" w:type="dxa"/>
              <w:bottom w:w="100" w:type="dxa"/>
              <w:right w:w="100" w:type="dxa"/>
            </w:tcMar>
          </w:tcPr>
          <w:p w14:paraId="5A8F67F3"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Critical path</w:t>
            </w:r>
            <w:r w:rsidRPr="00D8239B">
              <w:rPr>
                <w:rFonts w:asciiTheme="minorHAnsi" w:hAnsiTheme="minorHAnsi"/>
                <w:color w:val="000000" w:themeColor="text1"/>
                <w:sz w:val="22"/>
                <w:szCs w:val="22"/>
                <w:vertAlign w:val="superscript"/>
              </w:rPr>
              <w:t>c</w:t>
            </w:r>
          </w:p>
        </w:tc>
        <w:tc>
          <w:tcPr>
            <w:tcW w:w="5500" w:type="dxa"/>
            <w:tcBorders>
              <w:left w:val="nil"/>
              <w:right w:val="nil"/>
            </w:tcBorders>
            <w:tcMar>
              <w:top w:w="100" w:type="dxa"/>
              <w:left w:w="100" w:type="dxa"/>
              <w:bottom w:w="100" w:type="dxa"/>
              <w:right w:w="100" w:type="dxa"/>
            </w:tcMar>
          </w:tcPr>
          <w:p w14:paraId="4A93BEA0"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Restricts the network to the AOPs directly linked to the critical path (see section 2.4 for more information on critical paths).</w:t>
            </w:r>
          </w:p>
        </w:tc>
      </w:tr>
      <w:tr w:rsidR="00912CFC" w:rsidRPr="00D8239B" w14:paraId="0D297D93" w14:textId="77777777" w:rsidTr="009955A0">
        <w:tc>
          <w:tcPr>
            <w:tcW w:w="3860" w:type="dxa"/>
            <w:tcBorders>
              <w:left w:val="nil"/>
              <w:right w:val="nil"/>
            </w:tcBorders>
            <w:tcMar>
              <w:top w:w="100" w:type="dxa"/>
              <w:left w:w="100" w:type="dxa"/>
              <w:bottom w:w="100" w:type="dxa"/>
              <w:right w:w="100" w:type="dxa"/>
            </w:tcMar>
          </w:tcPr>
          <w:p w14:paraId="5463D0CB" w14:textId="77777777" w:rsidR="00912CFC" w:rsidRPr="00D8239B" w:rsidRDefault="00912CFC" w:rsidP="009955A0">
            <w:pPr>
              <w:rPr>
                <w:rFonts w:asciiTheme="minorHAnsi" w:hAnsiTheme="minorHAnsi"/>
                <w:color w:val="000000" w:themeColor="text1"/>
                <w:sz w:val="22"/>
                <w:szCs w:val="22"/>
                <w:vertAlign w:val="superscript"/>
              </w:rPr>
            </w:pPr>
            <w:r w:rsidRPr="00D8239B">
              <w:rPr>
                <w:rFonts w:asciiTheme="minorHAnsi" w:hAnsiTheme="minorHAnsi"/>
                <w:color w:val="000000" w:themeColor="text1"/>
                <w:sz w:val="22"/>
                <w:szCs w:val="22"/>
              </w:rPr>
              <w:t>Confidence assessment</w:t>
            </w:r>
            <w:r w:rsidRPr="00D8239B">
              <w:rPr>
                <w:rFonts w:asciiTheme="minorHAnsi" w:hAnsiTheme="minorHAnsi"/>
                <w:color w:val="000000" w:themeColor="text1"/>
                <w:sz w:val="22"/>
                <w:szCs w:val="22"/>
                <w:vertAlign w:val="superscript"/>
              </w:rPr>
              <w:t>a,b</w:t>
            </w:r>
          </w:p>
        </w:tc>
        <w:tc>
          <w:tcPr>
            <w:tcW w:w="5500" w:type="dxa"/>
            <w:tcBorders>
              <w:left w:val="nil"/>
              <w:right w:val="nil"/>
            </w:tcBorders>
            <w:tcMar>
              <w:top w:w="100" w:type="dxa"/>
              <w:left w:w="100" w:type="dxa"/>
              <w:bottom w:w="100" w:type="dxa"/>
              <w:right w:w="100" w:type="dxa"/>
            </w:tcMar>
          </w:tcPr>
          <w:p w14:paraId="144DF129"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Restricts the network to include AOPs with a specified minimum level of confidence, e.g. based on their OECD review status, weight of evidence evaluation, citation index, etc.</w:t>
            </w:r>
          </w:p>
        </w:tc>
      </w:tr>
    </w:tbl>
    <w:p w14:paraId="0BC3356A" w14:textId="77777777" w:rsidR="00912CFC" w:rsidRPr="00D8239B" w:rsidRDefault="00912CFC" w:rsidP="00912CFC">
      <w:pPr>
        <w:spacing w:line="360" w:lineRule="auto"/>
        <w:rPr>
          <w:rFonts w:asciiTheme="minorHAnsi" w:hAnsiTheme="minorHAnsi"/>
          <w:color w:val="000000" w:themeColor="text1"/>
          <w:sz w:val="22"/>
          <w:szCs w:val="22"/>
        </w:rPr>
      </w:pPr>
      <w:r w:rsidRPr="00D8239B">
        <w:rPr>
          <w:rFonts w:asciiTheme="minorHAnsi" w:hAnsiTheme="minorHAnsi"/>
          <w:color w:val="000000" w:themeColor="text1"/>
          <w:sz w:val="22"/>
          <w:szCs w:val="22"/>
          <w:vertAlign w:val="superscript"/>
        </w:rPr>
        <w:t>a</w:t>
      </w:r>
      <w:r w:rsidRPr="00D8239B">
        <w:rPr>
          <w:rFonts w:asciiTheme="minorHAnsi" w:hAnsiTheme="minorHAnsi"/>
          <w:color w:val="000000" w:themeColor="text1"/>
          <w:sz w:val="22"/>
          <w:szCs w:val="22"/>
        </w:rPr>
        <w:t xml:space="preserve"> Filters that could be applied based on structured annotation fields currently captured in the AOP-KB.</w:t>
      </w:r>
    </w:p>
    <w:p w14:paraId="5AE4E226" w14:textId="77777777" w:rsidR="00912CFC" w:rsidRPr="00D8239B" w:rsidRDefault="00912CFC" w:rsidP="00912CFC">
      <w:pPr>
        <w:spacing w:line="360" w:lineRule="auto"/>
        <w:rPr>
          <w:rFonts w:asciiTheme="minorHAnsi" w:hAnsiTheme="minorHAnsi"/>
          <w:color w:val="000000" w:themeColor="text1"/>
          <w:sz w:val="22"/>
          <w:szCs w:val="22"/>
        </w:rPr>
      </w:pPr>
      <w:r w:rsidRPr="00D8239B">
        <w:rPr>
          <w:rFonts w:asciiTheme="minorHAnsi" w:hAnsiTheme="minorHAnsi"/>
          <w:color w:val="000000" w:themeColor="text1"/>
          <w:sz w:val="22"/>
          <w:szCs w:val="22"/>
          <w:vertAlign w:val="superscript"/>
        </w:rPr>
        <w:t>b</w:t>
      </w:r>
      <w:r w:rsidRPr="00D8239B">
        <w:rPr>
          <w:rFonts w:asciiTheme="minorHAnsi" w:hAnsiTheme="minorHAnsi"/>
          <w:color w:val="000000" w:themeColor="text1"/>
          <w:sz w:val="22"/>
          <w:szCs w:val="22"/>
        </w:rPr>
        <w:t xml:space="preserve"> Filters that would require implementation of improved or expanded ontologies in the AOP-KB.</w:t>
      </w:r>
    </w:p>
    <w:p w14:paraId="19C49FF4" w14:textId="77777777" w:rsidR="00912CFC" w:rsidRPr="00D8239B" w:rsidRDefault="00912CFC" w:rsidP="00912CFC">
      <w:pPr>
        <w:spacing w:line="360" w:lineRule="auto"/>
        <w:rPr>
          <w:rFonts w:asciiTheme="minorHAnsi" w:hAnsiTheme="minorHAnsi"/>
          <w:color w:val="000000" w:themeColor="text1"/>
          <w:sz w:val="22"/>
          <w:szCs w:val="22"/>
        </w:rPr>
      </w:pPr>
      <w:r w:rsidRPr="00D8239B">
        <w:rPr>
          <w:rFonts w:asciiTheme="minorHAnsi" w:hAnsiTheme="minorHAnsi"/>
          <w:color w:val="000000" w:themeColor="text1"/>
          <w:sz w:val="22"/>
          <w:szCs w:val="22"/>
          <w:vertAlign w:val="superscript"/>
        </w:rPr>
        <w:t>c</w:t>
      </w:r>
      <w:r w:rsidRPr="00D8239B">
        <w:rPr>
          <w:rFonts w:asciiTheme="minorHAnsi" w:hAnsiTheme="minorHAnsi"/>
          <w:color w:val="000000" w:themeColor="text1"/>
          <w:sz w:val="22"/>
          <w:szCs w:val="22"/>
        </w:rPr>
        <w:t xml:space="preserve"> Filters based on data that would be obtained outside the AOP-KB (e.g., via network analysis software or user-based identification of critical paths).</w:t>
      </w:r>
    </w:p>
    <w:p w14:paraId="27390672" w14:textId="77777777" w:rsidR="00912CFC" w:rsidRPr="00D8239B" w:rsidRDefault="00912CFC" w:rsidP="00912CFC">
      <w:pPr>
        <w:spacing w:line="360" w:lineRule="auto"/>
        <w:rPr>
          <w:rFonts w:asciiTheme="minorHAnsi" w:hAnsiTheme="minorHAnsi"/>
          <w:color w:val="000000" w:themeColor="text1"/>
          <w:sz w:val="22"/>
          <w:szCs w:val="22"/>
        </w:rPr>
      </w:pPr>
    </w:p>
    <w:p w14:paraId="51B8FCBC" w14:textId="77777777" w:rsidR="00912CFC" w:rsidRPr="005D5250" w:rsidRDefault="00912CFC" w:rsidP="00912CFC">
      <w:pPr>
        <w:spacing w:line="360" w:lineRule="auto"/>
        <w:rPr>
          <w:rFonts w:asciiTheme="minorHAnsi" w:hAnsiTheme="minorHAnsi"/>
          <w:color w:val="000000" w:themeColor="text1"/>
        </w:rPr>
      </w:pPr>
      <w:r w:rsidRPr="005D5250">
        <w:rPr>
          <w:rFonts w:asciiTheme="minorHAnsi" w:hAnsiTheme="minorHAnsi"/>
          <w:color w:val="000000" w:themeColor="text1"/>
        </w:rPr>
        <w:br w:type="page"/>
      </w:r>
    </w:p>
    <w:p w14:paraId="40C4906A" w14:textId="77777777" w:rsidR="00912CFC" w:rsidRPr="00D8239B" w:rsidRDefault="00912CFC" w:rsidP="00912CFC">
      <w:pPr>
        <w:spacing w:line="360" w:lineRule="auto"/>
        <w:rPr>
          <w:rFonts w:asciiTheme="minorHAnsi" w:hAnsiTheme="minorHAnsi"/>
          <w:color w:val="000000" w:themeColor="text1"/>
          <w:sz w:val="22"/>
          <w:szCs w:val="22"/>
        </w:rPr>
      </w:pPr>
      <w:r w:rsidRPr="00D8239B">
        <w:rPr>
          <w:rFonts w:asciiTheme="minorHAnsi" w:hAnsiTheme="minorHAnsi"/>
          <w:color w:val="000000" w:themeColor="text1"/>
          <w:sz w:val="22"/>
          <w:szCs w:val="22"/>
        </w:rPr>
        <w:lastRenderedPageBreak/>
        <w:t>Table S2. Examples of data layers that could be overlaid over an AOP network</w:t>
      </w:r>
      <w:r>
        <w:rPr>
          <w:rFonts w:asciiTheme="minorHAnsi" w:hAnsiTheme="minorHAnsi"/>
          <w:color w:val="000000" w:themeColor="text1"/>
          <w:sz w:val="22"/>
          <w:szCs w:val="22"/>
        </w:rPr>
        <w:t xml:space="preserve"> </w:t>
      </w:r>
      <w:r w:rsidRPr="00457199">
        <w:rPr>
          <w:rFonts w:asciiTheme="minorHAnsi" w:hAnsiTheme="minorHAnsi"/>
          <w:color w:val="000000" w:themeColor="text1"/>
          <w:sz w:val="22"/>
          <w:szCs w:val="22"/>
          <w:highlight w:val="yellow"/>
        </w:rPr>
        <w:t>(or individual AOPs)</w:t>
      </w:r>
      <w:r w:rsidRPr="00D8239B">
        <w:rPr>
          <w:rFonts w:asciiTheme="minorHAnsi" w:hAnsiTheme="minorHAnsi"/>
          <w:color w:val="000000" w:themeColor="text1"/>
          <w:sz w:val="22"/>
          <w:szCs w:val="22"/>
        </w:rPr>
        <w:t xml:space="preserve"> to provide additional detail and to facilitate interpretation without overly complicating the underlying framework.</w:t>
      </w:r>
    </w:p>
    <w:p w14:paraId="4FE4FD5C" w14:textId="77777777" w:rsidR="00912CFC" w:rsidRPr="00D8239B" w:rsidRDefault="00912CFC" w:rsidP="00912CFC">
      <w:pPr>
        <w:spacing w:line="360" w:lineRule="auto"/>
        <w:rPr>
          <w:rFonts w:asciiTheme="minorHAnsi" w:hAnsiTheme="minorHAnsi"/>
          <w:color w:val="000000" w:themeColor="text1"/>
          <w:sz w:val="22"/>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0"/>
        <w:gridCol w:w="5320"/>
      </w:tblGrid>
      <w:tr w:rsidR="00912CFC" w:rsidRPr="00D8239B" w14:paraId="1D0858CA" w14:textId="77777777" w:rsidTr="009955A0">
        <w:tc>
          <w:tcPr>
            <w:tcW w:w="4040" w:type="dxa"/>
            <w:tcBorders>
              <w:left w:val="nil"/>
              <w:right w:val="nil"/>
            </w:tcBorders>
            <w:shd w:val="clear" w:color="auto" w:fill="F2F2F2" w:themeFill="background1" w:themeFillShade="F2"/>
            <w:tcMar>
              <w:top w:w="100" w:type="dxa"/>
              <w:left w:w="100" w:type="dxa"/>
              <w:bottom w:w="100" w:type="dxa"/>
              <w:right w:w="100" w:type="dxa"/>
            </w:tcMar>
          </w:tcPr>
          <w:p w14:paraId="1ED89DDF" w14:textId="77777777" w:rsidR="00912CFC" w:rsidRPr="00D8239B" w:rsidRDefault="00912CFC" w:rsidP="009955A0">
            <w:pPr>
              <w:rPr>
                <w:rFonts w:asciiTheme="minorHAnsi" w:hAnsiTheme="minorHAnsi"/>
                <w:b/>
                <w:color w:val="000000" w:themeColor="text1"/>
                <w:sz w:val="22"/>
                <w:szCs w:val="22"/>
              </w:rPr>
            </w:pPr>
            <w:r w:rsidRPr="00D8239B">
              <w:rPr>
                <w:rFonts w:asciiTheme="minorHAnsi" w:hAnsiTheme="minorHAnsi"/>
                <w:b/>
                <w:color w:val="000000" w:themeColor="text1"/>
                <w:sz w:val="22"/>
                <w:szCs w:val="22"/>
              </w:rPr>
              <w:t>Layer</w:t>
            </w:r>
          </w:p>
        </w:tc>
        <w:tc>
          <w:tcPr>
            <w:tcW w:w="5320" w:type="dxa"/>
            <w:tcBorders>
              <w:left w:val="nil"/>
              <w:right w:val="nil"/>
            </w:tcBorders>
            <w:shd w:val="clear" w:color="auto" w:fill="F2F2F2" w:themeFill="background1" w:themeFillShade="F2"/>
            <w:tcMar>
              <w:top w:w="100" w:type="dxa"/>
              <w:left w:w="100" w:type="dxa"/>
              <w:bottom w:w="100" w:type="dxa"/>
              <w:right w:w="100" w:type="dxa"/>
            </w:tcMar>
          </w:tcPr>
          <w:p w14:paraId="772D399E" w14:textId="77777777" w:rsidR="00912CFC" w:rsidRPr="00D8239B" w:rsidRDefault="00912CFC" w:rsidP="009955A0">
            <w:pPr>
              <w:rPr>
                <w:rFonts w:asciiTheme="minorHAnsi" w:hAnsiTheme="minorHAnsi"/>
                <w:b/>
                <w:color w:val="000000" w:themeColor="text1"/>
                <w:sz w:val="22"/>
                <w:szCs w:val="22"/>
              </w:rPr>
            </w:pPr>
            <w:r w:rsidRPr="00D8239B">
              <w:rPr>
                <w:rFonts w:asciiTheme="minorHAnsi" w:hAnsiTheme="minorHAnsi"/>
                <w:b/>
                <w:color w:val="000000" w:themeColor="text1"/>
                <w:sz w:val="22"/>
                <w:szCs w:val="22"/>
              </w:rPr>
              <w:t>Description</w:t>
            </w:r>
          </w:p>
        </w:tc>
      </w:tr>
      <w:tr w:rsidR="00912CFC" w:rsidRPr="00D8239B" w14:paraId="41406E0C" w14:textId="77777777" w:rsidTr="009955A0">
        <w:tc>
          <w:tcPr>
            <w:tcW w:w="4040" w:type="dxa"/>
            <w:tcBorders>
              <w:left w:val="nil"/>
              <w:right w:val="nil"/>
            </w:tcBorders>
            <w:tcMar>
              <w:top w:w="100" w:type="dxa"/>
              <w:left w:w="100" w:type="dxa"/>
              <w:bottom w:w="100" w:type="dxa"/>
              <w:right w:w="100" w:type="dxa"/>
            </w:tcMar>
          </w:tcPr>
          <w:p w14:paraId="6442F08F"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Feedback and feedforward layer</w:t>
            </w:r>
          </w:p>
        </w:tc>
        <w:tc>
          <w:tcPr>
            <w:tcW w:w="5320" w:type="dxa"/>
            <w:tcBorders>
              <w:left w:val="nil"/>
              <w:right w:val="nil"/>
            </w:tcBorders>
            <w:tcMar>
              <w:top w:w="100" w:type="dxa"/>
              <w:left w:w="100" w:type="dxa"/>
              <w:bottom w:w="100" w:type="dxa"/>
              <w:right w:w="100" w:type="dxa"/>
            </w:tcMar>
          </w:tcPr>
          <w:p w14:paraId="77137A1C"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feedback and feedforward loops that act on specific KERs, as captured in the KER description. Feedback/feedforward loop layers may range from graphically indicating the importance of a loop to a given KER, over implementing predefined loop ontology terms to describe the nature of the loop, to defining loop events (similar to KEs). Such loop events could at some point become KEs of AOPs, if they have been demonstrated to be essential for the progression towards a given AO.</w:t>
            </w:r>
          </w:p>
        </w:tc>
      </w:tr>
      <w:tr w:rsidR="00912CFC" w:rsidRPr="00D8239B" w14:paraId="366BDEF1" w14:textId="77777777" w:rsidTr="009955A0">
        <w:tc>
          <w:tcPr>
            <w:tcW w:w="4040" w:type="dxa"/>
            <w:tcBorders>
              <w:left w:val="nil"/>
              <w:right w:val="nil"/>
            </w:tcBorders>
            <w:tcMar>
              <w:top w:w="100" w:type="dxa"/>
              <w:left w:w="100" w:type="dxa"/>
              <w:bottom w:w="100" w:type="dxa"/>
              <w:right w:w="100" w:type="dxa"/>
            </w:tcMar>
          </w:tcPr>
          <w:p w14:paraId="5FCA8F29"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Extrinsic modulating factors layer</w:t>
            </w:r>
          </w:p>
        </w:tc>
        <w:tc>
          <w:tcPr>
            <w:tcW w:w="5320" w:type="dxa"/>
            <w:tcBorders>
              <w:left w:val="nil"/>
              <w:right w:val="nil"/>
            </w:tcBorders>
            <w:tcMar>
              <w:top w:w="100" w:type="dxa"/>
              <w:left w:w="100" w:type="dxa"/>
              <w:bottom w:w="100" w:type="dxa"/>
              <w:right w:w="100" w:type="dxa"/>
            </w:tcMar>
          </w:tcPr>
          <w:p w14:paraId="78E2F8B3"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 xml:space="preserve">Displays modulating factors that are extrinsic to the AOP network. Intrinsic modulating factors are </w:t>
            </w:r>
            <w:r w:rsidRPr="00D8239B">
              <w:rPr>
                <w:rFonts w:asciiTheme="minorHAnsi" w:hAnsiTheme="minorHAnsi"/>
                <w:i/>
                <w:color w:val="000000" w:themeColor="text1"/>
                <w:sz w:val="22"/>
                <w:szCs w:val="22"/>
              </w:rPr>
              <w:t>de facto</w:t>
            </w:r>
            <w:r w:rsidRPr="00D8239B">
              <w:rPr>
                <w:rFonts w:asciiTheme="minorHAnsi" w:hAnsiTheme="minorHAnsi"/>
                <w:color w:val="000000" w:themeColor="text1"/>
                <w:sz w:val="22"/>
                <w:szCs w:val="22"/>
              </w:rPr>
              <w:t xml:space="preserve"> captured in the structure of the network since they arise from a shared KE or KER. Extrinsic modulating factors (e.g., ambient temperature, disease state, diurnal rhythm, …) require separate descriptions and anchoring to the AOP network.</w:t>
            </w:r>
          </w:p>
        </w:tc>
      </w:tr>
      <w:tr w:rsidR="00912CFC" w:rsidRPr="00D8239B" w14:paraId="2D12F464" w14:textId="77777777" w:rsidTr="009955A0">
        <w:tc>
          <w:tcPr>
            <w:tcW w:w="4040" w:type="dxa"/>
            <w:tcBorders>
              <w:left w:val="nil"/>
              <w:right w:val="nil"/>
            </w:tcBorders>
            <w:tcMar>
              <w:top w:w="100" w:type="dxa"/>
              <w:left w:w="100" w:type="dxa"/>
              <w:bottom w:w="100" w:type="dxa"/>
              <w:right w:w="100" w:type="dxa"/>
            </w:tcMar>
          </w:tcPr>
          <w:p w14:paraId="63549D63"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Taxonomic applicability layer</w:t>
            </w:r>
          </w:p>
        </w:tc>
        <w:tc>
          <w:tcPr>
            <w:tcW w:w="5320" w:type="dxa"/>
            <w:tcBorders>
              <w:left w:val="nil"/>
              <w:right w:val="nil"/>
            </w:tcBorders>
            <w:tcMar>
              <w:top w:w="100" w:type="dxa"/>
              <w:left w:w="100" w:type="dxa"/>
              <w:bottom w:w="100" w:type="dxa"/>
              <w:right w:w="100" w:type="dxa"/>
            </w:tcMar>
          </w:tcPr>
          <w:p w14:paraId="4026D700"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taxonomic applicability domain of KEs and/or KERs.</w:t>
            </w:r>
          </w:p>
        </w:tc>
      </w:tr>
      <w:tr w:rsidR="00912CFC" w:rsidRPr="00D8239B" w14:paraId="543F1A95" w14:textId="77777777" w:rsidTr="009955A0">
        <w:tc>
          <w:tcPr>
            <w:tcW w:w="4040" w:type="dxa"/>
            <w:tcBorders>
              <w:left w:val="nil"/>
              <w:right w:val="nil"/>
            </w:tcBorders>
            <w:tcMar>
              <w:top w:w="100" w:type="dxa"/>
              <w:left w:w="100" w:type="dxa"/>
              <w:bottom w:w="100" w:type="dxa"/>
              <w:right w:w="100" w:type="dxa"/>
            </w:tcMar>
          </w:tcPr>
          <w:p w14:paraId="4B366E8E"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Life stage applicability layer</w:t>
            </w:r>
          </w:p>
        </w:tc>
        <w:tc>
          <w:tcPr>
            <w:tcW w:w="5320" w:type="dxa"/>
            <w:tcBorders>
              <w:left w:val="nil"/>
              <w:right w:val="nil"/>
            </w:tcBorders>
            <w:tcMar>
              <w:top w:w="100" w:type="dxa"/>
              <w:left w:w="100" w:type="dxa"/>
              <w:bottom w:w="100" w:type="dxa"/>
              <w:right w:w="100" w:type="dxa"/>
            </w:tcMar>
          </w:tcPr>
          <w:p w14:paraId="023C0958"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life stage applicability domain of KEs and/or KERs.</w:t>
            </w:r>
          </w:p>
        </w:tc>
      </w:tr>
      <w:tr w:rsidR="00912CFC" w:rsidRPr="00D8239B" w14:paraId="2244989D" w14:textId="77777777" w:rsidTr="009955A0">
        <w:tc>
          <w:tcPr>
            <w:tcW w:w="4040" w:type="dxa"/>
            <w:tcBorders>
              <w:left w:val="nil"/>
              <w:right w:val="nil"/>
            </w:tcBorders>
            <w:tcMar>
              <w:top w:w="100" w:type="dxa"/>
              <w:left w:w="100" w:type="dxa"/>
              <w:bottom w:w="100" w:type="dxa"/>
              <w:right w:w="100" w:type="dxa"/>
            </w:tcMar>
          </w:tcPr>
          <w:p w14:paraId="13EBA704"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Sex applicability layer</w:t>
            </w:r>
          </w:p>
        </w:tc>
        <w:tc>
          <w:tcPr>
            <w:tcW w:w="5320" w:type="dxa"/>
            <w:tcBorders>
              <w:left w:val="nil"/>
              <w:right w:val="nil"/>
            </w:tcBorders>
            <w:tcMar>
              <w:top w:w="100" w:type="dxa"/>
              <w:left w:w="100" w:type="dxa"/>
              <w:bottom w:w="100" w:type="dxa"/>
              <w:right w:w="100" w:type="dxa"/>
            </w:tcMar>
          </w:tcPr>
          <w:p w14:paraId="5273099C"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sex applicability of KEs and/or KERs.</w:t>
            </w:r>
          </w:p>
        </w:tc>
      </w:tr>
      <w:tr w:rsidR="00912CFC" w:rsidRPr="00D8239B" w14:paraId="12F80517" w14:textId="77777777" w:rsidTr="009955A0">
        <w:tc>
          <w:tcPr>
            <w:tcW w:w="4040" w:type="dxa"/>
            <w:tcBorders>
              <w:left w:val="nil"/>
              <w:right w:val="nil"/>
            </w:tcBorders>
            <w:tcMar>
              <w:top w:w="100" w:type="dxa"/>
              <w:left w:w="100" w:type="dxa"/>
              <w:bottom w:w="100" w:type="dxa"/>
              <w:right w:w="100" w:type="dxa"/>
            </w:tcMar>
          </w:tcPr>
          <w:p w14:paraId="3C9F8AF0"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Tissue specificity layer</w:t>
            </w:r>
          </w:p>
        </w:tc>
        <w:tc>
          <w:tcPr>
            <w:tcW w:w="5320" w:type="dxa"/>
            <w:tcBorders>
              <w:left w:val="nil"/>
              <w:right w:val="nil"/>
            </w:tcBorders>
            <w:tcMar>
              <w:top w:w="100" w:type="dxa"/>
              <w:left w:w="100" w:type="dxa"/>
              <w:bottom w:w="100" w:type="dxa"/>
              <w:right w:w="100" w:type="dxa"/>
            </w:tcMar>
          </w:tcPr>
          <w:p w14:paraId="4FA1F31A"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tissue specificity of KEs and/or KERs.</w:t>
            </w:r>
          </w:p>
        </w:tc>
      </w:tr>
      <w:tr w:rsidR="00912CFC" w:rsidRPr="00D8239B" w14:paraId="5F545FC8" w14:textId="77777777" w:rsidTr="009955A0">
        <w:tc>
          <w:tcPr>
            <w:tcW w:w="4040" w:type="dxa"/>
            <w:tcBorders>
              <w:left w:val="nil"/>
              <w:right w:val="nil"/>
            </w:tcBorders>
            <w:tcMar>
              <w:top w:w="100" w:type="dxa"/>
              <w:left w:w="100" w:type="dxa"/>
              <w:bottom w:w="100" w:type="dxa"/>
              <w:right w:w="100" w:type="dxa"/>
            </w:tcMar>
          </w:tcPr>
          <w:p w14:paraId="4FE7F243"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Temporality layer</w:t>
            </w:r>
          </w:p>
        </w:tc>
        <w:tc>
          <w:tcPr>
            <w:tcW w:w="5320" w:type="dxa"/>
            <w:tcBorders>
              <w:left w:val="nil"/>
              <w:right w:val="nil"/>
            </w:tcBorders>
            <w:tcMar>
              <w:top w:w="100" w:type="dxa"/>
              <w:left w:w="100" w:type="dxa"/>
              <w:bottom w:w="100" w:type="dxa"/>
              <w:right w:w="100" w:type="dxa"/>
            </w:tcMar>
          </w:tcPr>
          <w:p w14:paraId="1045C2F1"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time-course data of KERs.</w:t>
            </w:r>
          </w:p>
        </w:tc>
      </w:tr>
      <w:tr w:rsidR="00912CFC" w:rsidRPr="00D8239B" w14:paraId="49C7F2E7" w14:textId="77777777" w:rsidTr="009955A0">
        <w:tc>
          <w:tcPr>
            <w:tcW w:w="4040" w:type="dxa"/>
            <w:tcBorders>
              <w:left w:val="nil"/>
              <w:right w:val="nil"/>
            </w:tcBorders>
            <w:tcMar>
              <w:top w:w="100" w:type="dxa"/>
              <w:left w:w="100" w:type="dxa"/>
              <w:bottom w:w="100" w:type="dxa"/>
              <w:right w:w="100" w:type="dxa"/>
            </w:tcMar>
          </w:tcPr>
          <w:p w14:paraId="42EB5964"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Quantitative data layer</w:t>
            </w:r>
          </w:p>
        </w:tc>
        <w:tc>
          <w:tcPr>
            <w:tcW w:w="5320" w:type="dxa"/>
            <w:tcBorders>
              <w:left w:val="nil"/>
              <w:right w:val="nil"/>
            </w:tcBorders>
            <w:tcMar>
              <w:top w:w="100" w:type="dxa"/>
              <w:left w:w="100" w:type="dxa"/>
              <w:bottom w:w="100" w:type="dxa"/>
              <w:right w:w="100" w:type="dxa"/>
            </w:tcMar>
          </w:tcPr>
          <w:p w14:paraId="59D13415"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dose-response data of KERs.</w:t>
            </w:r>
          </w:p>
        </w:tc>
      </w:tr>
      <w:tr w:rsidR="00912CFC" w:rsidRPr="00D8239B" w14:paraId="341AF6B7" w14:textId="77777777" w:rsidTr="009955A0">
        <w:tc>
          <w:tcPr>
            <w:tcW w:w="4040" w:type="dxa"/>
            <w:tcBorders>
              <w:left w:val="nil"/>
              <w:right w:val="nil"/>
            </w:tcBorders>
            <w:tcMar>
              <w:top w:w="100" w:type="dxa"/>
              <w:left w:w="100" w:type="dxa"/>
              <w:bottom w:w="100" w:type="dxa"/>
              <w:right w:w="100" w:type="dxa"/>
            </w:tcMar>
          </w:tcPr>
          <w:p w14:paraId="16BE69A1"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Genetic heterogeneity layer</w:t>
            </w:r>
          </w:p>
        </w:tc>
        <w:tc>
          <w:tcPr>
            <w:tcW w:w="5320" w:type="dxa"/>
            <w:tcBorders>
              <w:left w:val="nil"/>
              <w:right w:val="nil"/>
            </w:tcBorders>
            <w:tcMar>
              <w:top w:w="100" w:type="dxa"/>
              <w:left w:w="100" w:type="dxa"/>
              <w:bottom w:w="100" w:type="dxa"/>
              <w:right w:w="100" w:type="dxa"/>
            </w:tcMar>
          </w:tcPr>
          <w:p w14:paraId="21E6F392" w14:textId="77777777" w:rsidR="00912CFC" w:rsidRPr="00D8239B" w:rsidRDefault="00912CFC" w:rsidP="009955A0">
            <w:pPr>
              <w:rPr>
                <w:rFonts w:asciiTheme="minorHAnsi" w:hAnsiTheme="minorHAnsi"/>
                <w:color w:val="000000" w:themeColor="text1"/>
                <w:sz w:val="22"/>
                <w:szCs w:val="22"/>
              </w:rPr>
            </w:pPr>
            <w:r w:rsidRPr="00D8239B">
              <w:rPr>
                <w:rFonts w:asciiTheme="minorHAnsi" w:hAnsiTheme="minorHAnsi"/>
                <w:color w:val="000000" w:themeColor="text1"/>
                <w:sz w:val="22"/>
                <w:szCs w:val="22"/>
              </w:rPr>
              <w:t>Displays whether the severity of a KE is dependent on genetic background (e.g.., specific alleles).</w:t>
            </w:r>
          </w:p>
        </w:tc>
      </w:tr>
    </w:tbl>
    <w:p w14:paraId="097799AF" w14:textId="77777777" w:rsidR="00912CFC" w:rsidRPr="00D8239B" w:rsidRDefault="00912CFC" w:rsidP="00912CFC">
      <w:pPr>
        <w:spacing w:line="360" w:lineRule="auto"/>
        <w:rPr>
          <w:rFonts w:asciiTheme="minorHAnsi" w:hAnsiTheme="minorHAnsi"/>
          <w:b/>
          <w:color w:val="000000" w:themeColor="text1"/>
          <w:sz w:val="22"/>
          <w:szCs w:val="22"/>
        </w:rPr>
      </w:pPr>
      <w:bookmarkStart w:id="0" w:name="_17dp8vu" w:colFirst="0" w:colLast="0"/>
      <w:bookmarkEnd w:id="0"/>
    </w:p>
    <w:p w14:paraId="4C4F81D3" w14:textId="77777777" w:rsidR="00912CFC" w:rsidRDefault="00912CFC" w:rsidP="00912CFC">
      <w:pPr>
        <w:rPr>
          <w:rFonts w:asciiTheme="minorHAnsi" w:hAnsiTheme="minorHAnsi"/>
          <w:b/>
          <w:sz w:val="22"/>
          <w:szCs w:val="22"/>
        </w:rPr>
      </w:pPr>
      <w:r>
        <w:rPr>
          <w:rFonts w:asciiTheme="minorHAnsi" w:hAnsiTheme="minorHAnsi"/>
          <w:b/>
          <w:sz w:val="22"/>
          <w:szCs w:val="22"/>
        </w:rPr>
        <w:br w:type="page"/>
      </w:r>
    </w:p>
    <w:p w14:paraId="21345EC9" w14:textId="77777777" w:rsidR="00912CFC" w:rsidRPr="001B24DF" w:rsidRDefault="00912CFC" w:rsidP="00912CFC">
      <w:pPr>
        <w:spacing w:line="360" w:lineRule="auto"/>
        <w:jc w:val="both"/>
        <w:rPr>
          <w:rFonts w:asciiTheme="minorHAnsi" w:hAnsiTheme="minorHAnsi"/>
          <w:b/>
          <w:sz w:val="22"/>
          <w:szCs w:val="22"/>
        </w:rPr>
      </w:pPr>
      <w:r w:rsidRPr="001B24DF">
        <w:rPr>
          <w:rFonts w:asciiTheme="minorHAnsi" w:hAnsiTheme="minorHAnsi"/>
          <w:b/>
          <w:sz w:val="22"/>
          <w:szCs w:val="22"/>
        </w:rPr>
        <w:lastRenderedPageBreak/>
        <w:t xml:space="preserve">Case Study 3: Hazard assessment for a complex mixture </w:t>
      </w:r>
    </w:p>
    <w:p w14:paraId="71250468" w14:textId="77777777" w:rsidR="00912CFC" w:rsidRPr="00375747" w:rsidRDefault="00912CFC" w:rsidP="00912CFC">
      <w:pPr>
        <w:spacing w:line="360" w:lineRule="auto"/>
        <w:jc w:val="both"/>
        <w:rPr>
          <w:rFonts w:asciiTheme="minorHAnsi" w:hAnsiTheme="minorHAnsi"/>
          <w:sz w:val="22"/>
          <w:szCs w:val="22"/>
        </w:rPr>
      </w:pPr>
    </w:p>
    <w:p w14:paraId="3426FD3F" w14:textId="77777777" w:rsidR="00912CFC" w:rsidRPr="00D8239B" w:rsidRDefault="00912CFC" w:rsidP="00912CFC">
      <w:pPr>
        <w:spacing w:line="360" w:lineRule="auto"/>
        <w:jc w:val="both"/>
        <w:rPr>
          <w:rFonts w:asciiTheme="minorHAnsi" w:hAnsiTheme="minorHAnsi"/>
          <w:sz w:val="22"/>
          <w:szCs w:val="22"/>
          <w:u w:val="single"/>
        </w:rPr>
      </w:pPr>
      <w:r w:rsidRPr="00D8239B">
        <w:rPr>
          <w:rFonts w:asciiTheme="minorHAnsi" w:hAnsiTheme="minorHAnsi"/>
          <w:sz w:val="22"/>
          <w:szCs w:val="22"/>
          <w:u w:val="single"/>
        </w:rPr>
        <w:t>Materials and Methods</w:t>
      </w:r>
    </w:p>
    <w:p w14:paraId="56CE3047" w14:textId="77777777" w:rsidR="00912CFC" w:rsidRPr="00D8239B" w:rsidRDefault="00912CFC" w:rsidP="00912CFC">
      <w:pPr>
        <w:spacing w:line="360" w:lineRule="auto"/>
        <w:jc w:val="both"/>
        <w:rPr>
          <w:rFonts w:asciiTheme="minorHAnsi" w:hAnsiTheme="minorHAnsi"/>
          <w:sz w:val="22"/>
          <w:szCs w:val="22"/>
        </w:rPr>
      </w:pPr>
    </w:p>
    <w:p w14:paraId="3F1EFE31" w14:textId="2AFF203F" w:rsidR="00912CFC" w:rsidRDefault="00912CFC" w:rsidP="00912CFC">
      <w:pPr>
        <w:spacing w:line="360" w:lineRule="auto"/>
        <w:jc w:val="both"/>
        <w:rPr>
          <w:rFonts w:asciiTheme="minorHAnsi" w:eastAsia="Times New Roman" w:hAnsiTheme="minorHAnsi" w:cs="Times New Roman"/>
          <w:sz w:val="22"/>
          <w:szCs w:val="22"/>
        </w:rPr>
      </w:pPr>
      <w:r w:rsidRPr="00D8239B">
        <w:rPr>
          <w:rFonts w:asciiTheme="minorHAnsi" w:eastAsia="Times New Roman" w:hAnsiTheme="minorHAnsi" w:cs="Times New Roman"/>
          <w:sz w:val="22"/>
          <w:szCs w:val="22"/>
        </w:rPr>
        <w:t>In September, 2015, a water sample was collected downstream of a major metropolitan waste water treatment plant that discharges to the South Platte River, Colorado, USA. The grab sample, 1L, was collected just below the water surface, directly into a pre-cleaned, organic-free, amber glass bottle. The water sample was extracted by solid phase extraction using an Oasis-HLB glass catridge. Cartidges were conditioned sequentially using 5mL each of ethyl acetate, 50:50 methanol (MeOH):dichloromethane (DCM), MeOH, and water. Prior to SPE, The 1 L whole water sample was filtered using a 47 mm glass-fiber filter (0.7 um pore size). After filtration, 0.5 L of sample was loaded onto a pre-conditioned cartridge. The cartridge was aspirated to near dryness, then eluted using 6 mL of MeOH followed by 6 ml of 50:50 MeOH:DCM. The extract was evaporated to dryness under a gentle stream of nitrogen at 30 degrees C. The sample was then reconstituted in 500 µL dimethyl sulfoxide (DMSO), sonicated for 10 min, then transferred to a clean, amber glass vial. The extract was stored frozen and shipped on ice to Attagene (Attagene, Morrisville, NC, USA) for analysis. The extract in DMSO was tested in the Attagene cis- and trans-Factorial</w:t>
      </w:r>
      <w:r w:rsidRPr="00D8239B">
        <w:rPr>
          <w:rFonts w:asciiTheme="minorHAnsi" w:eastAsia="Times New Roman" w:hAnsiTheme="minorHAnsi" w:cs="Times New Roman"/>
          <w:sz w:val="22"/>
          <w:szCs w:val="22"/>
          <w:vertAlign w:val="superscript"/>
        </w:rPr>
        <w:t>TM</w:t>
      </w:r>
      <w:r w:rsidRPr="00D8239B">
        <w:rPr>
          <w:rFonts w:asciiTheme="minorHAnsi" w:eastAsia="Times New Roman" w:hAnsiTheme="minorHAnsi" w:cs="Times New Roman"/>
          <w:sz w:val="22"/>
          <w:szCs w:val="22"/>
          <w:vertAlign w:val="subscript"/>
        </w:rPr>
        <w:t xml:space="preserve"> </w:t>
      </w:r>
      <w:r w:rsidRPr="00D8239B">
        <w:rPr>
          <w:rFonts w:asciiTheme="minorHAnsi" w:eastAsia="Times New Roman" w:hAnsiTheme="minorHAnsi" w:cs="Times New Roman"/>
          <w:sz w:val="22"/>
          <w:szCs w:val="22"/>
        </w:rPr>
        <w:t>assays (</w:t>
      </w:r>
      <w:hyperlink r:id="rId6" w:history="1">
        <w:r w:rsidRPr="00D8239B">
          <w:rPr>
            <w:rFonts w:asciiTheme="minorHAnsi" w:eastAsia="Times New Roman" w:hAnsiTheme="minorHAnsi" w:cs="Times New Roman"/>
            <w:color w:val="1155CC"/>
            <w:sz w:val="22"/>
            <w:szCs w:val="22"/>
            <w:u w:val="single"/>
          </w:rPr>
          <w:t>http://www.attagene.com/technology.php</w:t>
        </w:r>
      </w:hyperlink>
      <w:r w:rsidRPr="00D8239B">
        <w:rPr>
          <w:rFonts w:asciiTheme="minorHAnsi" w:eastAsia="Times New Roman" w:hAnsiTheme="minorHAnsi" w:cs="Times New Roman"/>
          <w:sz w:val="22"/>
          <w:szCs w:val="22"/>
        </w:rPr>
        <w:t xml:space="preserve">; </w:t>
      </w:r>
      <w:r>
        <w:rPr>
          <w:rFonts w:asciiTheme="minorHAnsi" w:eastAsia="Times New Roman" w:hAnsiTheme="minorHAnsi" w:cs="Times New Roman"/>
          <w:noProof/>
          <w:sz w:val="22"/>
          <w:szCs w:val="22"/>
        </w:rPr>
        <w:t>Martin and other</w:t>
      </w:r>
      <w:r w:rsidR="006A7D81">
        <w:rPr>
          <w:rFonts w:asciiTheme="minorHAnsi" w:eastAsia="Times New Roman" w:hAnsiTheme="minorHAnsi" w:cs="Times New Roman"/>
          <w:noProof/>
          <w:sz w:val="22"/>
          <w:szCs w:val="22"/>
        </w:rPr>
        <w:t>s 2010; Romanov and others 2008</w:t>
      </w:r>
      <w:r w:rsidRPr="00D8239B">
        <w:rPr>
          <w:rFonts w:asciiTheme="minorHAnsi" w:eastAsia="Times New Roman" w:hAnsiTheme="minorHAnsi" w:cs="Times New Roman"/>
          <w:sz w:val="22"/>
          <w:szCs w:val="22"/>
        </w:rPr>
        <w:t>). Data were analyzed using an established analysis pipeline for analyzing ToxCast</w:t>
      </w:r>
      <w:r>
        <w:rPr>
          <w:rFonts w:asciiTheme="minorHAnsi" w:hAnsiTheme="minorHAnsi"/>
          <w:color w:val="000000" w:themeColor="text1"/>
        </w:rPr>
        <w:t>™</w:t>
      </w:r>
      <w:r w:rsidRPr="00D8239B">
        <w:rPr>
          <w:rFonts w:asciiTheme="minorHAnsi" w:eastAsia="Times New Roman" w:hAnsiTheme="minorHAnsi" w:cs="Times New Roman"/>
          <w:sz w:val="22"/>
          <w:szCs w:val="22"/>
        </w:rPr>
        <w:t xml:space="preserve"> high throughput screening data </w:t>
      </w:r>
      <w:r>
        <w:rPr>
          <w:rFonts w:asciiTheme="minorHAnsi" w:eastAsia="Times New Roman" w:hAnsiTheme="minorHAnsi" w:cs="Times New Roman"/>
          <w:noProof/>
          <w:sz w:val="22"/>
          <w:szCs w:val="22"/>
        </w:rPr>
        <w:t>(Filer and others 2017)</w:t>
      </w:r>
      <w:r w:rsidRPr="00D8239B">
        <w:rPr>
          <w:rFonts w:asciiTheme="minorHAnsi" w:eastAsia="Times New Roman" w:hAnsiTheme="minorHAnsi" w:cs="Times New Roman"/>
          <w:sz w:val="22"/>
          <w:szCs w:val="22"/>
        </w:rPr>
        <w:t>.</w:t>
      </w:r>
    </w:p>
    <w:p w14:paraId="230A74F2" w14:textId="77777777" w:rsidR="00912CFC" w:rsidRDefault="00912CFC" w:rsidP="00912CFC">
      <w:pPr>
        <w:spacing w:line="360" w:lineRule="auto"/>
        <w:jc w:val="both"/>
        <w:rPr>
          <w:rFonts w:asciiTheme="minorHAnsi" w:eastAsia="Times New Roman" w:hAnsiTheme="minorHAnsi" w:cs="Times New Roman"/>
          <w:sz w:val="22"/>
          <w:szCs w:val="22"/>
        </w:rPr>
      </w:pPr>
    </w:p>
    <w:p w14:paraId="633524E7" w14:textId="77777777" w:rsidR="00912CFC" w:rsidRPr="00D8239B" w:rsidRDefault="00912CFC" w:rsidP="00912CFC">
      <w:pPr>
        <w:spacing w:line="360" w:lineRule="auto"/>
        <w:jc w:val="both"/>
        <w:rPr>
          <w:rFonts w:asciiTheme="minorHAnsi" w:hAnsiTheme="minorHAnsi"/>
          <w:sz w:val="22"/>
          <w:szCs w:val="22"/>
          <w:u w:val="single"/>
        </w:rPr>
      </w:pPr>
      <w:r>
        <w:rPr>
          <w:rFonts w:asciiTheme="minorHAnsi" w:hAnsiTheme="minorHAnsi"/>
          <w:sz w:val="22"/>
          <w:szCs w:val="22"/>
          <w:u w:val="single"/>
        </w:rPr>
        <w:t>Discussion</w:t>
      </w:r>
    </w:p>
    <w:p w14:paraId="08D5AC94" w14:textId="77777777" w:rsidR="00912CFC" w:rsidRPr="00D8239B" w:rsidRDefault="00912CFC" w:rsidP="00912CFC">
      <w:pPr>
        <w:spacing w:line="360" w:lineRule="auto"/>
        <w:jc w:val="both"/>
        <w:rPr>
          <w:rFonts w:asciiTheme="minorHAnsi" w:hAnsiTheme="minorHAnsi"/>
          <w:sz w:val="22"/>
          <w:szCs w:val="22"/>
        </w:rPr>
      </w:pPr>
    </w:p>
    <w:p w14:paraId="084A6A82" w14:textId="19548F57" w:rsidR="00912CFC" w:rsidRPr="00D8239B" w:rsidRDefault="00912CFC" w:rsidP="00912CFC">
      <w:pPr>
        <w:spacing w:line="360" w:lineRule="auto"/>
        <w:jc w:val="both"/>
        <w:rPr>
          <w:rFonts w:asciiTheme="minorHAnsi" w:hAnsiTheme="minorHAnsi"/>
          <w:sz w:val="22"/>
          <w:szCs w:val="22"/>
        </w:rPr>
      </w:pPr>
      <w:r w:rsidRPr="00D8239B">
        <w:rPr>
          <w:rFonts w:asciiTheme="minorHAnsi" w:hAnsiTheme="minorHAnsi"/>
          <w:color w:val="000000" w:themeColor="text1"/>
          <w:sz w:val="22"/>
          <w:szCs w:val="22"/>
        </w:rPr>
        <w:t xml:space="preserve">A widely recognized application for AOP networks is to aid the assessment of complex mixtures. For example, complex mixtures of chemicals have been detected in surface waters across the US </w:t>
      </w:r>
      <w:r>
        <w:rPr>
          <w:rFonts w:asciiTheme="minorHAnsi" w:hAnsiTheme="minorHAnsi"/>
          <w:noProof/>
          <w:color w:val="000000" w:themeColor="text1"/>
          <w:sz w:val="22"/>
          <w:szCs w:val="22"/>
        </w:rPr>
        <w:t>(Bradley and others 2017)</w:t>
      </w:r>
      <w:r w:rsidRPr="00D8239B">
        <w:rPr>
          <w:rFonts w:asciiTheme="minorHAnsi" w:hAnsiTheme="minorHAnsi"/>
          <w:color w:val="000000" w:themeColor="text1"/>
          <w:sz w:val="22"/>
          <w:szCs w:val="22"/>
        </w:rPr>
        <w:t xml:space="preserve">. For many of these compounds, existing apical toxicity data is quite limited, making it difficult to predict what hazards these mixtures might pose. A number of potential approaches that rely on either existing sources of pathway-based data, or direct testing of complex environmental mixtures in pathway-based assays to predict the potential hazards of complex mixtures have been described (e.g., </w:t>
      </w:r>
      <w:r>
        <w:rPr>
          <w:rFonts w:asciiTheme="minorHAnsi" w:hAnsiTheme="minorHAnsi"/>
          <w:noProof/>
          <w:color w:val="000000" w:themeColor="text1"/>
          <w:sz w:val="22"/>
          <w:szCs w:val="22"/>
        </w:rPr>
        <w:t>Ekman and others 2014; Schroeder and others 2016)</w:t>
      </w:r>
      <w:r w:rsidRPr="00D8239B">
        <w:rPr>
          <w:rFonts w:asciiTheme="minorHAnsi" w:hAnsiTheme="minorHAnsi"/>
          <w:color w:val="000000" w:themeColor="text1"/>
          <w:sz w:val="22"/>
          <w:szCs w:val="22"/>
        </w:rPr>
        <w:t xml:space="preserve">. Here we provide an example of how bioactivity profiling of a complex mixture can be used for prediction of apical hazards via construction of an AOP network. </w:t>
      </w:r>
    </w:p>
    <w:p w14:paraId="29E4AE4E" w14:textId="77777777" w:rsidR="00912CFC" w:rsidRPr="00D8239B" w:rsidRDefault="00912CFC" w:rsidP="00912CFC">
      <w:pPr>
        <w:spacing w:line="360" w:lineRule="auto"/>
        <w:jc w:val="both"/>
        <w:rPr>
          <w:rFonts w:asciiTheme="minorHAnsi" w:hAnsiTheme="minorHAnsi"/>
          <w:color w:val="000000" w:themeColor="text1"/>
          <w:sz w:val="22"/>
          <w:szCs w:val="22"/>
        </w:rPr>
      </w:pPr>
    </w:p>
    <w:p w14:paraId="44FFBF33" w14:textId="77777777" w:rsidR="00912CFC" w:rsidRPr="00D8239B" w:rsidRDefault="00912CFC" w:rsidP="00912CFC">
      <w:pPr>
        <w:spacing w:line="360" w:lineRule="auto"/>
        <w:jc w:val="both"/>
        <w:rPr>
          <w:rFonts w:asciiTheme="minorHAnsi" w:hAnsiTheme="minorHAnsi"/>
          <w:color w:val="000000" w:themeColor="text1"/>
          <w:sz w:val="22"/>
          <w:szCs w:val="22"/>
        </w:rPr>
      </w:pPr>
      <w:r w:rsidRPr="00D8239B">
        <w:rPr>
          <w:rFonts w:asciiTheme="minorHAnsi" w:hAnsiTheme="minorHAnsi"/>
          <w:color w:val="000000" w:themeColor="text1"/>
          <w:sz w:val="22"/>
          <w:szCs w:val="22"/>
        </w:rPr>
        <w:t xml:space="preserve">In September 2015, a water sample was collected downstream of a major metropolitan wastewater </w:t>
      </w:r>
      <w:r w:rsidRPr="00D8239B">
        <w:rPr>
          <w:rFonts w:asciiTheme="minorHAnsi" w:hAnsiTheme="minorHAnsi"/>
          <w:color w:val="000000" w:themeColor="text1"/>
          <w:sz w:val="22"/>
          <w:szCs w:val="22"/>
        </w:rPr>
        <w:lastRenderedPageBreak/>
        <w:t>treatment plant that discharges to the South Platte River (Colorado, USA). The water sample was extracted and the extract was tested using the Attagene cis- and trans-Factorial</w:t>
      </w:r>
      <w:r w:rsidRPr="00D8239B">
        <w:rPr>
          <w:rFonts w:asciiTheme="minorHAnsi" w:hAnsiTheme="minorHAnsi"/>
          <w:color w:val="000000" w:themeColor="text1"/>
          <w:sz w:val="22"/>
          <w:szCs w:val="22"/>
          <w:vertAlign w:val="superscript"/>
        </w:rPr>
        <w:t>TM</w:t>
      </w:r>
      <w:r w:rsidRPr="00D8239B">
        <w:rPr>
          <w:rFonts w:asciiTheme="minorHAnsi" w:hAnsiTheme="minorHAnsi"/>
          <w:color w:val="000000" w:themeColor="text1"/>
          <w:sz w:val="22"/>
          <w:szCs w:val="22"/>
          <w:vertAlign w:val="subscript"/>
        </w:rPr>
        <w:t xml:space="preserve"> </w:t>
      </w:r>
      <w:r w:rsidRPr="00D8239B">
        <w:rPr>
          <w:rFonts w:asciiTheme="minorHAnsi" w:hAnsiTheme="minorHAnsi"/>
          <w:color w:val="000000" w:themeColor="text1"/>
          <w:sz w:val="22"/>
          <w:szCs w:val="22"/>
        </w:rPr>
        <w:t>assays (</w:t>
      </w:r>
      <w:r>
        <w:rPr>
          <w:rFonts w:asciiTheme="minorHAnsi" w:hAnsiTheme="minorHAnsi"/>
          <w:color w:val="000000" w:themeColor="text1"/>
          <w:sz w:val="22"/>
          <w:szCs w:val="22"/>
        </w:rPr>
        <w:t>unpublished data</w:t>
      </w:r>
      <w:r w:rsidRPr="00D8239B">
        <w:rPr>
          <w:rFonts w:asciiTheme="minorHAnsi" w:hAnsiTheme="minorHAnsi"/>
          <w:color w:val="000000" w:themeColor="text1"/>
          <w:sz w:val="22"/>
          <w:szCs w:val="22"/>
        </w:rPr>
        <w:t>), which are part of the ToxCast</w:t>
      </w:r>
      <w:r>
        <w:rPr>
          <w:rFonts w:asciiTheme="minorHAnsi" w:hAnsiTheme="minorHAnsi"/>
          <w:color w:val="000000" w:themeColor="text1"/>
        </w:rPr>
        <w:t>™</w:t>
      </w:r>
      <w:r w:rsidRPr="00D8239B">
        <w:rPr>
          <w:rFonts w:asciiTheme="minorHAnsi" w:hAnsiTheme="minorHAnsi"/>
          <w:color w:val="000000" w:themeColor="text1"/>
          <w:sz w:val="22"/>
          <w:szCs w:val="22"/>
        </w:rPr>
        <w:t xml:space="preserve"> assay library and simultaneously evaluate the ability of a sample to activate 24 different nuclear receptors (trans-Factorial) or 46 different transcription factor promoter-regulated reporter sequences (cis-Factorial). Significant activity was detected for eight different endpoints (</w:t>
      </w:r>
      <w:r w:rsidRPr="00D8239B">
        <w:rPr>
          <w:rFonts w:asciiTheme="minorHAnsi" w:hAnsiTheme="minorHAnsi"/>
          <w:color w:val="000000" w:themeColor="text1"/>
          <w:sz w:val="22"/>
          <w:szCs w:val="22"/>
          <w:highlight w:val="yellow"/>
        </w:rPr>
        <w:t>Supplementary Table S3</w:t>
      </w:r>
      <w:r w:rsidRPr="00D8239B">
        <w:rPr>
          <w:rFonts w:asciiTheme="minorHAnsi" w:hAnsiTheme="minorHAnsi"/>
          <w:color w:val="000000" w:themeColor="text1"/>
          <w:sz w:val="22"/>
          <w:szCs w:val="22"/>
        </w:rPr>
        <w:t xml:space="preserve">), which were mapped to six unique MIEs described in the AOP-Wiki. The global AOP network, representing all AOPs currently described in the AOP-Wiki (accessed: April 5, 2017; </w:t>
      </w:r>
      <w:r w:rsidRPr="0071654B">
        <w:rPr>
          <w:rFonts w:asciiTheme="minorHAnsi" w:hAnsiTheme="minorHAnsi"/>
          <w:color w:val="000000" w:themeColor="text1"/>
          <w:sz w:val="22"/>
          <w:szCs w:val="22"/>
          <w:highlight w:val="yellow"/>
        </w:rPr>
        <w:t>Supplementary Figure S1A</w:t>
      </w:r>
      <w:r w:rsidRPr="00D8239B">
        <w:rPr>
          <w:rFonts w:asciiTheme="minorHAnsi" w:hAnsiTheme="minorHAnsi"/>
          <w:color w:val="000000" w:themeColor="text1"/>
          <w:sz w:val="22"/>
          <w:szCs w:val="22"/>
        </w:rPr>
        <w:t>) was then filtered to focus on KEs, connected to these six MIEs, that were directly relevant to the observed bioactivities (</w:t>
      </w:r>
      <w:r w:rsidRPr="00CD64B1">
        <w:rPr>
          <w:rFonts w:asciiTheme="minorHAnsi" w:hAnsiTheme="minorHAnsi"/>
          <w:color w:val="000000" w:themeColor="text1"/>
          <w:sz w:val="22"/>
          <w:szCs w:val="22"/>
          <w:highlight w:val="yellow"/>
        </w:rPr>
        <w:t>Supplementary Figure S1B</w:t>
      </w:r>
      <w:r w:rsidRPr="00D8239B">
        <w:rPr>
          <w:rFonts w:asciiTheme="minorHAnsi" w:hAnsiTheme="minorHAnsi"/>
          <w:color w:val="000000" w:themeColor="text1"/>
          <w:sz w:val="22"/>
          <w:szCs w:val="22"/>
        </w:rPr>
        <w:t xml:space="preserve">). Since the sample was an ambient surface water sample, the assumed focus of the assessment was the potential for direct effects on aquatic life, rather than human health. </w:t>
      </w:r>
      <w:r>
        <w:rPr>
          <w:rFonts w:asciiTheme="minorHAnsi" w:hAnsiTheme="minorHAnsi"/>
          <w:color w:val="000000" w:themeColor="text1"/>
          <w:sz w:val="22"/>
          <w:szCs w:val="22"/>
        </w:rPr>
        <w:t>T</w:t>
      </w:r>
      <w:r w:rsidRPr="00D8239B">
        <w:rPr>
          <w:rFonts w:asciiTheme="minorHAnsi" w:hAnsiTheme="minorHAnsi"/>
          <w:color w:val="000000" w:themeColor="text1"/>
          <w:sz w:val="22"/>
          <w:szCs w:val="22"/>
        </w:rPr>
        <w:t>he resulting collection of AOP networks was therefore further filtered</w:t>
      </w:r>
      <w:r>
        <w:rPr>
          <w:rFonts w:asciiTheme="minorHAnsi" w:hAnsiTheme="minorHAnsi"/>
          <w:color w:val="000000" w:themeColor="text1"/>
          <w:sz w:val="22"/>
          <w:szCs w:val="22"/>
        </w:rPr>
        <w:t xml:space="preserve"> </w:t>
      </w:r>
      <w:r w:rsidRPr="00250DF9">
        <w:rPr>
          <w:rFonts w:asciiTheme="minorHAnsi" w:hAnsiTheme="minorHAnsi"/>
          <w:color w:val="000000" w:themeColor="text1"/>
          <w:sz w:val="22"/>
          <w:szCs w:val="22"/>
          <w:highlight w:val="yellow"/>
        </w:rPr>
        <w:t>using a critical paths-based approach</w:t>
      </w:r>
      <w:r w:rsidRPr="00D8239B">
        <w:rPr>
          <w:rFonts w:asciiTheme="minorHAnsi" w:hAnsiTheme="minorHAnsi"/>
          <w:color w:val="000000" w:themeColor="text1"/>
          <w:sz w:val="22"/>
          <w:szCs w:val="22"/>
        </w:rPr>
        <w:t xml:space="preserve"> to exclude AOPs that did not terminate at AOs that would be considered relevant to ecological risk assessment. Focusing on the remaining AOPs, known potential hazards to aquatic vertebrate wildlife associated with this mixture could include impaired reproduction, increased early life stage mortality, and cardiotoxicity (</w:t>
      </w:r>
      <w:r w:rsidRPr="00D8239B">
        <w:rPr>
          <w:rFonts w:asciiTheme="minorHAnsi" w:hAnsiTheme="minorHAnsi"/>
          <w:color w:val="000000" w:themeColor="text1"/>
          <w:sz w:val="22"/>
          <w:szCs w:val="22"/>
          <w:highlight w:val="yellow"/>
        </w:rPr>
        <w:t xml:space="preserve">Supplementary Figure </w:t>
      </w:r>
      <w:r>
        <w:rPr>
          <w:rFonts w:asciiTheme="minorHAnsi" w:hAnsiTheme="minorHAnsi"/>
          <w:color w:val="000000" w:themeColor="text1"/>
          <w:sz w:val="22"/>
          <w:szCs w:val="22"/>
          <w:highlight w:val="yellow"/>
        </w:rPr>
        <w:t>S1</w:t>
      </w:r>
      <w:r w:rsidRPr="00D8239B">
        <w:rPr>
          <w:rFonts w:asciiTheme="minorHAnsi" w:hAnsiTheme="minorHAnsi"/>
          <w:color w:val="000000" w:themeColor="text1"/>
          <w:sz w:val="22"/>
          <w:szCs w:val="22"/>
          <w:highlight w:val="yellow"/>
        </w:rPr>
        <w:t>C</w:t>
      </w:r>
      <w:r>
        <w:rPr>
          <w:rFonts w:asciiTheme="minorHAnsi" w:hAnsiTheme="minorHAnsi"/>
          <w:color w:val="000000" w:themeColor="text1"/>
          <w:sz w:val="22"/>
          <w:szCs w:val="22"/>
          <w:highlight w:val="yellow"/>
        </w:rPr>
        <w:t xml:space="preserve"> and </w:t>
      </w:r>
      <w:r w:rsidRPr="00D8239B">
        <w:rPr>
          <w:rFonts w:asciiTheme="minorHAnsi" w:hAnsiTheme="minorHAnsi"/>
          <w:color w:val="000000" w:themeColor="text1"/>
          <w:sz w:val="22"/>
          <w:szCs w:val="22"/>
          <w:highlight w:val="yellow"/>
        </w:rPr>
        <w:t>Table S4</w:t>
      </w:r>
      <w:r w:rsidRPr="00D8239B">
        <w:rPr>
          <w:rFonts w:asciiTheme="minorHAnsi" w:hAnsiTheme="minorHAnsi"/>
          <w:color w:val="000000" w:themeColor="text1"/>
          <w:sz w:val="22"/>
          <w:szCs w:val="22"/>
        </w:rPr>
        <w:t>).</w:t>
      </w:r>
    </w:p>
    <w:p w14:paraId="2256F1B4" w14:textId="77777777" w:rsidR="00912CFC" w:rsidRPr="00D8239B" w:rsidRDefault="00912CFC" w:rsidP="00912CFC">
      <w:pPr>
        <w:spacing w:line="360" w:lineRule="auto"/>
        <w:jc w:val="both"/>
        <w:rPr>
          <w:rFonts w:asciiTheme="minorHAnsi" w:hAnsiTheme="minorHAnsi"/>
          <w:color w:val="000000" w:themeColor="text1"/>
          <w:sz w:val="22"/>
          <w:szCs w:val="22"/>
        </w:rPr>
      </w:pPr>
    </w:p>
    <w:p w14:paraId="7C8348A0" w14:textId="04FD65FD" w:rsidR="00912CFC" w:rsidRPr="00D8239B" w:rsidRDefault="00912CFC" w:rsidP="00912CFC">
      <w:pPr>
        <w:spacing w:line="360" w:lineRule="auto"/>
        <w:jc w:val="both"/>
        <w:rPr>
          <w:rFonts w:asciiTheme="minorHAnsi" w:hAnsiTheme="minorHAnsi"/>
          <w:color w:val="000000" w:themeColor="text1"/>
          <w:sz w:val="22"/>
          <w:szCs w:val="22"/>
        </w:rPr>
      </w:pPr>
      <w:r w:rsidRPr="00D8239B">
        <w:rPr>
          <w:rFonts w:asciiTheme="minorHAnsi" w:hAnsiTheme="minorHAnsi"/>
          <w:color w:val="000000" w:themeColor="text1"/>
          <w:sz w:val="22"/>
          <w:szCs w:val="22"/>
        </w:rPr>
        <w:t xml:space="preserve">Importantly, observation of pathway-based bioactivities aligned with KEs alone, does not necessarily indicate the perturbation is sufficiently severe to drive the AOP all the way to the adverse outcome. Given that these were </w:t>
      </w:r>
      <w:r w:rsidRPr="00D8239B">
        <w:rPr>
          <w:rFonts w:asciiTheme="minorHAnsi" w:hAnsiTheme="minorHAnsi"/>
          <w:i/>
          <w:color w:val="000000" w:themeColor="text1"/>
          <w:sz w:val="22"/>
          <w:szCs w:val="22"/>
        </w:rPr>
        <w:t>in vitro</w:t>
      </w:r>
      <w:r w:rsidRPr="00D8239B">
        <w:rPr>
          <w:rFonts w:asciiTheme="minorHAnsi" w:hAnsiTheme="minorHAnsi"/>
          <w:color w:val="000000" w:themeColor="text1"/>
          <w:sz w:val="22"/>
          <w:szCs w:val="22"/>
        </w:rPr>
        <w:t xml:space="preserve"> bioactivities, it would first be necessary to confirm that the bioactive compounds would be taken up by aquatic organisms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and that metabolism and elimination rates were slow enough to allow adequate accumulation of chemical to produce the predicted perturbations. Detailed characterization of ADME would be difficult to generate for a mixture, as there are many components that may contribute to the bioactivity, including unknown constituents. However, given the potential hazards posed by the mixture, one could investigate other KEs within the AOP network to achieve focused, hypothesis-driven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testing. For example, the apical hazard related to embryo lethality is mediated through KEs involving AhR activation, increased Cox2 expression, and altered cardiovascular development (</w:t>
      </w:r>
      <w:r w:rsidRPr="00D8239B">
        <w:rPr>
          <w:rFonts w:asciiTheme="minorHAnsi" w:hAnsiTheme="minorHAnsi"/>
          <w:color w:val="000000" w:themeColor="text1"/>
          <w:sz w:val="22"/>
          <w:szCs w:val="22"/>
          <w:highlight w:val="yellow"/>
        </w:rPr>
        <w:t xml:space="preserve">Supplementary Figure </w:t>
      </w:r>
      <w:r>
        <w:rPr>
          <w:rFonts w:asciiTheme="minorHAnsi" w:hAnsiTheme="minorHAnsi"/>
          <w:color w:val="000000" w:themeColor="text1"/>
          <w:sz w:val="22"/>
          <w:szCs w:val="22"/>
          <w:highlight w:val="yellow"/>
        </w:rPr>
        <w:t>S1</w:t>
      </w:r>
      <w:r w:rsidRPr="00D8239B">
        <w:rPr>
          <w:rFonts w:asciiTheme="minorHAnsi" w:hAnsiTheme="minorHAnsi"/>
          <w:color w:val="000000" w:themeColor="text1"/>
          <w:sz w:val="22"/>
          <w:szCs w:val="22"/>
          <w:highlight w:val="yellow"/>
        </w:rPr>
        <w:t>C</w:t>
      </w:r>
      <w:r w:rsidRPr="00D8239B">
        <w:rPr>
          <w:rFonts w:asciiTheme="minorHAnsi" w:hAnsiTheme="minorHAnsi"/>
          <w:color w:val="000000" w:themeColor="text1"/>
          <w:sz w:val="22"/>
          <w:szCs w:val="22"/>
        </w:rPr>
        <w:t xml:space="preserve">). Testing the extract using the fish embryo test (OECD TG 236, </w:t>
      </w:r>
      <w:r>
        <w:rPr>
          <w:rFonts w:asciiTheme="minorHAnsi" w:hAnsiTheme="minorHAnsi"/>
          <w:noProof/>
          <w:color w:val="000000" w:themeColor="text1"/>
          <w:sz w:val="22"/>
          <w:szCs w:val="22"/>
        </w:rPr>
        <w:t>OECD 2013)</w:t>
      </w:r>
      <w:r w:rsidRPr="00D8239B">
        <w:rPr>
          <w:rFonts w:asciiTheme="minorHAnsi" w:hAnsiTheme="minorHAnsi"/>
          <w:color w:val="000000" w:themeColor="text1"/>
          <w:sz w:val="22"/>
          <w:szCs w:val="22"/>
        </w:rPr>
        <w:t xml:space="preserve">, complemented with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measures of CYP1A1 expression (an established indirect indicator of AhR activation), COX2 expression (another KE), and examination of heart morphology would be a suitable follow-up to guide the assessment. In the case of the potential effects on reproduction and sexual differentiation, relatively few KEs linking ER agonism to those apical outcomes have been described to date. A short term test measuring vitellogenin mRNA or protein expression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an established indirect indicator of ER activation, </w:t>
      </w:r>
      <w:r w:rsidRPr="00D8239B">
        <w:rPr>
          <w:rFonts w:asciiTheme="minorHAnsi" w:hAnsiTheme="minorHAnsi"/>
          <w:color w:val="000000" w:themeColor="text1"/>
          <w:sz w:val="22"/>
          <w:szCs w:val="22"/>
        </w:rPr>
        <w:lastRenderedPageBreak/>
        <w:t xml:space="preserve">could at least be used to establish whether the ER-active compounds detected </w:t>
      </w:r>
      <w:r w:rsidRPr="00D8239B">
        <w:rPr>
          <w:rFonts w:asciiTheme="minorHAnsi" w:hAnsiTheme="minorHAnsi"/>
          <w:i/>
          <w:color w:val="000000" w:themeColor="text1"/>
          <w:sz w:val="22"/>
          <w:szCs w:val="22"/>
        </w:rPr>
        <w:t>in vitro</w:t>
      </w:r>
      <w:r w:rsidRPr="00D8239B">
        <w:rPr>
          <w:rFonts w:asciiTheme="minorHAnsi" w:hAnsiTheme="minorHAnsi"/>
          <w:color w:val="000000" w:themeColor="text1"/>
          <w:sz w:val="22"/>
          <w:szCs w:val="22"/>
        </w:rPr>
        <w:t xml:space="preserve"> are available and active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w:t>
      </w:r>
      <w:r w:rsidRPr="00B8745A">
        <w:rPr>
          <w:rFonts w:asciiTheme="minorHAnsi" w:hAnsiTheme="minorHAnsi"/>
          <w:color w:val="000000" w:themeColor="text1"/>
          <w:sz w:val="22"/>
          <w:szCs w:val="22"/>
          <w:highlight w:val="yellow"/>
        </w:rPr>
        <w:t xml:space="preserve">These examples illustrate that using </w:t>
      </w:r>
      <w:r w:rsidRPr="00B8745A">
        <w:rPr>
          <w:rFonts w:asciiTheme="minorHAnsi" w:hAnsiTheme="minorHAnsi"/>
          <w:i/>
          <w:color w:val="000000" w:themeColor="text1"/>
          <w:sz w:val="22"/>
          <w:szCs w:val="22"/>
          <w:highlight w:val="yellow"/>
        </w:rPr>
        <w:t>in vitro</w:t>
      </w:r>
      <w:r w:rsidRPr="00B8745A">
        <w:rPr>
          <w:rFonts w:asciiTheme="minorHAnsi" w:hAnsiTheme="minorHAnsi"/>
          <w:color w:val="000000" w:themeColor="text1"/>
          <w:sz w:val="22"/>
          <w:szCs w:val="22"/>
          <w:highlight w:val="yellow"/>
        </w:rPr>
        <w:t xml:space="preserve"> screening methods focused on measuring specific KEs of an AOP could be useful for hazard identification and designing follow-up studies.</w:t>
      </w:r>
      <w:r>
        <w:rPr>
          <w:rFonts w:asciiTheme="minorHAnsi" w:hAnsiTheme="minorHAnsi"/>
          <w:color w:val="000000" w:themeColor="text1"/>
          <w:sz w:val="22"/>
          <w:szCs w:val="22"/>
        </w:rPr>
        <w:t xml:space="preserve"> </w:t>
      </w:r>
      <w:r w:rsidRPr="00D8239B">
        <w:rPr>
          <w:rFonts w:asciiTheme="minorHAnsi" w:hAnsiTheme="minorHAnsi"/>
          <w:color w:val="000000" w:themeColor="text1"/>
          <w:sz w:val="22"/>
          <w:szCs w:val="22"/>
        </w:rPr>
        <w:t xml:space="preserve">Finally, it is important to realize that AOP networks are limited by the scope of knowledge and relationships currently captured in the AOP-Wiki </w:t>
      </w:r>
      <w:r>
        <w:rPr>
          <w:rFonts w:asciiTheme="minorHAnsi" w:hAnsiTheme="minorHAnsi"/>
          <w:noProof/>
          <w:color w:val="000000" w:themeColor="text1"/>
          <w:sz w:val="22"/>
          <w:szCs w:val="22"/>
        </w:rPr>
        <w:t>(Villeneuve and others 2018)</w:t>
      </w:r>
      <w:r w:rsidRPr="00D8239B">
        <w:rPr>
          <w:rFonts w:asciiTheme="minorHAnsi" w:hAnsiTheme="minorHAnsi"/>
          <w:color w:val="000000" w:themeColor="text1"/>
          <w:sz w:val="22"/>
          <w:szCs w:val="22"/>
        </w:rPr>
        <w:t xml:space="preserve">. While it is well-established that a high level of crosstalk exists between the estrogen receptor and aryl hydrocarbon receptor pathways through a number of different mechanisms </w:t>
      </w:r>
      <w:r>
        <w:rPr>
          <w:rFonts w:asciiTheme="minorHAnsi" w:hAnsiTheme="minorHAnsi"/>
          <w:noProof/>
          <w:color w:val="000000" w:themeColor="text1"/>
          <w:sz w:val="22"/>
          <w:szCs w:val="22"/>
        </w:rPr>
        <w:t>(Matthews and Gustafsson 2006)</w:t>
      </w:r>
      <w:r w:rsidRPr="00D8239B">
        <w:rPr>
          <w:rFonts w:asciiTheme="minorHAnsi" w:hAnsiTheme="minorHAnsi"/>
          <w:color w:val="000000" w:themeColor="text1"/>
          <w:sz w:val="22"/>
          <w:szCs w:val="22"/>
        </w:rPr>
        <w:t>, these interactions are currently not yet represented in our AOP network (</w:t>
      </w:r>
      <w:r w:rsidRPr="00D8239B">
        <w:rPr>
          <w:rFonts w:asciiTheme="minorHAnsi" w:hAnsiTheme="minorHAnsi"/>
          <w:color w:val="000000" w:themeColor="text1"/>
          <w:sz w:val="22"/>
          <w:szCs w:val="22"/>
          <w:highlight w:val="yellow"/>
        </w:rPr>
        <w:t xml:space="preserve">Supplementary Figure </w:t>
      </w:r>
      <w:r>
        <w:rPr>
          <w:rFonts w:asciiTheme="minorHAnsi" w:hAnsiTheme="minorHAnsi"/>
          <w:color w:val="000000" w:themeColor="text1"/>
          <w:sz w:val="22"/>
          <w:szCs w:val="22"/>
          <w:highlight w:val="yellow"/>
        </w:rPr>
        <w:t>S1</w:t>
      </w:r>
      <w:r w:rsidRPr="00D8239B">
        <w:rPr>
          <w:rFonts w:asciiTheme="minorHAnsi" w:hAnsiTheme="minorHAnsi"/>
          <w:color w:val="000000" w:themeColor="text1"/>
          <w:sz w:val="22"/>
          <w:szCs w:val="22"/>
          <w:highlight w:val="yellow"/>
        </w:rPr>
        <w:t>C</w:t>
      </w:r>
      <w:r w:rsidRPr="00D8239B">
        <w:rPr>
          <w:rFonts w:asciiTheme="minorHAnsi" w:hAnsiTheme="minorHAnsi"/>
          <w:color w:val="000000" w:themeColor="text1"/>
          <w:sz w:val="22"/>
          <w:szCs w:val="22"/>
        </w:rPr>
        <w:t>). Further refinement of AOP network-based hazard assessment therefore requires continued efforts to grow the AOP-KB, ultimately fully describing how AOPs and AOP networks might interact with each other.</w:t>
      </w:r>
    </w:p>
    <w:p w14:paraId="538611D8" w14:textId="77777777" w:rsidR="00912CFC" w:rsidRDefault="00912CFC" w:rsidP="00912CFC">
      <w:pPr>
        <w:spacing w:line="360" w:lineRule="auto"/>
        <w:jc w:val="both"/>
        <w:rPr>
          <w:rFonts w:asciiTheme="minorHAnsi" w:hAnsiTheme="minorHAnsi"/>
          <w:b/>
          <w:sz w:val="22"/>
          <w:szCs w:val="22"/>
        </w:rPr>
      </w:pPr>
      <w:r>
        <w:rPr>
          <w:rFonts w:asciiTheme="minorHAnsi" w:hAnsiTheme="minorHAnsi"/>
          <w:b/>
          <w:noProof/>
          <w:sz w:val="22"/>
          <w:szCs w:val="22"/>
        </w:rPr>
        <w:drawing>
          <wp:inline distT="0" distB="0" distL="0" distR="0" wp14:anchorId="4462546E" wp14:editId="0B4DE890">
            <wp:extent cx="547370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3700" cy="4191000"/>
                    </a:xfrm>
                    <a:prstGeom prst="rect">
                      <a:avLst/>
                    </a:prstGeom>
                  </pic:spPr>
                </pic:pic>
              </a:graphicData>
            </a:graphic>
          </wp:inline>
        </w:drawing>
      </w:r>
    </w:p>
    <w:p w14:paraId="59675EB6" w14:textId="77777777" w:rsidR="00912CFC" w:rsidRDefault="00912CFC" w:rsidP="00912CFC">
      <w:pPr>
        <w:spacing w:line="360" w:lineRule="auto"/>
        <w:jc w:val="both"/>
        <w:rPr>
          <w:rFonts w:asciiTheme="minorHAnsi" w:hAnsiTheme="minorHAnsi"/>
          <w:b/>
          <w:sz w:val="22"/>
          <w:szCs w:val="22"/>
        </w:rPr>
      </w:pPr>
      <w:r w:rsidRPr="00EC6A09">
        <w:rPr>
          <w:rFonts w:asciiTheme="minorHAnsi" w:hAnsiTheme="minorHAnsi"/>
          <w:color w:val="000000" w:themeColor="text1"/>
          <w:sz w:val="22"/>
          <w:szCs w:val="22"/>
          <w:highlight w:val="yellow"/>
        </w:rPr>
        <w:t>Figure S1</w:t>
      </w:r>
      <w:r w:rsidRPr="00EC6A09">
        <w:rPr>
          <w:rFonts w:asciiTheme="minorHAnsi" w:hAnsiTheme="minorHAnsi"/>
          <w:color w:val="000000" w:themeColor="text1"/>
          <w:sz w:val="22"/>
          <w:szCs w:val="22"/>
        </w:rPr>
        <w:t xml:space="preserve">. AOP network analysis to support hazard assessment of a complex mixture. (A) Global AOP network representing all AOPs currently described in the AOP-Wiki (accessed: April 5, 2017). The six </w:t>
      </w:r>
      <w:r w:rsidRPr="000D7A9B">
        <w:rPr>
          <w:rFonts w:asciiTheme="minorHAnsi" w:hAnsiTheme="minorHAnsi"/>
          <w:color w:val="000000" w:themeColor="text1"/>
          <w:sz w:val="22"/>
          <w:szCs w:val="22"/>
          <w:highlight w:val="yellow"/>
        </w:rPr>
        <w:t>molecular initiating events</w:t>
      </w:r>
      <w:r w:rsidRPr="00EC6A09">
        <w:rPr>
          <w:rFonts w:asciiTheme="minorHAnsi" w:hAnsiTheme="minorHAnsi"/>
          <w:color w:val="000000" w:themeColor="text1"/>
          <w:sz w:val="22"/>
          <w:szCs w:val="22"/>
        </w:rPr>
        <w:t xml:space="preserve"> directly relevant to the mixture are highlighted as green diamonds. (B) Filtering of the AOP network, selecting only </w:t>
      </w:r>
      <w:r w:rsidRPr="000D7A9B">
        <w:rPr>
          <w:rFonts w:asciiTheme="minorHAnsi" w:hAnsiTheme="minorHAnsi"/>
          <w:color w:val="000000" w:themeColor="text1"/>
          <w:sz w:val="22"/>
          <w:szCs w:val="22"/>
          <w:highlight w:val="yellow"/>
        </w:rPr>
        <w:t>key events</w:t>
      </w:r>
      <w:r w:rsidRPr="00EC6A09">
        <w:rPr>
          <w:rFonts w:asciiTheme="minorHAnsi" w:hAnsiTheme="minorHAnsi"/>
          <w:color w:val="000000" w:themeColor="text1"/>
          <w:sz w:val="22"/>
          <w:szCs w:val="22"/>
        </w:rPr>
        <w:t xml:space="preserve"> that are connected to the six relevant </w:t>
      </w:r>
      <w:r w:rsidRPr="000D7A9B">
        <w:rPr>
          <w:rFonts w:asciiTheme="minorHAnsi" w:hAnsiTheme="minorHAnsi"/>
          <w:color w:val="000000" w:themeColor="text1"/>
          <w:sz w:val="22"/>
          <w:szCs w:val="22"/>
          <w:highlight w:val="yellow"/>
        </w:rPr>
        <w:t>molecular initiating events</w:t>
      </w:r>
      <w:r w:rsidRPr="00EC6A09">
        <w:rPr>
          <w:rFonts w:asciiTheme="minorHAnsi" w:hAnsiTheme="minorHAnsi"/>
          <w:color w:val="000000" w:themeColor="text1"/>
          <w:sz w:val="22"/>
          <w:szCs w:val="22"/>
        </w:rPr>
        <w:t xml:space="preserve"> by no more than 4 subsequent </w:t>
      </w:r>
      <w:r w:rsidRPr="000D7A9B">
        <w:rPr>
          <w:rFonts w:asciiTheme="minorHAnsi" w:hAnsiTheme="minorHAnsi"/>
          <w:color w:val="000000" w:themeColor="text1"/>
          <w:sz w:val="22"/>
          <w:szCs w:val="22"/>
          <w:highlight w:val="yellow"/>
        </w:rPr>
        <w:t>key event</w:t>
      </w:r>
      <w:r>
        <w:rPr>
          <w:rFonts w:asciiTheme="minorHAnsi" w:hAnsiTheme="minorHAnsi"/>
          <w:color w:val="000000" w:themeColor="text1"/>
          <w:sz w:val="22"/>
          <w:szCs w:val="22"/>
          <w:highlight w:val="yellow"/>
        </w:rPr>
        <w:t xml:space="preserve"> relationship</w:t>
      </w:r>
      <w:r w:rsidRPr="000D7A9B">
        <w:rPr>
          <w:rFonts w:asciiTheme="minorHAnsi" w:hAnsiTheme="minorHAnsi"/>
          <w:color w:val="000000" w:themeColor="text1"/>
          <w:sz w:val="22"/>
          <w:szCs w:val="22"/>
          <w:highlight w:val="yellow"/>
        </w:rPr>
        <w:t>s</w:t>
      </w:r>
      <w:r w:rsidRPr="00EC6A09">
        <w:rPr>
          <w:rFonts w:asciiTheme="minorHAnsi" w:hAnsiTheme="minorHAnsi"/>
          <w:color w:val="000000" w:themeColor="text1"/>
          <w:sz w:val="22"/>
          <w:szCs w:val="22"/>
        </w:rPr>
        <w:t xml:space="preserve">. Filtering resulted in one complex AOP network sharing three </w:t>
      </w:r>
      <w:r w:rsidRPr="000D7A9B">
        <w:rPr>
          <w:rFonts w:asciiTheme="minorHAnsi" w:hAnsiTheme="minorHAnsi"/>
          <w:color w:val="000000" w:themeColor="text1"/>
          <w:sz w:val="22"/>
          <w:szCs w:val="22"/>
          <w:highlight w:val="yellow"/>
        </w:rPr>
        <w:t>molecular initiating events</w:t>
      </w:r>
      <w:r w:rsidRPr="00EC6A09">
        <w:rPr>
          <w:rFonts w:asciiTheme="minorHAnsi" w:hAnsiTheme="minorHAnsi"/>
          <w:color w:val="000000" w:themeColor="text1"/>
          <w:sz w:val="22"/>
          <w:szCs w:val="22"/>
        </w:rPr>
        <w:t xml:space="preserve"> and many </w:t>
      </w:r>
      <w:r w:rsidRPr="000D7A9B">
        <w:rPr>
          <w:rFonts w:asciiTheme="minorHAnsi" w:hAnsiTheme="minorHAnsi"/>
          <w:color w:val="000000" w:themeColor="text1"/>
          <w:sz w:val="22"/>
          <w:szCs w:val="22"/>
          <w:highlight w:val="yellow"/>
        </w:rPr>
        <w:t>key events</w:t>
      </w:r>
      <w:r w:rsidRPr="00EC6A09">
        <w:rPr>
          <w:rFonts w:asciiTheme="minorHAnsi" w:hAnsiTheme="minorHAnsi"/>
          <w:color w:val="000000" w:themeColor="text1"/>
          <w:sz w:val="22"/>
          <w:szCs w:val="22"/>
        </w:rPr>
        <w:t xml:space="preserve"> (top), two relatively simple AOP networks sharing a few </w:t>
      </w:r>
      <w:r w:rsidRPr="000D7A9B">
        <w:rPr>
          <w:rFonts w:asciiTheme="minorHAnsi" w:hAnsiTheme="minorHAnsi"/>
          <w:color w:val="000000" w:themeColor="text1"/>
          <w:sz w:val="22"/>
          <w:szCs w:val="22"/>
          <w:highlight w:val="yellow"/>
        </w:rPr>
        <w:t>molecular initiating events</w:t>
      </w:r>
      <w:r w:rsidRPr="00EC6A09">
        <w:rPr>
          <w:rFonts w:asciiTheme="minorHAnsi" w:hAnsiTheme="minorHAnsi"/>
          <w:color w:val="000000" w:themeColor="text1"/>
          <w:sz w:val="22"/>
          <w:szCs w:val="22"/>
        </w:rPr>
        <w:t xml:space="preserve"> and/or </w:t>
      </w:r>
      <w:r w:rsidRPr="000D7A9B">
        <w:rPr>
          <w:rFonts w:asciiTheme="minorHAnsi" w:hAnsiTheme="minorHAnsi"/>
          <w:color w:val="000000" w:themeColor="text1"/>
          <w:sz w:val="22"/>
          <w:szCs w:val="22"/>
          <w:highlight w:val="yellow"/>
        </w:rPr>
        <w:t>key events</w:t>
      </w:r>
      <w:r w:rsidRPr="00EC6A09">
        <w:rPr>
          <w:rFonts w:asciiTheme="minorHAnsi" w:hAnsiTheme="minorHAnsi"/>
          <w:color w:val="000000" w:themeColor="text1"/>
          <w:sz w:val="22"/>
          <w:szCs w:val="22"/>
        </w:rPr>
        <w:t xml:space="preserve"> </w:t>
      </w:r>
      <w:r w:rsidRPr="00EC6A09">
        <w:rPr>
          <w:rFonts w:asciiTheme="minorHAnsi" w:hAnsiTheme="minorHAnsi"/>
          <w:color w:val="000000" w:themeColor="text1"/>
          <w:sz w:val="22"/>
          <w:szCs w:val="22"/>
        </w:rPr>
        <w:lastRenderedPageBreak/>
        <w:t xml:space="preserve">(bottom left and middle), and one single AOP (bottom right). (C) Further critical paths-based filtering of the network to only include ecologically relevant </w:t>
      </w:r>
      <w:r>
        <w:rPr>
          <w:rFonts w:asciiTheme="minorHAnsi" w:hAnsiTheme="minorHAnsi"/>
          <w:color w:val="000000" w:themeColor="text1"/>
          <w:sz w:val="22"/>
          <w:szCs w:val="22"/>
          <w:highlight w:val="yellow"/>
        </w:rPr>
        <w:t>adverse outcome</w:t>
      </w:r>
      <w:r w:rsidRPr="000D7A9B">
        <w:rPr>
          <w:rFonts w:asciiTheme="minorHAnsi" w:hAnsiTheme="minorHAnsi"/>
          <w:color w:val="000000" w:themeColor="text1"/>
          <w:sz w:val="22"/>
          <w:szCs w:val="22"/>
          <w:highlight w:val="yellow"/>
        </w:rPr>
        <w:t>s</w:t>
      </w:r>
      <w:r w:rsidRPr="00EC6A09">
        <w:rPr>
          <w:rFonts w:asciiTheme="minorHAnsi" w:hAnsiTheme="minorHAnsi"/>
          <w:color w:val="000000" w:themeColor="text1"/>
          <w:sz w:val="22"/>
          <w:szCs w:val="22"/>
        </w:rPr>
        <w:t xml:space="preserve"> helps focus on two AOP networks related to estrogen receptor and aryl hydrocarbon receptor activation.</w:t>
      </w:r>
      <w:r>
        <w:rPr>
          <w:rFonts w:asciiTheme="minorHAnsi" w:hAnsiTheme="minorHAnsi"/>
          <w:color w:val="000000" w:themeColor="text1"/>
          <w:sz w:val="22"/>
          <w:szCs w:val="22"/>
        </w:rPr>
        <w:t xml:space="preserve"> </w:t>
      </w:r>
      <w:r w:rsidRPr="00A73C14">
        <w:rPr>
          <w:rFonts w:asciiTheme="minorHAnsi" w:hAnsiTheme="minorHAnsi"/>
          <w:color w:val="000000" w:themeColor="text1"/>
          <w:sz w:val="22"/>
          <w:szCs w:val="22"/>
          <w:highlight w:val="yellow"/>
        </w:rPr>
        <w:t>VTG: vitellogenin, AhR: aryl hydrocarbon receptor, ARNT: AhR nuclear translocator, HIF1: hypoxia-inducible factor 1, VEGF: vascular endothelial growth factor, COX-2: cyclooxygenase-2.</w:t>
      </w:r>
    </w:p>
    <w:p w14:paraId="6DA964C0" w14:textId="77777777" w:rsidR="00912CFC" w:rsidRDefault="00912CFC" w:rsidP="00912CFC">
      <w:pPr>
        <w:rPr>
          <w:rFonts w:asciiTheme="minorHAnsi" w:hAnsiTheme="minorHAnsi"/>
          <w:sz w:val="22"/>
          <w:szCs w:val="22"/>
        </w:rPr>
      </w:pPr>
      <w:r>
        <w:rPr>
          <w:rFonts w:asciiTheme="minorHAnsi" w:hAnsiTheme="minorHAnsi"/>
          <w:sz w:val="22"/>
          <w:szCs w:val="22"/>
        </w:rPr>
        <w:br w:type="page"/>
      </w:r>
    </w:p>
    <w:p w14:paraId="168B0487" w14:textId="77777777" w:rsidR="00912CFC" w:rsidRPr="007F53AA" w:rsidRDefault="00912CFC" w:rsidP="00912CFC">
      <w:pPr>
        <w:spacing w:line="360" w:lineRule="auto"/>
        <w:jc w:val="both"/>
        <w:rPr>
          <w:rFonts w:asciiTheme="minorHAnsi" w:hAnsiTheme="minorHAnsi"/>
          <w:b/>
          <w:sz w:val="22"/>
          <w:szCs w:val="22"/>
        </w:rPr>
      </w:pPr>
      <w:r>
        <w:rPr>
          <w:rFonts w:asciiTheme="minorHAnsi" w:hAnsiTheme="minorHAnsi"/>
          <w:sz w:val="22"/>
          <w:szCs w:val="22"/>
        </w:rPr>
        <w:lastRenderedPageBreak/>
        <w:t xml:space="preserve">Table </w:t>
      </w:r>
      <w:r w:rsidRPr="00771242">
        <w:rPr>
          <w:rFonts w:asciiTheme="minorHAnsi" w:hAnsiTheme="minorHAnsi"/>
          <w:sz w:val="22"/>
          <w:szCs w:val="22"/>
          <w:highlight w:val="yellow"/>
        </w:rPr>
        <w:t>S3</w:t>
      </w:r>
      <w:r w:rsidRPr="00375747">
        <w:rPr>
          <w:rFonts w:asciiTheme="minorHAnsi" w:hAnsiTheme="minorHAnsi"/>
          <w:sz w:val="22"/>
          <w:szCs w:val="22"/>
        </w:rPr>
        <w:t>. Screened bioactivity of the water mixture sample.</w:t>
      </w:r>
    </w:p>
    <w:p w14:paraId="6E395C5F" w14:textId="77777777" w:rsidR="00912CFC" w:rsidRDefault="00912CFC" w:rsidP="00912CFC"/>
    <w:tbl>
      <w:tblPr>
        <w:tblStyle w:val="PlainTable5"/>
        <w:tblW w:w="9283" w:type="dxa"/>
        <w:tblLayout w:type="fixed"/>
        <w:tblLook w:val="0420" w:firstRow="1" w:lastRow="0" w:firstColumn="0" w:lastColumn="0" w:noHBand="0" w:noVBand="1"/>
      </w:tblPr>
      <w:tblGrid>
        <w:gridCol w:w="2513"/>
        <w:gridCol w:w="2982"/>
        <w:gridCol w:w="945"/>
        <w:gridCol w:w="1001"/>
        <w:gridCol w:w="1084"/>
        <w:gridCol w:w="758"/>
      </w:tblGrid>
      <w:tr w:rsidR="00912CFC" w:rsidRPr="00375747" w14:paraId="1E86E9A0" w14:textId="77777777" w:rsidTr="009955A0">
        <w:trPr>
          <w:cnfStyle w:val="100000000000" w:firstRow="1" w:lastRow="0" w:firstColumn="0" w:lastColumn="0" w:oddVBand="0" w:evenVBand="0" w:oddHBand="0" w:evenHBand="0" w:firstRowFirstColumn="0" w:firstRowLastColumn="0" w:lastRowFirstColumn="0" w:lastRowLastColumn="0"/>
        </w:trPr>
        <w:tc>
          <w:tcPr>
            <w:tcW w:w="2513" w:type="dxa"/>
            <w:tcBorders>
              <w:top w:val="single" w:sz="4" w:space="0" w:color="auto"/>
            </w:tcBorders>
          </w:tcPr>
          <w:p w14:paraId="2999A498" w14:textId="77777777" w:rsidR="00912CFC" w:rsidRPr="0051058A" w:rsidRDefault="00912CFC" w:rsidP="009955A0">
            <w:pPr>
              <w:spacing w:line="360" w:lineRule="auto"/>
              <w:rPr>
                <w:rFonts w:asciiTheme="minorHAnsi" w:hAnsiTheme="minorHAnsi"/>
                <w:b/>
                <w:sz w:val="22"/>
                <w:szCs w:val="22"/>
                <w:vertAlign w:val="superscript"/>
              </w:rPr>
            </w:pPr>
            <w:r w:rsidRPr="0051058A">
              <w:rPr>
                <w:rFonts w:asciiTheme="minorHAnsi" w:eastAsia="Calibri" w:hAnsiTheme="minorHAnsi" w:cs="Calibri"/>
                <w:b/>
                <w:sz w:val="22"/>
                <w:szCs w:val="22"/>
              </w:rPr>
              <w:t>ANM</w:t>
            </w:r>
            <w:r w:rsidRPr="0051058A">
              <w:rPr>
                <w:rFonts w:asciiTheme="minorHAnsi" w:hAnsiTheme="minorHAnsi"/>
                <w:b/>
                <w:sz w:val="22"/>
                <w:szCs w:val="22"/>
                <w:vertAlign w:val="superscript"/>
              </w:rPr>
              <w:t>a</w:t>
            </w:r>
          </w:p>
        </w:tc>
        <w:tc>
          <w:tcPr>
            <w:tcW w:w="2982" w:type="dxa"/>
            <w:tcBorders>
              <w:top w:val="single" w:sz="4" w:space="0" w:color="auto"/>
            </w:tcBorders>
          </w:tcPr>
          <w:p w14:paraId="064C2D45" w14:textId="77777777" w:rsidR="00912CFC" w:rsidRPr="0051058A" w:rsidRDefault="00912CFC" w:rsidP="009955A0">
            <w:pPr>
              <w:spacing w:line="360" w:lineRule="auto"/>
              <w:rPr>
                <w:rFonts w:asciiTheme="minorHAnsi" w:hAnsiTheme="minorHAnsi"/>
                <w:b/>
                <w:sz w:val="22"/>
                <w:szCs w:val="22"/>
                <w:vertAlign w:val="superscript"/>
              </w:rPr>
            </w:pPr>
            <w:r w:rsidRPr="0051058A">
              <w:rPr>
                <w:rFonts w:asciiTheme="minorHAnsi" w:eastAsia="Calibri" w:hAnsiTheme="minorHAnsi" w:cs="Calibri"/>
                <w:b/>
                <w:sz w:val="22"/>
                <w:szCs w:val="22"/>
              </w:rPr>
              <w:t>KE</w:t>
            </w:r>
            <w:r w:rsidRPr="0051058A">
              <w:rPr>
                <w:rFonts w:asciiTheme="minorHAnsi" w:hAnsiTheme="minorHAnsi"/>
                <w:b/>
                <w:sz w:val="22"/>
                <w:szCs w:val="22"/>
                <w:vertAlign w:val="superscript"/>
              </w:rPr>
              <w:t>b</w:t>
            </w:r>
          </w:p>
        </w:tc>
        <w:tc>
          <w:tcPr>
            <w:tcW w:w="945" w:type="dxa"/>
            <w:tcBorders>
              <w:top w:val="single" w:sz="4" w:space="0" w:color="auto"/>
            </w:tcBorders>
          </w:tcPr>
          <w:p w14:paraId="33715F92" w14:textId="77777777" w:rsidR="00912CFC" w:rsidRPr="0051058A" w:rsidRDefault="00912CFC" w:rsidP="009955A0">
            <w:pPr>
              <w:spacing w:line="360" w:lineRule="auto"/>
              <w:jc w:val="right"/>
              <w:rPr>
                <w:rFonts w:asciiTheme="minorHAnsi" w:hAnsiTheme="minorHAnsi"/>
                <w:b/>
                <w:sz w:val="22"/>
                <w:szCs w:val="22"/>
              </w:rPr>
            </w:pPr>
            <w:r w:rsidRPr="0051058A">
              <w:rPr>
                <w:rFonts w:asciiTheme="minorHAnsi" w:eastAsia="Calibri" w:hAnsiTheme="minorHAnsi" w:cs="Calibri"/>
                <w:b/>
                <w:sz w:val="22"/>
                <w:szCs w:val="22"/>
              </w:rPr>
              <w:t>RM</w:t>
            </w:r>
            <w:r w:rsidRPr="0051058A">
              <w:rPr>
                <w:rFonts w:asciiTheme="minorHAnsi" w:hAnsiTheme="minorHAnsi"/>
                <w:b/>
                <w:sz w:val="22"/>
                <w:szCs w:val="22"/>
                <w:vertAlign w:val="superscript"/>
              </w:rPr>
              <w:t>c</w:t>
            </w:r>
          </w:p>
        </w:tc>
        <w:tc>
          <w:tcPr>
            <w:tcW w:w="1001" w:type="dxa"/>
            <w:tcBorders>
              <w:top w:val="single" w:sz="4" w:space="0" w:color="auto"/>
            </w:tcBorders>
          </w:tcPr>
          <w:p w14:paraId="1F6C4406" w14:textId="77777777" w:rsidR="00912CFC" w:rsidRPr="0051058A" w:rsidRDefault="00912CFC" w:rsidP="009955A0">
            <w:pPr>
              <w:spacing w:line="360" w:lineRule="auto"/>
              <w:jc w:val="right"/>
              <w:rPr>
                <w:rFonts w:asciiTheme="minorHAnsi" w:hAnsiTheme="minorHAnsi"/>
                <w:b/>
                <w:sz w:val="22"/>
                <w:szCs w:val="22"/>
                <w:vertAlign w:val="superscript"/>
              </w:rPr>
            </w:pPr>
            <w:r w:rsidRPr="0051058A">
              <w:rPr>
                <w:rFonts w:asciiTheme="minorHAnsi" w:eastAsia="Calibri" w:hAnsiTheme="minorHAnsi" w:cs="Calibri"/>
                <w:b/>
                <w:sz w:val="22"/>
                <w:szCs w:val="22"/>
              </w:rPr>
              <w:t>AUC</w:t>
            </w:r>
            <w:r w:rsidRPr="0051058A">
              <w:rPr>
                <w:rFonts w:asciiTheme="minorHAnsi" w:hAnsiTheme="minorHAnsi"/>
                <w:b/>
                <w:sz w:val="22"/>
                <w:szCs w:val="22"/>
                <w:vertAlign w:val="superscript"/>
              </w:rPr>
              <w:t>d</w:t>
            </w:r>
          </w:p>
        </w:tc>
        <w:tc>
          <w:tcPr>
            <w:tcW w:w="1084" w:type="dxa"/>
            <w:tcBorders>
              <w:top w:val="single" w:sz="4" w:space="0" w:color="auto"/>
            </w:tcBorders>
          </w:tcPr>
          <w:p w14:paraId="177A67CF" w14:textId="77777777" w:rsidR="00912CFC" w:rsidRPr="0051058A" w:rsidRDefault="00912CFC" w:rsidP="009955A0">
            <w:pPr>
              <w:spacing w:line="360" w:lineRule="auto"/>
              <w:jc w:val="right"/>
              <w:rPr>
                <w:rFonts w:asciiTheme="minorHAnsi" w:hAnsiTheme="minorHAnsi"/>
                <w:b/>
                <w:sz w:val="22"/>
                <w:szCs w:val="22"/>
                <w:vertAlign w:val="superscript"/>
              </w:rPr>
            </w:pPr>
            <w:r w:rsidRPr="0051058A">
              <w:rPr>
                <w:rFonts w:asciiTheme="minorHAnsi" w:eastAsia="Calibri" w:hAnsiTheme="minorHAnsi" w:cs="Calibri"/>
                <w:b/>
                <w:sz w:val="22"/>
                <w:szCs w:val="22"/>
              </w:rPr>
              <w:t>AC50</w:t>
            </w:r>
            <w:r w:rsidRPr="0051058A">
              <w:rPr>
                <w:rFonts w:asciiTheme="minorHAnsi" w:hAnsiTheme="minorHAnsi"/>
                <w:b/>
                <w:sz w:val="22"/>
                <w:szCs w:val="22"/>
                <w:vertAlign w:val="superscript"/>
              </w:rPr>
              <w:t>e</w:t>
            </w:r>
          </w:p>
        </w:tc>
        <w:tc>
          <w:tcPr>
            <w:tcW w:w="758" w:type="dxa"/>
            <w:tcBorders>
              <w:top w:val="single" w:sz="4" w:space="0" w:color="auto"/>
            </w:tcBorders>
          </w:tcPr>
          <w:p w14:paraId="4DED2A91" w14:textId="77777777" w:rsidR="00912CFC" w:rsidRPr="0051058A" w:rsidRDefault="00912CFC" w:rsidP="009955A0">
            <w:pPr>
              <w:spacing w:line="360" w:lineRule="auto"/>
              <w:jc w:val="right"/>
              <w:rPr>
                <w:rFonts w:asciiTheme="minorHAnsi" w:hAnsiTheme="minorHAnsi"/>
                <w:b/>
                <w:sz w:val="22"/>
                <w:szCs w:val="22"/>
                <w:vertAlign w:val="superscript"/>
              </w:rPr>
            </w:pPr>
            <w:r w:rsidRPr="0051058A">
              <w:rPr>
                <w:rFonts w:asciiTheme="minorHAnsi" w:eastAsia="Calibri" w:hAnsiTheme="minorHAnsi" w:cs="Calibri"/>
                <w:b/>
                <w:sz w:val="22"/>
                <w:szCs w:val="22"/>
              </w:rPr>
              <w:t>ACC</w:t>
            </w:r>
            <w:r w:rsidRPr="0051058A">
              <w:rPr>
                <w:rFonts w:asciiTheme="minorHAnsi" w:hAnsiTheme="minorHAnsi"/>
                <w:b/>
                <w:sz w:val="22"/>
                <w:szCs w:val="22"/>
                <w:vertAlign w:val="superscript"/>
              </w:rPr>
              <w:t>f</w:t>
            </w:r>
          </w:p>
        </w:tc>
      </w:tr>
      <w:tr w:rsidR="00912CFC" w:rsidRPr="00375747" w14:paraId="21CFC1A1" w14:textId="77777777" w:rsidTr="009955A0">
        <w:trPr>
          <w:cnfStyle w:val="000000100000" w:firstRow="0" w:lastRow="0" w:firstColumn="0" w:lastColumn="0" w:oddVBand="0" w:evenVBand="0" w:oddHBand="1" w:evenHBand="0" w:firstRowFirstColumn="0" w:firstRowLastColumn="0" w:lastRowFirstColumn="0" w:lastRowLastColumn="0"/>
          <w:trHeight w:val="806"/>
        </w:trPr>
        <w:tc>
          <w:tcPr>
            <w:tcW w:w="2513" w:type="dxa"/>
          </w:tcPr>
          <w:p w14:paraId="38BD56A6"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ATG_Ahr_CIS_up</w:t>
            </w:r>
          </w:p>
        </w:tc>
        <w:tc>
          <w:tcPr>
            <w:tcW w:w="2982" w:type="dxa"/>
          </w:tcPr>
          <w:p w14:paraId="52B1E8A2"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Activation, AHR</w:t>
            </w:r>
          </w:p>
        </w:tc>
        <w:tc>
          <w:tcPr>
            <w:tcW w:w="945" w:type="dxa"/>
          </w:tcPr>
          <w:p w14:paraId="0E366FE3"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1.96</w:t>
            </w:r>
          </w:p>
        </w:tc>
        <w:tc>
          <w:tcPr>
            <w:tcW w:w="1001" w:type="dxa"/>
          </w:tcPr>
          <w:p w14:paraId="596F138E"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15.39</w:t>
            </w:r>
          </w:p>
        </w:tc>
        <w:tc>
          <w:tcPr>
            <w:tcW w:w="1084" w:type="dxa"/>
          </w:tcPr>
          <w:p w14:paraId="154E225A"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0.17</w:t>
            </w:r>
          </w:p>
        </w:tc>
        <w:tc>
          <w:tcPr>
            <w:tcW w:w="758" w:type="dxa"/>
          </w:tcPr>
          <w:p w14:paraId="7188A285"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0.04</w:t>
            </w:r>
          </w:p>
        </w:tc>
      </w:tr>
      <w:tr w:rsidR="00912CFC" w:rsidRPr="00375747" w14:paraId="4FCF468B" w14:textId="77777777" w:rsidTr="009955A0">
        <w:trPr>
          <w:trHeight w:val="806"/>
        </w:trPr>
        <w:tc>
          <w:tcPr>
            <w:tcW w:w="2513" w:type="dxa"/>
          </w:tcPr>
          <w:p w14:paraId="3A43F3F6"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ATG_ERa_TRANS_up</w:t>
            </w:r>
          </w:p>
        </w:tc>
        <w:tc>
          <w:tcPr>
            <w:tcW w:w="2982" w:type="dxa"/>
          </w:tcPr>
          <w:p w14:paraId="5BF3003A"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Agonism, Estrogen receptor</w:t>
            </w:r>
          </w:p>
        </w:tc>
        <w:tc>
          <w:tcPr>
            <w:tcW w:w="945" w:type="dxa"/>
          </w:tcPr>
          <w:p w14:paraId="145CA570"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2.14</w:t>
            </w:r>
          </w:p>
        </w:tc>
        <w:tc>
          <w:tcPr>
            <w:tcW w:w="1001" w:type="dxa"/>
          </w:tcPr>
          <w:p w14:paraId="41437089"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9.20</w:t>
            </w:r>
          </w:p>
        </w:tc>
        <w:tc>
          <w:tcPr>
            <w:tcW w:w="1084" w:type="dxa"/>
          </w:tcPr>
          <w:p w14:paraId="5341101C"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0.32</w:t>
            </w:r>
          </w:p>
        </w:tc>
        <w:tc>
          <w:tcPr>
            <w:tcW w:w="758" w:type="dxa"/>
          </w:tcPr>
          <w:p w14:paraId="0213E1EF"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0.33</w:t>
            </w:r>
          </w:p>
        </w:tc>
      </w:tr>
      <w:tr w:rsidR="00912CFC" w:rsidRPr="00375747" w14:paraId="2F82D09E" w14:textId="77777777" w:rsidTr="009955A0">
        <w:trPr>
          <w:cnfStyle w:val="000000100000" w:firstRow="0" w:lastRow="0" w:firstColumn="0" w:lastColumn="0" w:oddVBand="0" w:evenVBand="0" w:oddHBand="1" w:evenHBand="0" w:firstRowFirstColumn="0" w:firstRowLastColumn="0" w:lastRowFirstColumn="0" w:lastRowLastColumn="0"/>
          <w:trHeight w:val="806"/>
        </w:trPr>
        <w:tc>
          <w:tcPr>
            <w:tcW w:w="2513" w:type="dxa"/>
          </w:tcPr>
          <w:p w14:paraId="5DD22F98"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ATG_ERE_CIS_up</w:t>
            </w:r>
          </w:p>
        </w:tc>
        <w:tc>
          <w:tcPr>
            <w:tcW w:w="2982" w:type="dxa"/>
          </w:tcPr>
          <w:p w14:paraId="6378B6AE" w14:textId="77777777" w:rsidR="00912CFC" w:rsidRPr="00375747" w:rsidRDefault="00912CFC" w:rsidP="009955A0">
            <w:pPr>
              <w:spacing w:line="360" w:lineRule="auto"/>
              <w:rPr>
                <w:rFonts w:asciiTheme="minorHAnsi" w:hAnsiTheme="minorHAnsi"/>
                <w:sz w:val="22"/>
                <w:szCs w:val="22"/>
              </w:rPr>
            </w:pPr>
            <w:r>
              <w:rPr>
                <w:rFonts w:asciiTheme="minorHAnsi" w:hAnsiTheme="minorHAnsi"/>
                <w:sz w:val="22"/>
                <w:szCs w:val="22"/>
              </w:rPr>
              <w:t>Activation, Estrogen R</w:t>
            </w:r>
            <w:r w:rsidRPr="00375747">
              <w:rPr>
                <w:rFonts w:asciiTheme="minorHAnsi" w:hAnsiTheme="minorHAnsi"/>
                <w:sz w:val="22"/>
                <w:szCs w:val="22"/>
              </w:rPr>
              <w:t>eceptor</w:t>
            </w:r>
          </w:p>
        </w:tc>
        <w:tc>
          <w:tcPr>
            <w:tcW w:w="945" w:type="dxa"/>
          </w:tcPr>
          <w:p w14:paraId="29051099"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2.86</w:t>
            </w:r>
          </w:p>
        </w:tc>
        <w:tc>
          <w:tcPr>
            <w:tcW w:w="1001" w:type="dxa"/>
          </w:tcPr>
          <w:p w14:paraId="425A79D3"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23.78</w:t>
            </w:r>
          </w:p>
        </w:tc>
        <w:tc>
          <w:tcPr>
            <w:tcW w:w="1084" w:type="dxa"/>
          </w:tcPr>
          <w:p w14:paraId="24006EFE"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-0.18</w:t>
            </w:r>
          </w:p>
        </w:tc>
        <w:tc>
          <w:tcPr>
            <w:tcW w:w="758" w:type="dxa"/>
          </w:tcPr>
          <w:p w14:paraId="3FAEC9DC"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-0.82</w:t>
            </w:r>
          </w:p>
        </w:tc>
      </w:tr>
      <w:tr w:rsidR="00912CFC" w:rsidRPr="00375747" w14:paraId="380AF4DB" w14:textId="77777777" w:rsidTr="009955A0">
        <w:trPr>
          <w:trHeight w:val="806"/>
        </w:trPr>
        <w:tc>
          <w:tcPr>
            <w:tcW w:w="2513" w:type="dxa"/>
          </w:tcPr>
          <w:p w14:paraId="488A131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ATG_GR_TRANS_up</w:t>
            </w:r>
          </w:p>
        </w:tc>
        <w:tc>
          <w:tcPr>
            <w:tcW w:w="2982" w:type="dxa"/>
          </w:tcPr>
          <w:p w14:paraId="740C37F1"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Activation, Glucocorticoid Receptor</w:t>
            </w:r>
          </w:p>
        </w:tc>
        <w:tc>
          <w:tcPr>
            <w:tcW w:w="945" w:type="dxa"/>
          </w:tcPr>
          <w:p w14:paraId="13CB14C9"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1.49</w:t>
            </w:r>
          </w:p>
        </w:tc>
        <w:tc>
          <w:tcPr>
            <w:tcW w:w="1001" w:type="dxa"/>
          </w:tcPr>
          <w:p w14:paraId="70E91CC9"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9.53</w:t>
            </w:r>
          </w:p>
        </w:tc>
        <w:tc>
          <w:tcPr>
            <w:tcW w:w="1084" w:type="dxa"/>
          </w:tcPr>
          <w:p w14:paraId="3A024CF2"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0.24</w:t>
            </w:r>
          </w:p>
        </w:tc>
        <w:tc>
          <w:tcPr>
            <w:tcW w:w="758" w:type="dxa"/>
          </w:tcPr>
          <w:p w14:paraId="054EB88F"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0.27</w:t>
            </w:r>
          </w:p>
        </w:tc>
      </w:tr>
      <w:tr w:rsidR="00912CFC" w:rsidRPr="00375747" w14:paraId="1E93120A" w14:textId="77777777" w:rsidTr="009955A0">
        <w:trPr>
          <w:cnfStyle w:val="000000100000" w:firstRow="0" w:lastRow="0" w:firstColumn="0" w:lastColumn="0" w:oddVBand="0" w:evenVBand="0" w:oddHBand="1" w:evenHBand="0" w:firstRowFirstColumn="0" w:firstRowLastColumn="0" w:lastRowFirstColumn="0" w:lastRowLastColumn="0"/>
          <w:trHeight w:val="806"/>
        </w:trPr>
        <w:tc>
          <w:tcPr>
            <w:tcW w:w="2513" w:type="dxa"/>
          </w:tcPr>
          <w:p w14:paraId="17604429"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ATG_NRF2_ARE_CIS_up</w:t>
            </w:r>
          </w:p>
        </w:tc>
        <w:tc>
          <w:tcPr>
            <w:tcW w:w="2982" w:type="dxa"/>
          </w:tcPr>
          <w:p w14:paraId="6323A120"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Activation, NRF2</w:t>
            </w:r>
          </w:p>
        </w:tc>
        <w:tc>
          <w:tcPr>
            <w:tcW w:w="945" w:type="dxa"/>
          </w:tcPr>
          <w:p w14:paraId="68E9265C"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1.08</w:t>
            </w:r>
          </w:p>
        </w:tc>
        <w:tc>
          <w:tcPr>
            <w:tcW w:w="1001" w:type="dxa"/>
          </w:tcPr>
          <w:p w14:paraId="53717A2D"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6.54</w:t>
            </w:r>
          </w:p>
        </w:tc>
        <w:tc>
          <w:tcPr>
            <w:tcW w:w="1084" w:type="dxa"/>
          </w:tcPr>
          <w:p w14:paraId="4368F99F"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0.50</w:t>
            </w:r>
          </w:p>
        </w:tc>
        <w:tc>
          <w:tcPr>
            <w:tcW w:w="758" w:type="dxa"/>
          </w:tcPr>
          <w:p w14:paraId="2D3D2A78"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0.65</w:t>
            </w:r>
          </w:p>
        </w:tc>
      </w:tr>
      <w:tr w:rsidR="00912CFC" w:rsidRPr="00375747" w14:paraId="109D01E3" w14:textId="77777777" w:rsidTr="009955A0">
        <w:trPr>
          <w:trHeight w:val="806"/>
        </w:trPr>
        <w:tc>
          <w:tcPr>
            <w:tcW w:w="2513" w:type="dxa"/>
          </w:tcPr>
          <w:p w14:paraId="0B27D850"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ATG_PXR_TRANS_up</w:t>
            </w:r>
          </w:p>
        </w:tc>
        <w:tc>
          <w:tcPr>
            <w:tcW w:w="2982" w:type="dxa"/>
          </w:tcPr>
          <w:p w14:paraId="12A21DE7"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Activation, PXR/SXR</w:t>
            </w:r>
          </w:p>
        </w:tc>
        <w:tc>
          <w:tcPr>
            <w:tcW w:w="945" w:type="dxa"/>
          </w:tcPr>
          <w:p w14:paraId="7061DA2B"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1.41</w:t>
            </w:r>
          </w:p>
        </w:tc>
        <w:tc>
          <w:tcPr>
            <w:tcW w:w="1001" w:type="dxa"/>
          </w:tcPr>
          <w:p w14:paraId="74FB86C0"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13.12</w:t>
            </w:r>
          </w:p>
        </w:tc>
        <w:tc>
          <w:tcPr>
            <w:tcW w:w="1084" w:type="dxa"/>
          </w:tcPr>
          <w:p w14:paraId="706D5993"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0.09</w:t>
            </w:r>
          </w:p>
        </w:tc>
        <w:tc>
          <w:tcPr>
            <w:tcW w:w="758" w:type="dxa"/>
          </w:tcPr>
          <w:p w14:paraId="2E1256E9"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0.96</w:t>
            </w:r>
          </w:p>
        </w:tc>
      </w:tr>
      <w:tr w:rsidR="00912CFC" w:rsidRPr="00375747" w14:paraId="72B9158F" w14:textId="77777777" w:rsidTr="009955A0">
        <w:trPr>
          <w:cnfStyle w:val="000000100000" w:firstRow="0" w:lastRow="0" w:firstColumn="0" w:lastColumn="0" w:oddVBand="0" w:evenVBand="0" w:oddHBand="1" w:evenHBand="0" w:firstRowFirstColumn="0" w:firstRowLastColumn="0" w:lastRowFirstColumn="0" w:lastRowLastColumn="0"/>
          <w:trHeight w:val="806"/>
        </w:trPr>
        <w:tc>
          <w:tcPr>
            <w:tcW w:w="2513" w:type="dxa"/>
          </w:tcPr>
          <w:p w14:paraId="725E21C0"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ATG_PXRE_CIS_up</w:t>
            </w:r>
          </w:p>
        </w:tc>
        <w:tc>
          <w:tcPr>
            <w:tcW w:w="2982" w:type="dxa"/>
          </w:tcPr>
          <w:p w14:paraId="2041BD1C"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Activation, PXR/SXR</w:t>
            </w:r>
          </w:p>
        </w:tc>
        <w:tc>
          <w:tcPr>
            <w:tcW w:w="945" w:type="dxa"/>
          </w:tcPr>
          <w:p w14:paraId="1500A67A"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2.37</w:t>
            </w:r>
          </w:p>
        </w:tc>
        <w:tc>
          <w:tcPr>
            <w:tcW w:w="1001" w:type="dxa"/>
          </w:tcPr>
          <w:p w14:paraId="54FF5EDA"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5.63</w:t>
            </w:r>
          </w:p>
        </w:tc>
        <w:tc>
          <w:tcPr>
            <w:tcW w:w="1084" w:type="dxa"/>
          </w:tcPr>
          <w:p w14:paraId="63E6A470"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0.04</w:t>
            </w:r>
          </w:p>
        </w:tc>
        <w:tc>
          <w:tcPr>
            <w:tcW w:w="758" w:type="dxa"/>
          </w:tcPr>
          <w:p w14:paraId="223F5553"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-0.35</w:t>
            </w:r>
          </w:p>
        </w:tc>
      </w:tr>
      <w:tr w:rsidR="00912CFC" w:rsidRPr="00375747" w14:paraId="3F7A86A4" w14:textId="77777777" w:rsidTr="009955A0">
        <w:trPr>
          <w:trHeight w:val="806"/>
        </w:trPr>
        <w:tc>
          <w:tcPr>
            <w:tcW w:w="2513" w:type="dxa"/>
            <w:tcBorders>
              <w:bottom w:val="single" w:sz="4" w:space="0" w:color="auto"/>
            </w:tcBorders>
          </w:tcPr>
          <w:p w14:paraId="417D08EF"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ATG_VDRE_CIS_up</w:t>
            </w:r>
          </w:p>
        </w:tc>
        <w:tc>
          <w:tcPr>
            <w:tcW w:w="2982" w:type="dxa"/>
            <w:tcBorders>
              <w:bottom w:val="single" w:sz="4" w:space="0" w:color="auto"/>
            </w:tcBorders>
          </w:tcPr>
          <w:p w14:paraId="74CC8792"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c>
          <w:tcPr>
            <w:tcW w:w="945" w:type="dxa"/>
            <w:tcBorders>
              <w:bottom w:val="single" w:sz="4" w:space="0" w:color="auto"/>
            </w:tcBorders>
          </w:tcPr>
          <w:p w14:paraId="6579E891"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0.75</w:t>
            </w:r>
          </w:p>
        </w:tc>
        <w:tc>
          <w:tcPr>
            <w:tcW w:w="1001" w:type="dxa"/>
            <w:tcBorders>
              <w:bottom w:val="single" w:sz="4" w:space="0" w:color="auto"/>
            </w:tcBorders>
          </w:tcPr>
          <w:p w14:paraId="10DBFEAF" w14:textId="77777777" w:rsidR="00912CFC" w:rsidRPr="00375747" w:rsidRDefault="00912CFC" w:rsidP="009955A0">
            <w:pPr>
              <w:spacing w:line="360" w:lineRule="auto"/>
              <w:jc w:val="right"/>
              <w:rPr>
                <w:rFonts w:asciiTheme="minorHAnsi" w:eastAsia="Arial" w:hAnsiTheme="minorHAnsi" w:cs="Arial"/>
                <w:sz w:val="22"/>
                <w:szCs w:val="22"/>
              </w:rPr>
            </w:pPr>
            <w:r w:rsidRPr="00375747">
              <w:rPr>
                <w:rFonts w:asciiTheme="minorHAnsi" w:eastAsia="Arial" w:hAnsiTheme="minorHAnsi" w:cs="Arial"/>
                <w:sz w:val="22"/>
                <w:szCs w:val="22"/>
              </w:rPr>
              <w:t>6.88</w:t>
            </w:r>
          </w:p>
        </w:tc>
        <w:tc>
          <w:tcPr>
            <w:tcW w:w="1084" w:type="dxa"/>
            <w:tcBorders>
              <w:bottom w:val="single" w:sz="4" w:space="0" w:color="auto"/>
            </w:tcBorders>
          </w:tcPr>
          <w:p w14:paraId="62C64AA7" w14:textId="77777777" w:rsidR="00912CFC" w:rsidRPr="00375747" w:rsidRDefault="00912CFC" w:rsidP="009955A0">
            <w:pPr>
              <w:spacing w:line="360" w:lineRule="auto"/>
              <w:jc w:val="right"/>
              <w:rPr>
                <w:rFonts w:asciiTheme="minorHAnsi" w:hAnsiTheme="minorHAnsi"/>
                <w:sz w:val="22"/>
                <w:szCs w:val="22"/>
              </w:rPr>
            </w:pPr>
            <w:r w:rsidRPr="00375747">
              <w:rPr>
                <w:rFonts w:asciiTheme="minorHAnsi" w:hAnsiTheme="minorHAnsi"/>
                <w:sz w:val="22"/>
                <w:szCs w:val="22"/>
              </w:rPr>
              <w:t>0.07</w:t>
            </w:r>
          </w:p>
        </w:tc>
        <w:tc>
          <w:tcPr>
            <w:tcW w:w="758" w:type="dxa"/>
            <w:tcBorders>
              <w:bottom w:val="single" w:sz="4" w:space="0" w:color="auto"/>
            </w:tcBorders>
          </w:tcPr>
          <w:p w14:paraId="6C2AC2A8" w14:textId="77777777" w:rsidR="00912CFC" w:rsidRPr="00375747" w:rsidRDefault="00912CFC" w:rsidP="009955A0">
            <w:pPr>
              <w:spacing w:line="360" w:lineRule="auto"/>
              <w:jc w:val="center"/>
              <w:rPr>
                <w:rFonts w:asciiTheme="minorHAnsi" w:hAnsiTheme="minorHAnsi"/>
                <w:sz w:val="22"/>
                <w:szCs w:val="22"/>
              </w:rPr>
            </w:pPr>
            <w:r w:rsidRPr="00375747">
              <w:rPr>
                <w:rFonts w:asciiTheme="minorHAnsi" w:hAnsiTheme="minorHAnsi"/>
                <w:sz w:val="22"/>
                <w:szCs w:val="22"/>
              </w:rPr>
              <w:t>0.98</w:t>
            </w:r>
          </w:p>
        </w:tc>
      </w:tr>
    </w:tbl>
    <w:p w14:paraId="5A8C12B9" w14:textId="77777777" w:rsidR="00912CFC" w:rsidRDefault="00912CFC" w:rsidP="00912CFC">
      <w:pPr>
        <w:spacing w:line="360" w:lineRule="auto"/>
        <w:rPr>
          <w:rFonts w:asciiTheme="minorHAnsi" w:hAnsiTheme="minorHAnsi"/>
          <w:sz w:val="22"/>
          <w:szCs w:val="22"/>
          <w:vertAlign w:val="superscript"/>
        </w:rPr>
      </w:pPr>
    </w:p>
    <w:p w14:paraId="4AB7388B" w14:textId="77777777" w:rsidR="00912CFC" w:rsidRPr="00892908" w:rsidRDefault="00912CFC" w:rsidP="00912CFC">
      <w:pPr>
        <w:spacing w:line="360" w:lineRule="auto"/>
        <w:rPr>
          <w:rFonts w:asciiTheme="minorHAnsi" w:hAnsiTheme="minorHAnsi"/>
          <w:sz w:val="22"/>
          <w:szCs w:val="22"/>
        </w:rPr>
      </w:pPr>
      <w:r w:rsidRPr="00892908">
        <w:rPr>
          <w:rFonts w:asciiTheme="minorHAnsi" w:hAnsiTheme="minorHAnsi"/>
          <w:sz w:val="22"/>
          <w:szCs w:val="22"/>
          <w:vertAlign w:val="superscript"/>
        </w:rPr>
        <w:t>a</w:t>
      </w:r>
      <w:r>
        <w:rPr>
          <w:rFonts w:asciiTheme="minorHAnsi" w:hAnsiTheme="minorHAnsi"/>
          <w:sz w:val="22"/>
          <w:szCs w:val="22"/>
          <w:vertAlign w:val="superscript"/>
        </w:rPr>
        <w:t xml:space="preserve"> </w:t>
      </w:r>
      <w:r>
        <w:rPr>
          <w:rFonts w:asciiTheme="minorHAnsi" w:hAnsiTheme="minorHAnsi"/>
          <w:sz w:val="22"/>
          <w:szCs w:val="22"/>
        </w:rPr>
        <w:t>ANM:</w:t>
      </w:r>
      <w:r w:rsidRPr="00892908">
        <w:rPr>
          <w:rFonts w:asciiTheme="minorHAnsi" w:hAnsiTheme="minorHAnsi"/>
          <w:sz w:val="22"/>
          <w:szCs w:val="22"/>
        </w:rPr>
        <w:t xml:space="preserve"> assay name assigned by the ToxCast</w:t>
      </w:r>
      <w:r>
        <w:rPr>
          <w:rFonts w:asciiTheme="minorHAnsi" w:hAnsiTheme="minorHAnsi"/>
          <w:color w:val="000000" w:themeColor="text1"/>
        </w:rPr>
        <w:t>™</w:t>
      </w:r>
      <w:r w:rsidRPr="00892908">
        <w:rPr>
          <w:rFonts w:asciiTheme="minorHAnsi" w:hAnsiTheme="minorHAnsi"/>
          <w:sz w:val="22"/>
          <w:szCs w:val="22"/>
        </w:rPr>
        <w:t xml:space="preserve"> program</w:t>
      </w:r>
      <w:r>
        <w:rPr>
          <w:rFonts w:asciiTheme="minorHAnsi" w:hAnsiTheme="minorHAnsi"/>
          <w:sz w:val="22"/>
          <w:szCs w:val="22"/>
        </w:rPr>
        <w:t>.</w:t>
      </w:r>
    </w:p>
    <w:p w14:paraId="72011791" w14:textId="77777777" w:rsidR="00912CFC" w:rsidRPr="00892908" w:rsidRDefault="00912CFC" w:rsidP="00912CFC">
      <w:pPr>
        <w:spacing w:line="360" w:lineRule="auto"/>
        <w:rPr>
          <w:rFonts w:asciiTheme="minorHAnsi" w:hAnsiTheme="minorHAnsi"/>
          <w:sz w:val="22"/>
          <w:szCs w:val="22"/>
        </w:rPr>
      </w:pPr>
      <w:r w:rsidRPr="00892908">
        <w:rPr>
          <w:rFonts w:asciiTheme="minorHAnsi" w:hAnsiTheme="minorHAnsi"/>
          <w:sz w:val="22"/>
          <w:szCs w:val="22"/>
          <w:vertAlign w:val="superscript"/>
        </w:rPr>
        <w:t>b</w:t>
      </w:r>
      <w:r>
        <w:rPr>
          <w:rFonts w:asciiTheme="minorHAnsi" w:hAnsiTheme="minorHAnsi"/>
          <w:sz w:val="22"/>
          <w:szCs w:val="22"/>
          <w:vertAlign w:val="superscript"/>
        </w:rPr>
        <w:t xml:space="preserve"> </w:t>
      </w:r>
      <w:r w:rsidRPr="00892908">
        <w:rPr>
          <w:rFonts w:asciiTheme="minorHAnsi" w:hAnsiTheme="minorHAnsi"/>
          <w:sz w:val="22"/>
          <w:szCs w:val="22"/>
        </w:rPr>
        <w:t>KE</w:t>
      </w:r>
      <w:r>
        <w:rPr>
          <w:rFonts w:asciiTheme="minorHAnsi" w:hAnsiTheme="minorHAnsi"/>
          <w:sz w:val="22"/>
          <w:szCs w:val="22"/>
        </w:rPr>
        <w:t>:</w:t>
      </w:r>
      <w:r w:rsidRPr="00892908">
        <w:rPr>
          <w:rFonts w:asciiTheme="minorHAnsi" w:hAnsiTheme="minorHAnsi"/>
          <w:sz w:val="22"/>
          <w:szCs w:val="22"/>
        </w:rPr>
        <w:t xml:space="preserve"> key event title from the AOP-wiki</w:t>
      </w:r>
      <w:r>
        <w:rPr>
          <w:rFonts w:asciiTheme="minorHAnsi" w:hAnsiTheme="minorHAnsi"/>
          <w:sz w:val="22"/>
          <w:szCs w:val="22"/>
        </w:rPr>
        <w:t>.</w:t>
      </w:r>
    </w:p>
    <w:p w14:paraId="2EF2052C" w14:textId="77777777" w:rsidR="00912CFC" w:rsidRPr="00892908" w:rsidRDefault="00912CFC" w:rsidP="00912CFC">
      <w:pPr>
        <w:spacing w:line="360" w:lineRule="auto"/>
        <w:rPr>
          <w:rFonts w:asciiTheme="minorHAnsi" w:hAnsiTheme="minorHAnsi"/>
          <w:sz w:val="22"/>
          <w:szCs w:val="22"/>
        </w:rPr>
      </w:pPr>
      <w:r w:rsidRPr="00892908">
        <w:rPr>
          <w:rFonts w:asciiTheme="minorHAnsi" w:hAnsiTheme="minorHAnsi"/>
          <w:sz w:val="22"/>
          <w:szCs w:val="22"/>
          <w:vertAlign w:val="superscript"/>
        </w:rPr>
        <w:t>c</w:t>
      </w:r>
      <w:r w:rsidRPr="00892908">
        <w:rPr>
          <w:rFonts w:asciiTheme="minorHAnsi" w:hAnsiTheme="minorHAnsi"/>
          <w:sz w:val="22"/>
          <w:szCs w:val="22"/>
        </w:rPr>
        <w:t xml:space="preserve"> </w:t>
      </w:r>
      <w:r>
        <w:rPr>
          <w:rFonts w:asciiTheme="minorHAnsi" w:hAnsiTheme="minorHAnsi"/>
          <w:sz w:val="22"/>
          <w:szCs w:val="22"/>
        </w:rPr>
        <w:t>RM:</w:t>
      </w:r>
      <w:r w:rsidRPr="00892908">
        <w:rPr>
          <w:rFonts w:asciiTheme="minorHAnsi" w:hAnsiTheme="minorHAnsi"/>
          <w:sz w:val="22"/>
          <w:szCs w:val="22"/>
        </w:rPr>
        <w:t xml:space="preserve"> maximum response</w:t>
      </w:r>
      <w:r>
        <w:rPr>
          <w:rFonts w:asciiTheme="minorHAnsi" w:hAnsiTheme="minorHAnsi"/>
          <w:sz w:val="22"/>
          <w:szCs w:val="22"/>
        </w:rPr>
        <w:t xml:space="preserve"> (log</w:t>
      </w:r>
      <w:r w:rsidRPr="00AD577C">
        <w:rPr>
          <w:rFonts w:asciiTheme="minorHAnsi" w:hAnsiTheme="minorHAnsi"/>
          <w:sz w:val="22"/>
          <w:szCs w:val="22"/>
          <w:vertAlign w:val="subscript"/>
        </w:rPr>
        <w:t>2</w:t>
      </w:r>
      <w:r>
        <w:rPr>
          <w:rFonts w:asciiTheme="minorHAnsi" w:hAnsiTheme="minorHAnsi"/>
          <w:sz w:val="22"/>
          <w:szCs w:val="22"/>
        </w:rPr>
        <w:t>)</w:t>
      </w:r>
      <w:r w:rsidRPr="00892908">
        <w:rPr>
          <w:rFonts w:asciiTheme="minorHAnsi" w:hAnsiTheme="minorHAnsi"/>
          <w:sz w:val="22"/>
          <w:szCs w:val="22"/>
        </w:rPr>
        <w:t xml:space="preserve"> of the sample in that assay</w:t>
      </w:r>
      <w:r>
        <w:rPr>
          <w:rFonts w:asciiTheme="minorHAnsi" w:hAnsiTheme="minorHAnsi"/>
          <w:sz w:val="22"/>
          <w:szCs w:val="22"/>
        </w:rPr>
        <w:t>.</w:t>
      </w:r>
    </w:p>
    <w:p w14:paraId="15BD2741" w14:textId="77777777" w:rsidR="00912CFC" w:rsidRPr="00892908" w:rsidRDefault="00912CFC" w:rsidP="00912CFC">
      <w:pPr>
        <w:spacing w:line="360" w:lineRule="auto"/>
        <w:rPr>
          <w:rFonts w:asciiTheme="minorHAnsi" w:hAnsiTheme="minorHAnsi"/>
          <w:sz w:val="22"/>
          <w:szCs w:val="22"/>
        </w:rPr>
      </w:pPr>
      <w:r w:rsidRPr="00892908">
        <w:rPr>
          <w:rFonts w:asciiTheme="minorHAnsi" w:hAnsiTheme="minorHAnsi"/>
          <w:sz w:val="22"/>
          <w:szCs w:val="22"/>
          <w:vertAlign w:val="superscript"/>
        </w:rPr>
        <w:t>d</w:t>
      </w:r>
      <w:r w:rsidRPr="00892908">
        <w:rPr>
          <w:rFonts w:asciiTheme="minorHAnsi" w:hAnsiTheme="minorHAnsi"/>
          <w:sz w:val="22"/>
          <w:szCs w:val="22"/>
        </w:rPr>
        <w:t xml:space="preserve"> AUC</w:t>
      </w:r>
      <w:r>
        <w:rPr>
          <w:rFonts w:asciiTheme="minorHAnsi" w:hAnsiTheme="minorHAnsi"/>
          <w:sz w:val="22"/>
          <w:szCs w:val="22"/>
        </w:rPr>
        <w:t>:</w:t>
      </w:r>
      <w:r w:rsidRPr="00892908">
        <w:rPr>
          <w:rFonts w:asciiTheme="minorHAnsi" w:hAnsiTheme="minorHAnsi"/>
          <w:sz w:val="22"/>
          <w:szCs w:val="22"/>
        </w:rPr>
        <w:t xml:space="preserve"> area under the curve</w:t>
      </w:r>
      <w:r>
        <w:rPr>
          <w:rFonts w:asciiTheme="minorHAnsi" w:hAnsiTheme="minorHAnsi"/>
          <w:sz w:val="22"/>
          <w:szCs w:val="22"/>
        </w:rPr>
        <w:t>.</w:t>
      </w:r>
    </w:p>
    <w:p w14:paraId="149799EB" w14:textId="77777777" w:rsidR="00912CFC" w:rsidRPr="00892908" w:rsidRDefault="00912CFC" w:rsidP="00912CFC">
      <w:pPr>
        <w:spacing w:line="360" w:lineRule="auto"/>
        <w:rPr>
          <w:rFonts w:asciiTheme="minorHAnsi" w:hAnsiTheme="minorHAnsi"/>
          <w:sz w:val="22"/>
          <w:szCs w:val="22"/>
        </w:rPr>
      </w:pPr>
      <w:r w:rsidRPr="00892908">
        <w:rPr>
          <w:rFonts w:asciiTheme="minorHAnsi" w:hAnsiTheme="minorHAnsi"/>
          <w:sz w:val="22"/>
          <w:szCs w:val="22"/>
          <w:vertAlign w:val="superscript"/>
        </w:rPr>
        <w:t>e</w:t>
      </w:r>
      <w:r w:rsidRPr="00892908">
        <w:rPr>
          <w:rFonts w:asciiTheme="minorHAnsi" w:hAnsiTheme="minorHAnsi"/>
          <w:sz w:val="22"/>
          <w:szCs w:val="22"/>
        </w:rPr>
        <w:t xml:space="preserve"> AC50</w:t>
      </w:r>
      <w:r>
        <w:rPr>
          <w:rFonts w:asciiTheme="minorHAnsi" w:hAnsiTheme="minorHAnsi"/>
          <w:sz w:val="22"/>
          <w:szCs w:val="22"/>
        </w:rPr>
        <w:t>:</w:t>
      </w:r>
      <w:r w:rsidRPr="00892908">
        <w:rPr>
          <w:rFonts w:asciiTheme="minorHAnsi" w:hAnsiTheme="minorHAnsi"/>
          <w:sz w:val="22"/>
          <w:szCs w:val="22"/>
        </w:rPr>
        <w:t xml:space="preserve"> activity concentration at 50% maximal activity</w:t>
      </w:r>
      <w:r>
        <w:rPr>
          <w:rFonts w:asciiTheme="minorHAnsi" w:hAnsiTheme="minorHAnsi"/>
          <w:sz w:val="22"/>
          <w:szCs w:val="22"/>
        </w:rPr>
        <w:t xml:space="preserve"> (log)</w:t>
      </w:r>
      <w:r w:rsidRPr="00892908">
        <w:rPr>
          <w:rFonts w:asciiTheme="minorHAnsi" w:hAnsiTheme="minorHAnsi"/>
          <w:sz w:val="22"/>
          <w:szCs w:val="22"/>
        </w:rPr>
        <w:t xml:space="preserve">, where maximal activity is the </w:t>
      </w:r>
      <w:r>
        <w:rPr>
          <w:rFonts w:asciiTheme="minorHAnsi" w:hAnsiTheme="minorHAnsi"/>
          <w:sz w:val="22"/>
          <w:szCs w:val="22"/>
        </w:rPr>
        <w:t>RM</w:t>
      </w:r>
      <w:r w:rsidRPr="00892908">
        <w:rPr>
          <w:rFonts w:asciiTheme="minorHAnsi" w:hAnsiTheme="minorHAnsi"/>
          <w:sz w:val="22"/>
          <w:szCs w:val="22"/>
        </w:rPr>
        <w:t xml:space="preserve"> for the sample in that assay.</w:t>
      </w:r>
    </w:p>
    <w:p w14:paraId="16F893C8" w14:textId="67EFEECF" w:rsidR="00912CFC" w:rsidRPr="00892908" w:rsidRDefault="00912CFC" w:rsidP="00912CFC">
      <w:pPr>
        <w:spacing w:line="360" w:lineRule="auto"/>
        <w:rPr>
          <w:rFonts w:asciiTheme="minorHAnsi" w:hAnsiTheme="minorHAnsi"/>
          <w:sz w:val="22"/>
          <w:szCs w:val="22"/>
        </w:rPr>
      </w:pPr>
      <w:r w:rsidRPr="00892908">
        <w:rPr>
          <w:rFonts w:asciiTheme="minorHAnsi" w:hAnsiTheme="minorHAnsi"/>
          <w:sz w:val="22"/>
          <w:szCs w:val="22"/>
          <w:vertAlign w:val="superscript"/>
        </w:rPr>
        <w:t>f</w:t>
      </w:r>
      <w:r w:rsidRPr="00892908">
        <w:rPr>
          <w:rFonts w:asciiTheme="minorHAnsi" w:hAnsiTheme="minorHAnsi"/>
          <w:sz w:val="22"/>
          <w:szCs w:val="22"/>
        </w:rPr>
        <w:t xml:space="preserve"> ACC</w:t>
      </w:r>
      <w:r>
        <w:rPr>
          <w:rFonts w:asciiTheme="minorHAnsi" w:hAnsiTheme="minorHAnsi"/>
          <w:sz w:val="22"/>
          <w:szCs w:val="22"/>
        </w:rPr>
        <w:t>:</w:t>
      </w:r>
      <w:r w:rsidRPr="00892908">
        <w:rPr>
          <w:rFonts w:asciiTheme="minorHAnsi" w:hAnsiTheme="minorHAnsi"/>
          <w:sz w:val="22"/>
          <w:szCs w:val="22"/>
        </w:rPr>
        <w:t xml:space="preserve"> </w:t>
      </w:r>
      <w:r>
        <w:rPr>
          <w:rFonts w:asciiTheme="minorHAnsi" w:hAnsiTheme="minorHAnsi"/>
          <w:sz w:val="22"/>
          <w:szCs w:val="22"/>
        </w:rPr>
        <w:t xml:space="preserve">log </w:t>
      </w:r>
      <w:r w:rsidRPr="00892908">
        <w:rPr>
          <w:rFonts w:asciiTheme="minorHAnsi" w:hAnsiTheme="minorHAnsi"/>
          <w:sz w:val="22"/>
          <w:szCs w:val="22"/>
        </w:rPr>
        <w:t>activity concentration at cut-off (i.e., a response significantly above back</w:t>
      </w:r>
      <w:r>
        <w:rPr>
          <w:rFonts w:asciiTheme="minorHAnsi" w:hAnsiTheme="minorHAnsi"/>
          <w:sz w:val="22"/>
          <w:szCs w:val="22"/>
        </w:rPr>
        <w:t xml:space="preserve">ground/baseline in the assay). </w:t>
      </w:r>
      <w:r w:rsidRPr="00892908">
        <w:rPr>
          <w:rFonts w:asciiTheme="minorHAnsi" w:hAnsiTheme="minorHAnsi"/>
          <w:sz w:val="22"/>
          <w:szCs w:val="22"/>
        </w:rPr>
        <w:t xml:space="preserve">See </w:t>
      </w:r>
      <w:r w:rsidR="006A7D81">
        <w:rPr>
          <w:rFonts w:asciiTheme="minorHAnsi" w:hAnsiTheme="minorHAnsi"/>
          <w:sz w:val="22"/>
          <w:szCs w:val="22"/>
        </w:rPr>
        <w:t>F</w:t>
      </w:r>
      <w:r>
        <w:rPr>
          <w:rFonts w:asciiTheme="minorHAnsi" w:hAnsiTheme="minorHAnsi"/>
          <w:noProof/>
          <w:sz w:val="22"/>
          <w:szCs w:val="22"/>
        </w:rPr>
        <w:t xml:space="preserve">iler and others </w:t>
      </w:r>
      <w:r w:rsidR="006A7D81">
        <w:rPr>
          <w:rFonts w:asciiTheme="minorHAnsi" w:hAnsiTheme="minorHAnsi"/>
          <w:noProof/>
          <w:sz w:val="22"/>
          <w:szCs w:val="22"/>
        </w:rPr>
        <w:t>(</w:t>
      </w:r>
      <w:r>
        <w:rPr>
          <w:rFonts w:asciiTheme="minorHAnsi" w:hAnsiTheme="minorHAnsi"/>
          <w:noProof/>
          <w:sz w:val="22"/>
          <w:szCs w:val="22"/>
        </w:rPr>
        <w:t>2017)</w:t>
      </w:r>
      <w:r>
        <w:rPr>
          <w:rFonts w:asciiTheme="minorHAnsi" w:hAnsiTheme="minorHAnsi"/>
          <w:sz w:val="22"/>
          <w:szCs w:val="22"/>
        </w:rPr>
        <w:t xml:space="preserve"> </w:t>
      </w:r>
      <w:r w:rsidRPr="00892908">
        <w:rPr>
          <w:rFonts w:asciiTheme="minorHAnsi" w:hAnsiTheme="minorHAnsi"/>
          <w:sz w:val="22"/>
          <w:szCs w:val="22"/>
        </w:rPr>
        <w:t>for details on how cut-off was assigned</w:t>
      </w:r>
      <w:r>
        <w:rPr>
          <w:rFonts w:asciiTheme="minorHAnsi" w:hAnsiTheme="minorHAnsi"/>
          <w:sz w:val="22"/>
          <w:szCs w:val="22"/>
        </w:rPr>
        <w:t>.</w:t>
      </w:r>
    </w:p>
    <w:p w14:paraId="594A171A" w14:textId="77777777" w:rsidR="00912CFC" w:rsidRPr="00375747" w:rsidRDefault="00912CFC" w:rsidP="00912CFC">
      <w:pPr>
        <w:spacing w:line="360" w:lineRule="auto"/>
        <w:rPr>
          <w:rFonts w:asciiTheme="minorHAnsi" w:hAnsiTheme="minorHAnsi"/>
          <w:sz w:val="22"/>
          <w:szCs w:val="22"/>
        </w:rPr>
      </w:pPr>
    </w:p>
    <w:p w14:paraId="0A652A2C" w14:textId="77777777" w:rsidR="00912CFC" w:rsidRDefault="00912CFC" w:rsidP="00912CFC">
      <w:pPr>
        <w:spacing w:line="360" w:lineRule="auto"/>
        <w:rPr>
          <w:rFonts w:asciiTheme="minorHAnsi" w:hAnsiTheme="minorHAnsi"/>
          <w:sz w:val="22"/>
          <w:szCs w:val="22"/>
        </w:rPr>
      </w:pPr>
      <w:r w:rsidRPr="00375747">
        <w:rPr>
          <w:rFonts w:asciiTheme="minorHAnsi" w:hAnsiTheme="minorHAnsi"/>
          <w:sz w:val="22"/>
          <w:szCs w:val="22"/>
        </w:rPr>
        <w:br w:type="page"/>
      </w:r>
    </w:p>
    <w:p w14:paraId="660F98C6" w14:textId="77777777" w:rsidR="00912CFC" w:rsidRDefault="00912CFC" w:rsidP="00912CFC">
      <w:pPr>
        <w:spacing w:line="360" w:lineRule="auto"/>
        <w:rPr>
          <w:rFonts w:asciiTheme="minorHAnsi" w:hAnsiTheme="minorHAnsi"/>
          <w:sz w:val="22"/>
          <w:szCs w:val="22"/>
        </w:rPr>
      </w:pPr>
      <w:r>
        <w:rPr>
          <w:rFonts w:asciiTheme="minorHAnsi" w:hAnsiTheme="minorHAnsi"/>
          <w:sz w:val="22"/>
          <w:szCs w:val="22"/>
        </w:rPr>
        <w:lastRenderedPageBreak/>
        <w:t xml:space="preserve">Table </w:t>
      </w:r>
      <w:r w:rsidRPr="00771242">
        <w:rPr>
          <w:rFonts w:asciiTheme="minorHAnsi" w:hAnsiTheme="minorHAnsi"/>
          <w:sz w:val="22"/>
          <w:szCs w:val="22"/>
          <w:highlight w:val="yellow"/>
        </w:rPr>
        <w:t>S4</w:t>
      </w:r>
      <w:r w:rsidRPr="00375747">
        <w:rPr>
          <w:rFonts w:asciiTheme="minorHAnsi" w:hAnsiTheme="minorHAnsi"/>
          <w:sz w:val="22"/>
          <w:szCs w:val="22"/>
        </w:rPr>
        <w:t>. A</w:t>
      </w:r>
      <w:r>
        <w:rPr>
          <w:rFonts w:asciiTheme="minorHAnsi" w:hAnsiTheme="minorHAnsi"/>
          <w:sz w:val="22"/>
          <w:szCs w:val="22"/>
        </w:rPr>
        <w:t xml:space="preserve">OPs selected using a </w:t>
      </w:r>
      <w:r w:rsidRPr="00E31F01">
        <w:rPr>
          <w:rFonts w:asciiTheme="minorHAnsi" w:hAnsiTheme="minorHAnsi"/>
          <w:sz w:val="22"/>
          <w:szCs w:val="22"/>
        </w:rPr>
        <w:t>critical paths-based approach</w:t>
      </w:r>
      <w:r>
        <w:rPr>
          <w:rFonts w:asciiTheme="minorHAnsi" w:hAnsiTheme="minorHAnsi"/>
          <w:sz w:val="22"/>
          <w:szCs w:val="22"/>
        </w:rPr>
        <w:t xml:space="preserve"> in the complex mixture AOP network.</w:t>
      </w:r>
    </w:p>
    <w:p w14:paraId="7F64C602" w14:textId="77777777" w:rsidR="00912CFC" w:rsidRPr="00375747" w:rsidRDefault="00912CFC" w:rsidP="00912CFC">
      <w:pPr>
        <w:spacing w:line="360" w:lineRule="auto"/>
        <w:rPr>
          <w:rFonts w:asciiTheme="minorHAnsi" w:hAnsiTheme="minorHAnsi"/>
          <w:sz w:val="22"/>
          <w:szCs w:val="22"/>
        </w:rPr>
      </w:pPr>
    </w:p>
    <w:tbl>
      <w:tblPr>
        <w:tblStyle w:val="PlainTable5"/>
        <w:tblW w:w="9302" w:type="dxa"/>
        <w:tblLayout w:type="fixed"/>
        <w:tblLook w:val="0420" w:firstRow="1" w:lastRow="0" w:firstColumn="0" w:lastColumn="0" w:noHBand="0" w:noVBand="1"/>
      </w:tblPr>
      <w:tblGrid>
        <w:gridCol w:w="1200"/>
        <w:gridCol w:w="4852"/>
        <w:gridCol w:w="1843"/>
        <w:gridCol w:w="1407"/>
      </w:tblGrid>
      <w:tr w:rsidR="00912CFC" w:rsidRPr="00375747" w14:paraId="65D31017" w14:textId="77777777" w:rsidTr="009955A0">
        <w:trPr>
          <w:cnfStyle w:val="100000000000" w:firstRow="1" w:lastRow="0" w:firstColumn="0" w:lastColumn="0" w:oddVBand="0" w:evenVBand="0" w:oddHBand="0" w:evenHBand="0" w:firstRowFirstColumn="0" w:firstRowLastColumn="0" w:lastRowFirstColumn="0" w:lastRowLastColumn="0"/>
          <w:trHeight w:val="300"/>
        </w:trPr>
        <w:tc>
          <w:tcPr>
            <w:tcW w:w="1200" w:type="dxa"/>
            <w:tcBorders>
              <w:top w:val="single" w:sz="4" w:space="0" w:color="auto"/>
            </w:tcBorders>
          </w:tcPr>
          <w:p w14:paraId="580D3203" w14:textId="77777777" w:rsidR="00912CFC" w:rsidRPr="00375747" w:rsidRDefault="00912CFC" w:rsidP="009955A0">
            <w:pPr>
              <w:spacing w:line="360" w:lineRule="auto"/>
              <w:rPr>
                <w:rFonts w:asciiTheme="minorHAnsi" w:hAnsiTheme="minorHAnsi"/>
                <w:b/>
                <w:sz w:val="22"/>
                <w:szCs w:val="22"/>
              </w:rPr>
            </w:pPr>
            <w:r w:rsidRPr="00375747">
              <w:rPr>
                <w:rFonts w:asciiTheme="minorHAnsi" w:eastAsia="Calibri" w:hAnsiTheme="minorHAnsi" w:cs="Calibri"/>
                <w:b/>
                <w:sz w:val="22"/>
                <w:szCs w:val="22"/>
              </w:rPr>
              <w:t>AOP</w:t>
            </w:r>
          </w:p>
        </w:tc>
        <w:tc>
          <w:tcPr>
            <w:tcW w:w="4852" w:type="dxa"/>
            <w:tcBorders>
              <w:top w:val="single" w:sz="4" w:space="0" w:color="auto"/>
            </w:tcBorders>
          </w:tcPr>
          <w:p w14:paraId="0D447D87" w14:textId="77777777" w:rsidR="00912CFC" w:rsidRPr="00375747" w:rsidRDefault="00912CFC" w:rsidP="009955A0">
            <w:pPr>
              <w:spacing w:line="360" w:lineRule="auto"/>
              <w:rPr>
                <w:rFonts w:asciiTheme="minorHAnsi" w:hAnsiTheme="minorHAnsi"/>
                <w:b/>
                <w:sz w:val="22"/>
                <w:szCs w:val="22"/>
              </w:rPr>
            </w:pPr>
            <w:r w:rsidRPr="00375747">
              <w:rPr>
                <w:rFonts w:asciiTheme="minorHAnsi" w:eastAsia="Calibri" w:hAnsiTheme="minorHAnsi" w:cs="Calibri"/>
                <w:b/>
                <w:sz w:val="22"/>
                <w:szCs w:val="22"/>
              </w:rPr>
              <w:t>AOP name</w:t>
            </w:r>
          </w:p>
        </w:tc>
        <w:tc>
          <w:tcPr>
            <w:tcW w:w="1843" w:type="dxa"/>
            <w:tcBorders>
              <w:top w:val="single" w:sz="4" w:space="0" w:color="auto"/>
            </w:tcBorders>
          </w:tcPr>
          <w:p w14:paraId="17904EC1" w14:textId="77777777" w:rsidR="00912CFC" w:rsidRPr="00375747" w:rsidRDefault="00912CFC" w:rsidP="009955A0">
            <w:pPr>
              <w:spacing w:line="360" w:lineRule="auto"/>
              <w:rPr>
                <w:rFonts w:asciiTheme="minorHAnsi" w:hAnsiTheme="minorHAnsi"/>
                <w:b/>
                <w:sz w:val="22"/>
                <w:szCs w:val="22"/>
              </w:rPr>
            </w:pPr>
            <w:r>
              <w:rPr>
                <w:rFonts w:asciiTheme="minorHAnsi" w:eastAsia="Calibri" w:hAnsiTheme="minorHAnsi" w:cs="Calibri"/>
                <w:b/>
                <w:sz w:val="22"/>
                <w:szCs w:val="22"/>
              </w:rPr>
              <w:t>Taxon.</w:t>
            </w:r>
            <w:r w:rsidRPr="00375747">
              <w:rPr>
                <w:rFonts w:asciiTheme="minorHAnsi" w:eastAsia="Calibri" w:hAnsiTheme="minorHAnsi" w:cs="Calibri"/>
                <w:b/>
                <w:sz w:val="22"/>
                <w:szCs w:val="22"/>
              </w:rPr>
              <w:t xml:space="preserve"> Domain</w:t>
            </w:r>
          </w:p>
        </w:tc>
        <w:tc>
          <w:tcPr>
            <w:tcW w:w="1407" w:type="dxa"/>
            <w:tcBorders>
              <w:top w:val="single" w:sz="4" w:space="0" w:color="auto"/>
            </w:tcBorders>
          </w:tcPr>
          <w:p w14:paraId="162A0A1F" w14:textId="77777777" w:rsidR="00912CFC" w:rsidRPr="00375747" w:rsidRDefault="00912CFC" w:rsidP="009955A0">
            <w:pPr>
              <w:spacing w:line="360" w:lineRule="auto"/>
              <w:rPr>
                <w:rFonts w:asciiTheme="minorHAnsi" w:hAnsiTheme="minorHAnsi"/>
                <w:b/>
                <w:sz w:val="22"/>
                <w:szCs w:val="22"/>
              </w:rPr>
            </w:pPr>
            <w:r w:rsidRPr="00375747">
              <w:rPr>
                <w:rFonts w:asciiTheme="minorHAnsi" w:eastAsia="Calibri" w:hAnsiTheme="minorHAnsi" w:cs="Calibri"/>
                <w:b/>
                <w:sz w:val="22"/>
                <w:szCs w:val="22"/>
              </w:rPr>
              <w:t>Applicable</w:t>
            </w:r>
          </w:p>
        </w:tc>
      </w:tr>
      <w:tr w:rsidR="00912CFC" w:rsidRPr="00375747" w14:paraId="71AC3217" w14:textId="77777777" w:rsidTr="009955A0">
        <w:trPr>
          <w:cnfStyle w:val="000000100000" w:firstRow="0" w:lastRow="0" w:firstColumn="0" w:lastColumn="0" w:oddVBand="0" w:evenVBand="0" w:oddHBand="1" w:evenHBand="0" w:firstRowFirstColumn="0" w:firstRowLastColumn="0" w:lastRowFirstColumn="0" w:lastRowLastColumn="0"/>
          <w:trHeight w:val="600"/>
        </w:trPr>
        <w:tc>
          <w:tcPr>
            <w:tcW w:w="1200" w:type="dxa"/>
          </w:tcPr>
          <w:p w14:paraId="6D1D3179" w14:textId="77777777" w:rsidR="00912CFC" w:rsidRPr="00E30428" w:rsidRDefault="00912CFC" w:rsidP="009955A0">
            <w:pPr>
              <w:spacing w:line="360" w:lineRule="auto"/>
              <w:rPr>
                <w:rFonts w:asciiTheme="minorHAnsi" w:hAnsiTheme="minorHAnsi"/>
                <w:sz w:val="22"/>
                <w:szCs w:val="22"/>
              </w:rPr>
            </w:pPr>
            <w:r w:rsidRPr="00E30428">
              <w:rPr>
                <w:rFonts w:asciiTheme="minorHAnsi" w:hAnsiTheme="minorHAnsi"/>
                <w:sz w:val="22"/>
                <w:szCs w:val="22"/>
              </w:rPr>
              <w:t>Aop:21</w:t>
            </w:r>
          </w:p>
        </w:tc>
        <w:tc>
          <w:tcPr>
            <w:tcW w:w="4852" w:type="dxa"/>
          </w:tcPr>
          <w:p w14:paraId="13FFD71C" w14:textId="77777777" w:rsidR="00912CFC" w:rsidRPr="00E30428" w:rsidRDefault="00912CFC" w:rsidP="009955A0">
            <w:pPr>
              <w:spacing w:line="360" w:lineRule="auto"/>
              <w:rPr>
                <w:rFonts w:asciiTheme="minorHAnsi" w:hAnsiTheme="minorHAnsi"/>
                <w:sz w:val="22"/>
                <w:szCs w:val="22"/>
              </w:rPr>
            </w:pPr>
            <w:r w:rsidRPr="00E30428">
              <w:rPr>
                <w:rFonts w:asciiTheme="minorHAnsi" w:hAnsiTheme="minorHAnsi"/>
                <w:sz w:val="22"/>
                <w:szCs w:val="22"/>
              </w:rPr>
              <w:t>Activation of the aryl hydrocarbon receptor (AhR) leading to early life stage mortality</w:t>
            </w:r>
          </w:p>
        </w:tc>
        <w:tc>
          <w:tcPr>
            <w:tcW w:w="1843" w:type="dxa"/>
          </w:tcPr>
          <w:p w14:paraId="58EC133B" w14:textId="77777777" w:rsidR="00912CFC" w:rsidRPr="00E30428" w:rsidRDefault="00912CFC" w:rsidP="009955A0">
            <w:pPr>
              <w:spacing w:line="360" w:lineRule="auto"/>
              <w:rPr>
                <w:rFonts w:asciiTheme="minorHAnsi" w:hAnsiTheme="minorHAnsi"/>
                <w:sz w:val="22"/>
                <w:szCs w:val="22"/>
              </w:rPr>
            </w:pPr>
            <w:r w:rsidRPr="00E30428">
              <w:rPr>
                <w:rFonts w:asciiTheme="minorHAnsi" w:hAnsiTheme="minorHAnsi"/>
                <w:sz w:val="22"/>
                <w:szCs w:val="22"/>
              </w:rPr>
              <w:t>All teleost and non-teleost fishes; All birds</w:t>
            </w:r>
          </w:p>
        </w:tc>
        <w:tc>
          <w:tcPr>
            <w:tcW w:w="1407" w:type="dxa"/>
          </w:tcPr>
          <w:p w14:paraId="73AA91E7" w14:textId="77777777" w:rsidR="00912CFC" w:rsidRPr="00E30428" w:rsidRDefault="00912CFC" w:rsidP="009955A0">
            <w:pPr>
              <w:spacing w:line="360" w:lineRule="auto"/>
              <w:rPr>
                <w:rFonts w:asciiTheme="minorHAnsi" w:hAnsiTheme="minorHAnsi"/>
                <w:sz w:val="22"/>
                <w:szCs w:val="22"/>
              </w:rPr>
            </w:pPr>
            <w:r w:rsidRPr="00E30428">
              <w:rPr>
                <w:rFonts w:asciiTheme="minorHAnsi" w:hAnsiTheme="minorHAnsi"/>
                <w:sz w:val="22"/>
                <w:szCs w:val="22"/>
              </w:rPr>
              <w:t>Yes</w:t>
            </w:r>
          </w:p>
        </w:tc>
      </w:tr>
      <w:tr w:rsidR="00912CFC" w:rsidRPr="00375747" w14:paraId="11E28B6B" w14:textId="77777777" w:rsidTr="009955A0">
        <w:trPr>
          <w:trHeight w:val="300"/>
        </w:trPr>
        <w:tc>
          <w:tcPr>
            <w:tcW w:w="1200" w:type="dxa"/>
          </w:tcPr>
          <w:p w14:paraId="760AA133"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Aop:57</w:t>
            </w:r>
          </w:p>
        </w:tc>
        <w:tc>
          <w:tcPr>
            <w:tcW w:w="4852" w:type="dxa"/>
          </w:tcPr>
          <w:p w14:paraId="10D723A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AhR activation leading to hepatic steatosis</w:t>
            </w:r>
          </w:p>
        </w:tc>
        <w:tc>
          <w:tcPr>
            <w:tcW w:w="1843" w:type="dxa"/>
          </w:tcPr>
          <w:p w14:paraId="28809152"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Mammals</w:t>
            </w:r>
          </w:p>
        </w:tc>
        <w:tc>
          <w:tcPr>
            <w:tcW w:w="1407" w:type="dxa"/>
          </w:tcPr>
          <w:p w14:paraId="6753B8B9"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No</w:t>
            </w:r>
          </w:p>
        </w:tc>
      </w:tr>
      <w:tr w:rsidR="00912CFC" w:rsidRPr="00375747" w14:paraId="2D4EC6C6" w14:textId="77777777" w:rsidTr="009955A0">
        <w:trPr>
          <w:cnfStyle w:val="000000100000" w:firstRow="0" w:lastRow="0" w:firstColumn="0" w:lastColumn="0" w:oddVBand="0" w:evenVBand="0" w:oddHBand="1" w:evenHBand="0" w:firstRowFirstColumn="0" w:firstRowLastColumn="0" w:lastRowFirstColumn="0" w:lastRowLastColumn="0"/>
          <w:trHeight w:val="300"/>
        </w:trPr>
        <w:tc>
          <w:tcPr>
            <w:tcW w:w="1200" w:type="dxa"/>
          </w:tcPr>
          <w:p w14:paraId="3B0B452A"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Aop:131</w:t>
            </w:r>
          </w:p>
        </w:tc>
        <w:tc>
          <w:tcPr>
            <w:tcW w:w="4852" w:type="dxa"/>
          </w:tcPr>
          <w:p w14:paraId="3A692610"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AhR activation leading to uroporphyria</w:t>
            </w:r>
          </w:p>
        </w:tc>
        <w:tc>
          <w:tcPr>
            <w:tcW w:w="1843" w:type="dxa"/>
          </w:tcPr>
          <w:p w14:paraId="6EE60A6D"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Mammals, Birds</w:t>
            </w:r>
          </w:p>
        </w:tc>
        <w:tc>
          <w:tcPr>
            <w:tcW w:w="1407" w:type="dxa"/>
          </w:tcPr>
          <w:p w14:paraId="0A2AF6E8"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No</w:t>
            </w:r>
          </w:p>
        </w:tc>
      </w:tr>
      <w:tr w:rsidR="00912CFC" w:rsidRPr="00375747" w14:paraId="304A0C52" w14:textId="77777777" w:rsidTr="009955A0">
        <w:trPr>
          <w:trHeight w:val="600"/>
        </w:trPr>
        <w:tc>
          <w:tcPr>
            <w:tcW w:w="1200" w:type="dxa"/>
          </w:tcPr>
          <w:p w14:paraId="422C5F04"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Aop:150</w:t>
            </w:r>
          </w:p>
        </w:tc>
        <w:tc>
          <w:tcPr>
            <w:tcW w:w="4852" w:type="dxa"/>
          </w:tcPr>
          <w:p w14:paraId="3B45E210"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Aryl hydrocarbon receptor activation leading to embryolethality via cardiotoxicty</w:t>
            </w:r>
          </w:p>
        </w:tc>
        <w:tc>
          <w:tcPr>
            <w:tcW w:w="1843" w:type="dxa"/>
          </w:tcPr>
          <w:p w14:paraId="02FE4FD7"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Fish, birds, mammals</w:t>
            </w:r>
          </w:p>
        </w:tc>
        <w:tc>
          <w:tcPr>
            <w:tcW w:w="1407" w:type="dxa"/>
          </w:tcPr>
          <w:p w14:paraId="71499E47"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Yes</w:t>
            </w:r>
          </w:p>
        </w:tc>
      </w:tr>
      <w:tr w:rsidR="00912CFC" w:rsidRPr="00375747" w14:paraId="3975B1D4" w14:textId="77777777" w:rsidTr="009955A0">
        <w:trPr>
          <w:cnfStyle w:val="000000100000" w:firstRow="0" w:lastRow="0" w:firstColumn="0" w:lastColumn="0" w:oddVBand="0" w:evenVBand="0" w:oddHBand="1" w:evenHBand="0" w:firstRowFirstColumn="0" w:firstRowLastColumn="0" w:lastRowFirstColumn="0" w:lastRowLastColumn="0"/>
          <w:trHeight w:val="600"/>
        </w:trPr>
        <w:tc>
          <w:tcPr>
            <w:tcW w:w="1200" w:type="dxa"/>
          </w:tcPr>
          <w:p w14:paraId="23C78061"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Aop:29</w:t>
            </w:r>
          </w:p>
        </w:tc>
        <w:tc>
          <w:tcPr>
            <w:tcW w:w="4852" w:type="dxa"/>
          </w:tcPr>
          <w:p w14:paraId="3794D3D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Estrogen receptor agonism leading to reproductive dysfunction</w:t>
            </w:r>
          </w:p>
        </w:tc>
        <w:tc>
          <w:tcPr>
            <w:tcW w:w="1843" w:type="dxa"/>
          </w:tcPr>
          <w:p w14:paraId="6390C230"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Fish, birds, amphibians</w:t>
            </w:r>
          </w:p>
        </w:tc>
        <w:tc>
          <w:tcPr>
            <w:tcW w:w="1407" w:type="dxa"/>
          </w:tcPr>
          <w:p w14:paraId="4376A3C6"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Yes</w:t>
            </w:r>
          </w:p>
        </w:tc>
      </w:tr>
      <w:tr w:rsidR="00912CFC" w:rsidRPr="00375747" w14:paraId="7CD6A4EE" w14:textId="77777777" w:rsidTr="009955A0">
        <w:trPr>
          <w:trHeight w:val="620"/>
        </w:trPr>
        <w:tc>
          <w:tcPr>
            <w:tcW w:w="1200" w:type="dxa"/>
          </w:tcPr>
          <w:p w14:paraId="7333F61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Aop:52</w:t>
            </w:r>
          </w:p>
        </w:tc>
        <w:tc>
          <w:tcPr>
            <w:tcW w:w="4852" w:type="dxa"/>
          </w:tcPr>
          <w:p w14:paraId="2B75D084"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ER agonism leading to skewed sex ratios due to altered sexual differentiation in males</w:t>
            </w:r>
          </w:p>
        </w:tc>
        <w:tc>
          <w:tcPr>
            <w:tcW w:w="1843" w:type="dxa"/>
          </w:tcPr>
          <w:p w14:paraId="61CD15EB"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 xml:space="preserve">NA </w:t>
            </w:r>
          </w:p>
        </w:tc>
        <w:tc>
          <w:tcPr>
            <w:tcW w:w="1407" w:type="dxa"/>
          </w:tcPr>
          <w:p w14:paraId="13CEBA88"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r>
      <w:tr w:rsidR="00912CFC" w:rsidRPr="00375747" w14:paraId="07DBA0AB" w14:textId="77777777" w:rsidTr="009955A0">
        <w:trPr>
          <w:cnfStyle w:val="000000100000" w:firstRow="0" w:lastRow="0" w:firstColumn="0" w:lastColumn="0" w:oddVBand="0" w:evenVBand="0" w:oddHBand="1" w:evenHBand="0" w:firstRowFirstColumn="0" w:firstRowLastColumn="0" w:lastRowFirstColumn="0" w:lastRowLastColumn="0"/>
          <w:trHeight w:val="600"/>
        </w:trPr>
        <w:tc>
          <w:tcPr>
            <w:tcW w:w="1200" w:type="dxa"/>
          </w:tcPr>
          <w:p w14:paraId="51824123"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Aop:53</w:t>
            </w:r>
          </w:p>
        </w:tc>
        <w:tc>
          <w:tcPr>
            <w:tcW w:w="4852" w:type="dxa"/>
          </w:tcPr>
          <w:p w14:paraId="0D09AD2A"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ER agonism leading to reduced survival due to renal failure</w:t>
            </w:r>
          </w:p>
        </w:tc>
        <w:tc>
          <w:tcPr>
            <w:tcW w:w="1843" w:type="dxa"/>
          </w:tcPr>
          <w:p w14:paraId="4744E8B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 xml:space="preserve">NA </w:t>
            </w:r>
          </w:p>
        </w:tc>
        <w:tc>
          <w:tcPr>
            <w:tcW w:w="1407" w:type="dxa"/>
          </w:tcPr>
          <w:p w14:paraId="39A19B9D"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r>
      <w:tr w:rsidR="00912CFC" w:rsidRPr="00375747" w14:paraId="7A0F395E" w14:textId="77777777" w:rsidTr="009955A0">
        <w:trPr>
          <w:trHeight w:val="600"/>
        </w:trPr>
        <w:tc>
          <w:tcPr>
            <w:tcW w:w="1200" w:type="dxa"/>
          </w:tcPr>
          <w:p w14:paraId="0FAF704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Aop:167</w:t>
            </w:r>
          </w:p>
        </w:tc>
        <w:tc>
          <w:tcPr>
            <w:tcW w:w="4852" w:type="dxa"/>
          </w:tcPr>
          <w:p w14:paraId="58740BF1"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Early-life estrogen receptor activity leading to endometrial carcinoma in the mouse.</w:t>
            </w:r>
          </w:p>
        </w:tc>
        <w:tc>
          <w:tcPr>
            <w:tcW w:w="1843" w:type="dxa"/>
          </w:tcPr>
          <w:p w14:paraId="76FB11CF"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Mammals</w:t>
            </w:r>
          </w:p>
        </w:tc>
        <w:tc>
          <w:tcPr>
            <w:tcW w:w="1407" w:type="dxa"/>
          </w:tcPr>
          <w:p w14:paraId="18E73CAB"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No</w:t>
            </w:r>
          </w:p>
        </w:tc>
      </w:tr>
      <w:tr w:rsidR="00912CFC" w:rsidRPr="00375747" w14:paraId="1B9119DF" w14:textId="77777777" w:rsidTr="009955A0">
        <w:trPr>
          <w:cnfStyle w:val="000000100000" w:firstRow="0" w:lastRow="0" w:firstColumn="0" w:lastColumn="0" w:oddVBand="0" w:evenVBand="0" w:oddHBand="1" w:evenHBand="0" w:firstRowFirstColumn="0" w:firstRowLastColumn="0" w:lastRowFirstColumn="0" w:lastRowLastColumn="0"/>
          <w:trHeight w:val="600"/>
        </w:trPr>
        <w:tc>
          <w:tcPr>
            <w:tcW w:w="1200" w:type="dxa"/>
          </w:tcPr>
          <w:p w14:paraId="3518D5C4"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Aop:14</w:t>
            </w:r>
          </w:p>
        </w:tc>
        <w:tc>
          <w:tcPr>
            <w:tcW w:w="4852" w:type="dxa"/>
          </w:tcPr>
          <w:p w14:paraId="14CD9B8B"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Glucocorticoid Receptor Activation Leading to Increased Disease Susceptibility</w:t>
            </w:r>
          </w:p>
        </w:tc>
        <w:tc>
          <w:tcPr>
            <w:tcW w:w="1843" w:type="dxa"/>
          </w:tcPr>
          <w:p w14:paraId="2ED4E715"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 xml:space="preserve">NA </w:t>
            </w:r>
          </w:p>
        </w:tc>
        <w:tc>
          <w:tcPr>
            <w:tcW w:w="1407" w:type="dxa"/>
          </w:tcPr>
          <w:p w14:paraId="38B1E453"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r>
      <w:tr w:rsidR="00912CFC" w:rsidRPr="00375747" w14:paraId="4766E14C" w14:textId="77777777" w:rsidTr="009955A0">
        <w:trPr>
          <w:trHeight w:val="340"/>
        </w:trPr>
        <w:tc>
          <w:tcPr>
            <w:tcW w:w="1200" w:type="dxa"/>
          </w:tcPr>
          <w:p w14:paraId="289A520F"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Aop:61</w:t>
            </w:r>
          </w:p>
        </w:tc>
        <w:tc>
          <w:tcPr>
            <w:tcW w:w="4852" w:type="dxa"/>
          </w:tcPr>
          <w:p w14:paraId="434ADF51"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NFE2L2/FXR activation leading to hepatic steatosis</w:t>
            </w:r>
          </w:p>
        </w:tc>
        <w:tc>
          <w:tcPr>
            <w:tcW w:w="1843" w:type="dxa"/>
          </w:tcPr>
          <w:p w14:paraId="2A660669"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 xml:space="preserve">NA </w:t>
            </w:r>
          </w:p>
        </w:tc>
        <w:tc>
          <w:tcPr>
            <w:tcW w:w="1407" w:type="dxa"/>
          </w:tcPr>
          <w:p w14:paraId="2710B7C6"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r>
      <w:tr w:rsidR="00912CFC" w:rsidRPr="00375747" w14:paraId="5F6892AD" w14:textId="77777777" w:rsidTr="009955A0">
        <w:trPr>
          <w:cnfStyle w:val="000000100000" w:firstRow="0" w:lastRow="0" w:firstColumn="0" w:lastColumn="0" w:oddVBand="0" w:evenVBand="0" w:oddHBand="1" w:evenHBand="0" w:firstRowFirstColumn="0" w:firstRowLastColumn="0" w:lastRowFirstColumn="0" w:lastRowLastColumn="0"/>
          <w:trHeight w:val="540"/>
        </w:trPr>
        <w:tc>
          <w:tcPr>
            <w:tcW w:w="1200" w:type="dxa"/>
          </w:tcPr>
          <w:p w14:paraId="50DE0D8E"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Aop:11</w:t>
            </w:r>
          </w:p>
        </w:tc>
        <w:tc>
          <w:tcPr>
            <w:tcW w:w="4852" w:type="dxa"/>
          </w:tcPr>
          <w:p w14:paraId="71BADE78"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Percellome Toxicogenomics Approach for AOP Building: Case study on Pentachlorophenol</w:t>
            </w:r>
          </w:p>
        </w:tc>
        <w:tc>
          <w:tcPr>
            <w:tcW w:w="1843" w:type="dxa"/>
          </w:tcPr>
          <w:p w14:paraId="28F5924A"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 xml:space="preserve">NA </w:t>
            </w:r>
          </w:p>
        </w:tc>
        <w:tc>
          <w:tcPr>
            <w:tcW w:w="1407" w:type="dxa"/>
          </w:tcPr>
          <w:p w14:paraId="6FF9DB8D"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r>
      <w:tr w:rsidR="00912CFC" w:rsidRPr="00375747" w14:paraId="709942CB" w14:textId="77777777" w:rsidTr="009955A0">
        <w:trPr>
          <w:trHeight w:val="600"/>
        </w:trPr>
        <w:tc>
          <w:tcPr>
            <w:tcW w:w="1200" w:type="dxa"/>
            <w:tcBorders>
              <w:bottom w:val="single" w:sz="4" w:space="0" w:color="auto"/>
            </w:tcBorders>
          </w:tcPr>
          <w:p w14:paraId="49CFEAC3"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Aop:60</w:t>
            </w:r>
          </w:p>
        </w:tc>
        <w:tc>
          <w:tcPr>
            <w:tcW w:w="4852" w:type="dxa"/>
            <w:tcBorders>
              <w:bottom w:val="single" w:sz="4" w:space="0" w:color="auto"/>
            </w:tcBorders>
          </w:tcPr>
          <w:p w14:paraId="486E149B"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NR1I2 (Pregnane X Receptor, PXR) activation leading to hepatic steatosis</w:t>
            </w:r>
          </w:p>
        </w:tc>
        <w:tc>
          <w:tcPr>
            <w:tcW w:w="1843" w:type="dxa"/>
            <w:tcBorders>
              <w:bottom w:val="single" w:sz="4" w:space="0" w:color="auto"/>
            </w:tcBorders>
          </w:tcPr>
          <w:p w14:paraId="42194903"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 xml:space="preserve">NA </w:t>
            </w:r>
          </w:p>
        </w:tc>
        <w:tc>
          <w:tcPr>
            <w:tcW w:w="1407" w:type="dxa"/>
            <w:tcBorders>
              <w:bottom w:val="single" w:sz="4" w:space="0" w:color="auto"/>
            </w:tcBorders>
          </w:tcPr>
          <w:p w14:paraId="5F12D599" w14:textId="77777777" w:rsidR="00912CFC" w:rsidRPr="00375747" w:rsidRDefault="00912CFC" w:rsidP="009955A0">
            <w:pPr>
              <w:spacing w:line="360" w:lineRule="auto"/>
              <w:rPr>
                <w:rFonts w:asciiTheme="minorHAnsi" w:hAnsiTheme="minorHAnsi"/>
                <w:sz w:val="22"/>
                <w:szCs w:val="22"/>
              </w:rPr>
            </w:pPr>
            <w:r w:rsidRPr="00375747">
              <w:rPr>
                <w:rFonts w:asciiTheme="minorHAnsi" w:hAnsiTheme="minorHAnsi"/>
                <w:sz w:val="22"/>
                <w:szCs w:val="22"/>
              </w:rPr>
              <w:t>NA</w:t>
            </w:r>
          </w:p>
        </w:tc>
      </w:tr>
    </w:tbl>
    <w:p w14:paraId="42A45B62" w14:textId="77777777" w:rsidR="00912CFC" w:rsidRDefault="00912CFC" w:rsidP="00912CFC">
      <w:pPr>
        <w:rPr>
          <w:rFonts w:asciiTheme="minorHAnsi" w:hAnsiTheme="minorHAnsi"/>
          <w:b/>
          <w:sz w:val="22"/>
          <w:szCs w:val="22"/>
        </w:rPr>
      </w:pPr>
    </w:p>
    <w:p w14:paraId="36529F56" w14:textId="77777777" w:rsidR="00912CFC" w:rsidRDefault="00912CFC" w:rsidP="00912CFC">
      <w:pPr>
        <w:rPr>
          <w:rFonts w:asciiTheme="minorHAnsi" w:hAnsiTheme="minorHAnsi"/>
          <w:b/>
          <w:sz w:val="22"/>
          <w:szCs w:val="22"/>
        </w:rPr>
      </w:pPr>
      <w:r>
        <w:rPr>
          <w:rFonts w:asciiTheme="minorHAnsi" w:hAnsiTheme="minorHAnsi"/>
          <w:b/>
          <w:sz w:val="22"/>
          <w:szCs w:val="22"/>
        </w:rPr>
        <w:br w:type="page"/>
      </w:r>
    </w:p>
    <w:p w14:paraId="1AB76CD4" w14:textId="77777777" w:rsidR="00912CFC" w:rsidRDefault="00912CFC" w:rsidP="00912CFC">
      <w:pPr>
        <w:spacing w:line="360" w:lineRule="auto"/>
        <w:jc w:val="both"/>
        <w:rPr>
          <w:rFonts w:asciiTheme="minorHAnsi" w:hAnsiTheme="minorHAnsi"/>
          <w:b/>
          <w:color w:val="000000" w:themeColor="text1"/>
          <w:sz w:val="22"/>
          <w:szCs w:val="22"/>
        </w:rPr>
      </w:pPr>
      <w:r w:rsidRPr="001B24DF">
        <w:rPr>
          <w:rFonts w:asciiTheme="minorHAnsi" w:hAnsiTheme="minorHAnsi"/>
          <w:b/>
          <w:sz w:val="22"/>
          <w:szCs w:val="22"/>
        </w:rPr>
        <w:lastRenderedPageBreak/>
        <w:t xml:space="preserve">Case Study </w:t>
      </w:r>
      <w:r>
        <w:rPr>
          <w:rFonts w:asciiTheme="minorHAnsi" w:hAnsiTheme="minorHAnsi"/>
          <w:b/>
          <w:sz w:val="22"/>
          <w:szCs w:val="22"/>
        </w:rPr>
        <w:t>4</w:t>
      </w:r>
      <w:r w:rsidRPr="001B24DF">
        <w:rPr>
          <w:rFonts w:asciiTheme="minorHAnsi" w:hAnsiTheme="minorHAnsi"/>
          <w:b/>
          <w:sz w:val="22"/>
          <w:szCs w:val="22"/>
        </w:rPr>
        <w:t xml:space="preserve">: </w:t>
      </w:r>
      <w:r>
        <w:rPr>
          <w:rFonts w:asciiTheme="minorHAnsi" w:hAnsiTheme="minorHAnsi"/>
          <w:b/>
          <w:sz w:val="22"/>
          <w:szCs w:val="22"/>
        </w:rPr>
        <w:t>Polypharmacology</w:t>
      </w:r>
    </w:p>
    <w:p w14:paraId="09D6B88B" w14:textId="77777777" w:rsidR="00912CFC" w:rsidRPr="00D8239B" w:rsidRDefault="00912CFC" w:rsidP="00912CFC">
      <w:pPr>
        <w:spacing w:line="360" w:lineRule="auto"/>
        <w:jc w:val="both"/>
        <w:rPr>
          <w:rFonts w:asciiTheme="minorHAnsi" w:hAnsiTheme="minorHAnsi"/>
          <w:color w:val="000000" w:themeColor="text1"/>
          <w:sz w:val="22"/>
          <w:szCs w:val="22"/>
        </w:rPr>
      </w:pPr>
    </w:p>
    <w:p w14:paraId="0D725077" w14:textId="77777777" w:rsidR="00912CFC" w:rsidRPr="00D8239B" w:rsidRDefault="00912CFC" w:rsidP="00912CFC">
      <w:pPr>
        <w:spacing w:line="360" w:lineRule="auto"/>
        <w:jc w:val="both"/>
        <w:rPr>
          <w:rFonts w:asciiTheme="minorHAnsi" w:hAnsiTheme="minorHAnsi"/>
          <w:color w:val="000000" w:themeColor="text1"/>
          <w:sz w:val="22"/>
          <w:szCs w:val="22"/>
        </w:rPr>
      </w:pPr>
      <w:r w:rsidRPr="00D8239B">
        <w:rPr>
          <w:rFonts w:asciiTheme="minorHAnsi" w:hAnsiTheme="minorHAnsi"/>
          <w:color w:val="000000" w:themeColor="text1"/>
          <w:sz w:val="22"/>
          <w:szCs w:val="22"/>
        </w:rPr>
        <w:t>Individual chemicals can interact with multiple protein targets at the same time. In principle, each of those chemical/target interactions can represent the MIE of different AOPs that are triggered simultaneously. In drug discovery and development, the ability of chemicals (</w:t>
      </w:r>
      <w:r w:rsidRPr="00D8239B">
        <w:rPr>
          <w:color w:val="000000" w:themeColor="text1"/>
          <w:sz w:val="22"/>
          <w:szCs w:val="22"/>
        </w:rPr>
        <w:t>i.e.</w:t>
      </w:r>
      <w:r w:rsidRPr="00D8239B">
        <w:rPr>
          <w:rFonts w:asciiTheme="minorHAnsi" w:hAnsiTheme="minorHAnsi"/>
          <w:color w:val="000000" w:themeColor="text1"/>
          <w:sz w:val="22"/>
          <w:szCs w:val="22"/>
        </w:rPr>
        <w:t xml:space="preserve">, drug candidates) to interact with multiple targets is a well-known phenomenon described as polypharmacology </w:t>
      </w:r>
      <w:r>
        <w:rPr>
          <w:rFonts w:asciiTheme="minorHAnsi" w:hAnsiTheme="minorHAnsi"/>
          <w:noProof/>
          <w:color w:val="000000" w:themeColor="text1"/>
          <w:sz w:val="22"/>
          <w:szCs w:val="22"/>
        </w:rPr>
        <w:t>(Reddy and Zhang 2013)</w:t>
      </w:r>
      <w:r w:rsidRPr="00D8239B">
        <w:rPr>
          <w:rFonts w:asciiTheme="minorHAnsi" w:hAnsiTheme="minorHAnsi"/>
          <w:color w:val="000000" w:themeColor="text1"/>
          <w:sz w:val="22"/>
          <w:szCs w:val="22"/>
        </w:rPr>
        <w:t xml:space="preserve">. Whereas the primary target of pharmaceuticals is generally therapeutically relevant, the interaction with secondary targets (sometimes defined as off-targets) can be related to the manifestation of adverse effects </w:t>
      </w:r>
      <w:r>
        <w:rPr>
          <w:rFonts w:asciiTheme="minorHAnsi" w:hAnsiTheme="minorHAnsi"/>
          <w:noProof/>
          <w:color w:val="000000" w:themeColor="text1"/>
          <w:sz w:val="22"/>
          <w:szCs w:val="22"/>
        </w:rPr>
        <w:t>(Lounkine and others 2012)</w:t>
      </w:r>
      <w:r w:rsidRPr="00D8239B">
        <w:rPr>
          <w:rFonts w:asciiTheme="minorHAnsi" w:hAnsiTheme="minorHAnsi"/>
          <w:color w:val="000000" w:themeColor="text1"/>
          <w:sz w:val="22"/>
          <w:szCs w:val="22"/>
        </w:rPr>
        <w:t xml:space="preserve">. For this reason, drug candidates are screened during drug development using a number of </w:t>
      </w:r>
      <w:r w:rsidRPr="00D8239B">
        <w:rPr>
          <w:rFonts w:asciiTheme="minorHAnsi" w:hAnsiTheme="minorHAnsi"/>
          <w:i/>
          <w:color w:val="000000" w:themeColor="text1"/>
          <w:sz w:val="22"/>
          <w:szCs w:val="22"/>
        </w:rPr>
        <w:t>in vitro</w:t>
      </w:r>
      <w:r w:rsidRPr="00D8239B">
        <w:rPr>
          <w:rFonts w:asciiTheme="minorHAnsi" w:hAnsiTheme="minorHAnsi"/>
          <w:color w:val="000000" w:themeColor="text1"/>
          <w:sz w:val="22"/>
          <w:szCs w:val="22"/>
        </w:rPr>
        <w:t xml:space="preserve"> assays to test whether they interact with molecular targets, or cellular processes, known to be associated with clinically relevant adverse drug reactions </w:t>
      </w:r>
      <w:r>
        <w:rPr>
          <w:rFonts w:asciiTheme="minorHAnsi" w:hAnsiTheme="minorHAnsi"/>
          <w:noProof/>
          <w:color w:val="000000" w:themeColor="text1"/>
          <w:sz w:val="22"/>
          <w:szCs w:val="22"/>
        </w:rPr>
        <w:t>(Hamon and others 2009)</w:t>
      </w:r>
      <w:r w:rsidRPr="00D8239B">
        <w:rPr>
          <w:rFonts w:asciiTheme="minorHAnsi" w:hAnsiTheme="minorHAnsi"/>
          <w:color w:val="000000" w:themeColor="text1"/>
          <w:sz w:val="22"/>
          <w:szCs w:val="22"/>
        </w:rPr>
        <w:t>.</w:t>
      </w:r>
    </w:p>
    <w:p w14:paraId="75859FE5" w14:textId="77777777" w:rsidR="00912CFC" w:rsidRPr="00D8239B" w:rsidRDefault="00912CFC" w:rsidP="00912CFC">
      <w:pPr>
        <w:spacing w:line="360" w:lineRule="auto"/>
        <w:jc w:val="both"/>
        <w:rPr>
          <w:rFonts w:asciiTheme="minorHAnsi" w:hAnsiTheme="minorHAnsi"/>
          <w:color w:val="000000" w:themeColor="text1"/>
          <w:sz w:val="22"/>
          <w:szCs w:val="22"/>
        </w:rPr>
      </w:pPr>
    </w:p>
    <w:p w14:paraId="22541D03" w14:textId="77777777" w:rsidR="00912CFC" w:rsidRPr="00D8239B" w:rsidRDefault="00912CFC" w:rsidP="00912CFC">
      <w:pPr>
        <w:spacing w:line="360" w:lineRule="auto"/>
        <w:jc w:val="both"/>
        <w:rPr>
          <w:rFonts w:asciiTheme="minorHAnsi" w:hAnsiTheme="minorHAnsi"/>
          <w:color w:val="000000" w:themeColor="text1"/>
          <w:sz w:val="22"/>
          <w:szCs w:val="22"/>
        </w:rPr>
      </w:pPr>
      <w:r w:rsidRPr="00D8239B">
        <w:rPr>
          <w:rFonts w:asciiTheme="minorHAnsi" w:hAnsiTheme="minorHAnsi"/>
          <w:color w:val="000000" w:themeColor="text1"/>
          <w:sz w:val="22"/>
          <w:szCs w:val="22"/>
        </w:rPr>
        <w:t xml:space="preserve">Recent high-throughput </w:t>
      </w:r>
      <w:r w:rsidRPr="00D8239B">
        <w:rPr>
          <w:rFonts w:asciiTheme="minorHAnsi" w:hAnsiTheme="minorHAnsi"/>
          <w:i/>
          <w:color w:val="000000" w:themeColor="text1"/>
          <w:sz w:val="22"/>
          <w:szCs w:val="22"/>
        </w:rPr>
        <w:t>in vitro</w:t>
      </w:r>
      <w:r w:rsidRPr="00D8239B">
        <w:rPr>
          <w:rFonts w:asciiTheme="minorHAnsi" w:hAnsiTheme="minorHAnsi"/>
          <w:color w:val="000000" w:themeColor="text1"/>
          <w:sz w:val="22"/>
          <w:szCs w:val="22"/>
        </w:rPr>
        <w:t xml:space="preserve"> screening programs (</w:t>
      </w:r>
      <w:r w:rsidRPr="00D8239B">
        <w:rPr>
          <w:color w:val="000000" w:themeColor="text1"/>
          <w:sz w:val="22"/>
          <w:szCs w:val="22"/>
        </w:rPr>
        <w:t>e.g</w:t>
      </w:r>
      <w:r w:rsidRPr="00D8239B">
        <w:rPr>
          <w:rFonts w:asciiTheme="minorHAnsi" w:hAnsiTheme="minorHAnsi"/>
          <w:color w:val="000000" w:themeColor="text1"/>
          <w:sz w:val="22"/>
          <w:szCs w:val="22"/>
        </w:rPr>
        <w:t>., ToxCast</w:t>
      </w:r>
      <w:r>
        <w:rPr>
          <w:rFonts w:asciiTheme="minorHAnsi" w:hAnsiTheme="minorHAnsi"/>
          <w:color w:val="000000" w:themeColor="text1"/>
        </w:rPr>
        <w:t>™</w:t>
      </w:r>
      <w:r w:rsidRPr="00D8239B">
        <w:rPr>
          <w:rFonts w:asciiTheme="minorHAnsi" w:hAnsiTheme="minorHAnsi"/>
          <w:color w:val="000000" w:themeColor="text1"/>
          <w:sz w:val="22"/>
          <w:szCs w:val="22"/>
        </w:rPr>
        <w:t xml:space="preserve">, Tox21) have revealed that the concept behind polypharmacology in predictive toxicology may be relevant not only for pharmaceuticals, but to chemicals in general </w:t>
      </w:r>
      <w:r>
        <w:rPr>
          <w:rFonts w:asciiTheme="minorHAnsi" w:hAnsiTheme="minorHAnsi"/>
          <w:noProof/>
          <w:color w:val="000000" w:themeColor="text1"/>
          <w:sz w:val="22"/>
          <w:szCs w:val="22"/>
        </w:rPr>
        <w:t>(Thomas and others 2013)</w:t>
      </w:r>
      <w:r w:rsidRPr="00D8239B">
        <w:rPr>
          <w:rFonts w:asciiTheme="minorHAnsi" w:hAnsiTheme="minorHAnsi"/>
          <w:color w:val="000000" w:themeColor="text1"/>
          <w:sz w:val="22"/>
          <w:szCs w:val="22"/>
        </w:rPr>
        <w:t xml:space="preserve">. However, knowledge about the ability of a given chemical to modulate multiple targets by itself is not informative enough, as some of those chemical/target interactions may occur at very high tissue concentrations that are never reached in real-life exposures. Although cut-off potency values are often applied to prioritize the outcome of the </w:t>
      </w:r>
      <w:r w:rsidRPr="00D8239B">
        <w:rPr>
          <w:rFonts w:asciiTheme="minorHAnsi" w:hAnsiTheme="minorHAnsi"/>
          <w:i/>
          <w:color w:val="000000" w:themeColor="text1"/>
          <w:sz w:val="22"/>
          <w:szCs w:val="22"/>
        </w:rPr>
        <w:t>in vitro</w:t>
      </w:r>
      <w:r w:rsidRPr="00D8239B">
        <w:rPr>
          <w:rFonts w:asciiTheme="minorHAnsi" w:hAnsiTheme="minorHAnsi"/>
          <w:color w:val="000000" w:themeColor="text1"/>
          <w:sz w:val="22"/>
          <w:szCs w:val="22"/>
        </w:rPr>
        <w:t xml:space="preserve"> profiling, interpreting the biological relevance of the results, and the relevance to risk assessment remains challenging. If we consider each chemical/target interaction as the MIE of an AOP, assembling this information in AOP networks can offer a valuable opportunity to facilitate the interpretation of those complex data, and to identify potential nodes of convergence that may be particularly relevant to the safety assessment. </w:t>
      </w:r>
    </w:p>
    <w:p w14:paraId="0FE9C9A5" w14:textId="77777777" w:rsidR="00912CFC" w:rsidRPr="00D8239B" w:rsidRDefault="00912CFC" w:rsidP="00912CFC">
      <w:pPr>
        <w:spacing w:line="360" w:lineRule="auto"/>
        <w:jc w:val="both"/>
        <w:rPr>
          <w:rFonts w:asciiTheme="minorHAnsi" w:hAnsiTheme="minorHAnsi"/>
          <w:color w:val="000000" w:themeColor="text1"/>
          <w:sz w:val="22"/>
          <w:szCs w:val="22"/>
        </w:rPr>
      </w:pPr>
    </w:p>
    <w:p w14:paraId="16E97258" w14:textId="371AE14B" w:rsidR="00912CFC" w:rsidRPr="00D8239B" w:rsidRDefault="00912CFC" w:rsidP="00912CFC">
      <w:pPr>
        <w:spacing w:line="360" w:lineRule="auto"/>
        <w:jc w:val="both"/>
        <w:rPr>
          <w:rFonts w:asciiTheme="minorHAnsi" w:hAnsiTheme="minorHAnsi"/>
          <w:color w:val="000000" w:themeColor="text1"/>
          <w:sz w:val="22"/>
          <w:szCs w:val="22"/>
        </w:rPr>
      </w:pPr>
      <w:r w:rsidRPr="00D8239B">
        <w:rPr>
          <w:rFonts w:asciiTheme="minorHAnsi" w:hAnsiTheme="minorHAnsi"/>
          <w:color w:val="000000" w:themeColor="text1"/>
          <w:sz w:val="22"/>
          <w:szCs w:val="22"/>
        </w:rPr>
        <w:t xml:space="preserve">Here we provide an example of how AOP networks can be used to explore the polypharmacological profile of the pharmaceutical beclomethasone dipropionate (BDP), using the fathead minnow as the experimental model. The full details of this work have been described by </w:t>
      </w:r>
      <w:r>
        <w:rPr>
          <w:rFonts w:asciiTheme="minorHAnsi" w:hAnsiTheme="minorHAnsi"/>
          <w:noProof/>
          <w:color w:val="000000" w:themeColor="text1"/>
          <w:sz w:val="22"/>
          <w:szCs w:val="22"/>
        </w:rPr>
        <w:t xml:space="preserve">Margiotta-Casaluci and others </w:t>
      </w:r>
      <w:r w:rsidR="00A611C3">
        <w:rPr>
          <w:rFonts w:asciiTheme="minorHAnsi" w:hAnsiTheme="minorHAnsi"/>
          <w:noProof/>
          <w:color w:val="000000" w:themeColor="text1"/>
          <w:sz w:val="22"/>
          <w:szCs w:val="22"/>
        </w:rPr>
        <w:t>(</w:t>
      </w:r>
      <w:r>
        <w:rPr>
          <w:rFonts w:asciiTheme="minorHAnsi" w:hAnsiTheme="minorHAnsi"/>
          <w:noProof/>
          <w:color w:val="000000" w:themeColor="text1"/>
          <w:sz w:val="22"/>
          <w:szCs w:val="22"/>
        </w:rPr>
        <w:t>2016)</w:t>
      </w:r>
      <w:r w:rsidRPr="00D8239B">
        <w:rPr>
          <w:rFonts w:asciiTheme="minorHAnsi" w:hAnsiTheme="minorHAnsi"/>
          <w:color w:val="000000" w:themeColor="text1"/>
          <w:sz w:val="22"/>
          <w:szCs w:val="22"/>
        </w:rPr>
        <w:t xml:space="preserve">. The synthetic glucocorticoid BDP is a widely prescribed pro-drug that is rapidly metabolically activated in the body into the potent beclomethasone 17-monopropionate (17-BMP), driving therapeutic effects. 17-BMP is successively converted into free beclomethasone (BOH) and excreted. Thanks to its ability to modulate the glucocorticoid receptor (GR), BDP is used to treat numerous chronic inflammatory conditions, such as asthma. At the same time, the drug has the ability to modulate two other steroid receptors: the androgen receptor (AR) and the progesterone </w:t>
      </w:r>
      <w:r w:rsidRPr="00D8239B">
        <w:rPr>
          <w:rFonts w:asciiTheme="minorHAnsi" w:hAnsiTheme="minorHAnsi"/>
          <w:color w:val="000000" w:themeColor="text1"/>
          <w:sz w:val="22"/>
          <w:szCs w:val="22"/>
        </w:rPr>
        <w:lastRenderedPageBreak/>
        <w:t>receptor (PR). Considering the physiological importance of these three receptors as well as their toxicological relevance, existing pharmacological and toxicological data generated during drug development were used to identify the cascades of KEs likely to be triggered by the drug by organizing this information within an AOP network. Some of the KEs (e.g., inhibition of inflammatory cytokines, immunomodulation) are considered therapeutic in humans, but may become adverse in the context of environmental risk assessment. Other KEs, such as skin androgenization and increase of plasma glucose, can be considered adverse in both humans and fish.</w:t>
      </w:r>
    </w:p>
    <w:p w14:paraId="14D464AD" w14:textId="77777777" w:rsidR="00912CFC" w:rsidRPr="00D8239B" w:rsidRDefault="00912CFC" w:rsidP="00912CFC">
      <w:pPr>
        <w:spacing w:line="360" w:lineRule="auto"/>
        <w:jc w:val="both"/>
        <w:rPr>
          <w:rFonts w:asciiTheme="minorHAnsi" w:hAnsiTheme="minorHAnsi"/>
          <w:color w:val="000000" w:themeColor="text1"/>
          <w:sz w:val="22"/>
          <w:szCs w:val="22"/>
        </w:rPr>
      </w:pPr>
    </w:p>
    <w:p w14:paraId="3326F7FF" w14:textId="17E96B02" w:rsidR="00912CFC" w:rsidRPr="00D8239B" w:rsidRDefault="00912CFC" w:rsidP="00912CFC">
      <w:pPr>
        <w:spacing w:line="360" w:lineRule="auto"/>
        <w:jc w:val="both"/>
        <w:rPr>
          <w:rFonts w:asciiTheme="minorHAnsi" w:hAnsiTheme="minorHAnsi"/>
          <w:color w:val="000000" w:themeColor="text1"/>
          <w:sz w:val="22"/>
          <w:szCs w:val="22"/>
        </w:rPr>
      </w:pPr>
      <w:r w:rsidRPr="00D8239B">
        <w:rPr>
          <w:rFonts w:asciiTheme="minorHAnsi" w:hAnsiTheme="minorHAnsi"/>
          <w:color w:val="000000" w:themeColor="text1"/>
          <w:sz w:val="22"/>
          <w:szCs w:val="22"/>
          <w:highlight w:val="yellow"/>
        </w:rPr>
        <w:t xml:space="preserve">Supplementary Figure </w:t>
      </w:r>
      <w:r>
        <w:rPr>
          <w:rFonts w:asciiTheme="minorHAnsi" w:hAnsiTheme="minorHAnsi"/>
          <w:color w:val="000000" w:themeColor="text1"/>
          <w:sz w:val="22"/>
          <w:szCs w:val="22"/>
          <w:highlight w:val="yellow"/>
        </w:rPr>
        <w:t>S2</w:t>
      </w:r>
      <w:r w:rsidRPr="006E4089">
        <w:rPr>
          <w:rFonts w:asciiTheme="minorHAnsi" w:hAnsiTheme="minorHAnsi"/>
          <w:color w:val="000000" w:themeColor="text1"/>
          <w:sz w:val="22"/>
          <w:szCs w:val="22"/>
          <w:highlight w:val="yellow"/>
        </w:rPr>
        <w:t>A</w:t>
      </w:r>
      <w:r w:rsidRPr="00D8239B">
        <w:rPr>
          <w:rFonts w:asciiTheme="minorHAnsi" w:hAnsiTheme="minorHAnsi"/>
          <w:color w:val="000000" w:themeColor="text1"/>
          <w:sz w:val="22"/>
          <w:szCs w:val="22"/>
        </w:rPr>
        <w:t xml:space="preserve"> shows the integration of the AOP network considered by Margiotta-Casauci </w:t>
      </w:r>
      <w:r>
        <w:rPr>
          <w:rFonts w:asciiTheme="minorHAnsi" w:hAnsiTheme="minorHAnsi"/>
          <w:noProof/>
          <w:color w:val="000000" w:themeColor="text1"/>
          <w:sz w:val="22"/>
          <w:szCs w:val="22"/>
        </w:rPr>
        <w:t xml:space="preserve">and others </w:t>
      </w:r>
      <w:r w:rsidR="00A611C3">
        <w:rPr>
          <w:rFonts w:asciiTheme="minorHAnsi" w:hAnsiTheme="minorHAnsi"/>
          <w:noProof/>
          <w:color w:val="000000" w:themeColor="text1"/>
          <w:sz w:val="22"/>
          <w:szCs w:val="22"/>
        </w:rPr>
        <w:t>(</w:t>
      </w:r>
      <w:r>
        <w:rPr>
          <w:rFonts w:asciiTheme="minorHAnsi" w:hAnsiTheme="minorHAnsi"/>
          <w:noProof/>
          <w:color w:val="000000" w:themeColor="text1"/>
          <w:sz w:val="22"/>
          <w:szCs w:val="22"/>
        </w:rPr>
        <w:t>2016)</w:t>
      </w:r>
      <w:r w:rsidRPr="00D8239B">
        <w:rPr>
          <w:rFonts w:asciiTheme="minorHAnsi" w:hAnsiTheme="minorHAnsi"/>
          <w:color w:val="000000" w:themeColor="text1"/>
          <w:sz w:val="22"/>
          <w:szCs w:val="22"/>
        </w:rPr>
        <w:t xml:space="preserve"> with two existing AOPs identified in the AOP-Wiki (AOP 14 and AOP 23), which also describe cascades of events triggered in fish by GR and AR activation. The network visualization shows an interesting convergence of the network towards apical effects relevant to risk assessment. Specifically, the network enables us to hypothesize that increased levels of plasma glucose, immunodepression, androgenic effects, and disruption of hormonal feedbacks all contribute to reduce fish reproductive performance. Since 17-BMP acts as a GR, AR, and PR agonist with different potency, it was hypothesized that the different KEs of the network may occur at different drug plasma concentrations. To test this hypothesis, a theoretical network was used to identify a set of KEs that could be validated and quantified experimentally. These KEs, as well as plasma concentrations of BDP, 17-BMP and BOH, were measured in individual fish during and after an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chronic exposure to BDP (</w:t>
      </w:r>
      <w:r w:rsidRPr="00D8239B">
        <w:rPr>
          <w:rFonts w:asciiTheme="minorHAnsi" w:hAnsiTheme="minorHAnsi"/>
          <w:color w:val="000000" w:themeColor="text1"/>
          <w:sz w:val="22"/>
          <w:szCs w:val="22"/>
          <w:highlight w:val="yellow"/>
        </w:rPr>
        <w:t xml:space="preserve">Supplementary Figure </w:t>
      </w:r>
      <w:r>
        <w:rPr>
          <w:rFonts w:asciiTheme="minorHAnsi" w:hAnsiTheme="minorHAnsi"/>
          <w:color w:val="000000" w:themeColor="text1"/>
          <w:sz w:val="22"/>
          <w:szCs w:val="22"/>
          <w:highlight w:val="yellow"/>
        </w:rPr>
        <w:t>S2</w:t>
      </w:r>
      <w:r w:rsidRPr="006E4089">
        <w:rPr>
          <w:rFonts w:asciiTheme="minorHAnsi" w:hAnsiTheme="minorHAnsi"/>
          <w:color w:val="000000" w:themeColor="text1"/>
          <w:sz w:val="22"/>
          <w:szCs w:val="22"/>
          <w:highlight w:val="yellow"/>
        </w:rPr>
        <w:t>A</w:t>
      </w:r>
      <w:r w:rsidRPr="00D8239B">
        <w:rPr>
          <w:rFonts w:asciiTheme="minorHAnsi" w:hAnsiTheme="minorHAnsi"/>
          <w:color w:val="000000" w:themeColor="text1"/>
          <w:sz w:val="22"/>
          <w:szCs w:val="22"/>
        </w:rPr>
        <w:t>). These data were used to generate an experimental quantitative AOP network in which each KE is positioned along the axis of drug plasma concentration according to its plasma LOEC (</w:t>
      </w:r>
      <w:r w:rsidRPr="00D8239B">
        <w:rPr>
          <w:rFonts w:asciiTheme="minorHAnsi" w:hAnsiTheme="minorHAnsi"/>
          <w:color w:val="000000" w:themeColor="text1"/>
          <w:sz w:val="22"/>
          <w:szCs w:val="22"/>
          <w:highlight w:val="yellow"/>
        </w:rPr>
        <w:t xml:space="preserve">Supplementary Figure </w:t>
      </w:r>
      <w:r>
        <w:rPr>
          <w:rFonts w:asciiTheme="minorHAnsi" w:hAnsiTheme="minorHAnsi"/>
          <w:color w:val="000000" w:themeColor="text1"/>
          <w:sz w:val="22"/>
          <w:szCs w:val="22"/>
          <w:highlight w:val="yellow"/>
        </w:rPr>
        <w:t>S2</w:t>
      </w:r>
      <w:r w:rsidRPr="00F06E35">
        <w:rPr>
          <w:rFonts w:asciiTheme="minorHAnsi" w:hAnsiTheme="minorHAnsi"/>
          <w:color w:val="000000" w:themeColor="text1"/>
          <w:sz w:val="22"/>
          <w:szCs w:val="22"/>
          <w:highlight w:val="yellow"/>
        </w:rPr>
        <w:t>B</w:t>
      </w:r>
      <w:r w:rsidRPr="00D8239B">
        <w:rPr>
          <w:rFonts w:asciiTheme="minorHAnsi" w:hAnsiTheme="minorHAnsi"/>
          <w:color w:val="000000" w:themeColor="text1"/>
          <w:sz w:val="22"/>
          <w:szCs w:val="22"/>
        </w:rPr>
        <w:t xml:space="preserve">, </w:t>
      </w:r>
      <w:r>
        <w:rPr>
          <w:rFonts w:asciiTheme="minorHAnsi" w:hAnsiTheme="minorHAnsi"/>
          <w:noProof/>
          <w:color w:val="000000" w:themeColor="text1"/>
          <w:sz w:val="22"/>
          <w:szCs w:val="22"/>
        </w:rPr>
        <w:t>Margiotta-Casaluci and others 2016)</w:t>
      </w:r>
      <w:r w:rsidRPr="00D8239B">
        <w:rPr>
          <w:rFonts w:asciiTheme="minorHAnsi" w:hAnsiTheme="minorHAnsi"/>
          <w:color w:val="000000" w:themeColor="text1"/>
          <w:sz w:val="22"/>
          <w:szCs w:val="22"/>
        </w:rPr>
        <w:t xml:space="preserve">. </w:t>
      </w:r>
    </w:p>
    <w:p w14:paraId="7904BF7C" w14:textId="77777777" w:rsidR="00912CFC" w:rsidRPr="00D8239B" w:rsidRDefault="00912CFC" w:rsidP="00912CFC">
      <w:pPr>
        <w:spacing w:line="360" w:lineRule="auto"/>
        <w:jc w:val="both"/>
        <w:rPr>
          <w:rFonts w:asciiTheme="minorHAnsi" w:hAnsiTheme="minorHAnsi"/>
          <w:color w:val="000000" w:themeColor="text1"/>
          <w:sz w:val="22"/>
          <w:szCs w:val="22"/>
        </w:rPr>
      </w:pPr>
    </w:p>
    <w:p w14:paraId="4632EDAF" w14:textId="77777777" w:rsidR="00912CFC" w:rsidRDefault="00912CFC" w:rsidP="00912CFC">
      <w:pPr>
        <w:spacing w:line="360" w:lineRule="auto"/>
        <w:jc w:val="both"/>
        <w:rPr>
          <w:rFonts w:asciiTheme="minorHAnsi" w:hAnsiTheme="minorHAnsi"/>
          <w:sz w:val="22"/>
          <w:szCs w:val="22"/>
        </w:rPr>
      </w:pPr>
      <w:r w:rsidRPr="00D8239B">
        <w:rPr>
          <w:rFonts w:asciiTheme="minorHAnsi" w:hAnsiTheme="minorHAnsi"/>
          <w:color w:val="000000" w:themeColor="text1"/>
          <w:sz w:val="22"/>
          <w:szCs w:val="22"/>
        </w:rPr>
        <w:t xml:space="preserve">This quantitative AOP network provided evidence that the polypharmacology profile of the BDP was indeed critically important to interpret and predict the toxicological profile of the drug. As expected, different KEs (e.g., decreased fecundity) were observed at higher plasma concentrations, whereas </w:t>
      </w:r>
      <w:r w:rsidRPr="00D01E1D">
        <w:rPr>
          <w:rFonts w:asciiTheme="minorHAnsi" w:hAnsiTheme="minorHAnsi"/>
          <w:color w:val="000000" w:themeColor="text1"/>
          <w:sz w:val="22"/>
          <w:szCs w:val="22"/>
          <w:highlight w:val="yellow"/>
        </w:rPr>
        <w:t>immunomodulation was</w:t>
      </w:r>
      <w:r w:rsidRPr="00D8239B">
        <w:rPr>
          <w:rFonts w:asciiTheme="minorHAnsi" w:hAnsiTheme="minorHAnsi"/>
          <w:color w:val="000000" w:themeColor="text1"/>
          <w:sz w:val="22"/>
          <w:szCs w:val="22"/>
        </w:rPr>
        <w:t xml:space="preserve"> particularly sensitive to exposure dynamics and, in conditions of chronic sustained exposure, occurred at concentrations lower than those predicted </w:t>
      </w:r>
      <w:r>
        <w:rPr>
          <w:rFonts w:asciiTheme="minorHAnsi" w:hAnsiTheme="minorHAnsi"/>
          <w:noProof/>
          <w:color w:val="000000" w:themeColor="text1"/>
          <w:sz w:val="22"/>
          <w:szCs w:val="22"/>
        </w:rPr>
        <w:t>(Margiotta-Casaluci and others 2016)</w:t>
      </w:r>
      <w:r w:rsidRPr="00D8239B">
        <w:rPr>
          <w:rFonts w:asciiTheme="minorHAnsi" w:hAnsiTheme="minorHAnsi"/>
          <w:color w:val="000000" w:themeColor="text1"/>
          <w:sz w:val="22"/>
          <w:szCs w:val="22"/>
        </w:rPr>
        <w:t xml:space="preserve">. Anchoring each KE to the chronic plasma LOEC provides a valuable tool to guide the future environmental risk assessment of other synthetic glucocorticoids, while minimizing the number of animals used. Finally, this case study illustrates how the development and application of an AOP network enables the design of tailored </w:t>
      </w:r>
      <w:r w:rsidRPr="00D8239B">
        <w:rPr>
          <w:rFonts w:asciiTheme="minorHAnsi" w:hAnsiTheme="minorHAnsi"/>
          <w:i/>
          <w:color w:val="000000" w:themeColor="text1"/>
          <w:sz w:val="22"/>
          <w:szCs w:val="22"/>
        </w:rPr>
        <w:t>in vivo</w:t>
      </w:r>
      <w:r w:rsidRPr="00D8239B">
        <w:rPr>
          <w:rFonts w:asciiTheme="minorHAnsi" w:hAnsiTheme="minorHAnsi"/>
          <w:color w:val="000000" w:themeColor="text1"/>
          <w:sz w:val="22"/>
          <w:szCs w:val="22"/>
        </w:rPr>
        <w:t xml:space="preserve"> studies. In this specific study, all except two of the </w:t>
      </w:r>
      <w:r w:rsidRPr="00F93D79">
        <w:rPr>
          <w:rFonts w:asciiTheme="minorHAnsi" w:hAnsiTheme="minorHAnsi"/>
          <w:color w:val="000000" w:themeColor="text1"/>
          <w:sz w:val="22"/>
          <w:szCs w:val="22"/>
          <w:highlight w:val="yellow"/>
        </w:rPr>
        <w:t>12</w:t>
      </w:r>
      <w:r>
        <w:rPr>
          <w:rFonts w:asciiTheme="minorHAnsi" w:hAnsiTheme="minorHAnsi"/>
          <w:color w:val="000000" w:themeColor="text1"/>
          <w:sz w:val="22"/>
          <w:szCs w:val="22"/>
        </w:rPr>
        <w:t xml:space="preserve"> </w:t>
      </w:r>
      <w:r w:rsidRPr="00D8239B">
        <w:rPr>
          <w:rFonts w:asciiTheme="minorHAnsi" w:hAnsiTheme="minorHAnsi"/>
          <w:color w:val="000000" w:themeColor="text1"/>
          <w:sz w:val="22"/>
          <w:szCs w:val="22"/>
        </w:rPr>
        <w:t xml:space="preserve">measured endpoints displayed concentration-dependent responses </w:t>
      </w:r>
      <w:r>
        <w:rPr>
          <w:rFonts w:asciiTheme="minorHAnsi" w:hAnsiTheme="minorHAnsi"/>
          <w:noProof/>
          <w:color w:val="000000" w:themeColor="text1"/>
          <w:sz w:val="22"/>
          <w:szCs w:val="22"/>
        </w:rPr>
        <w:t xml:space="preserve">(Margiotta-Casaluci and </w:t>
      </w:r>
      <w:r>
        <w:rPr>
          <w:rFonts w:asciiTheme="minorHAnsi" w:hAnsiTheme="minorHAnsi"/>
          <w:noProof/>
          <w:color w:val="000000" w:themeColor="text1"/>
          <w:sz w:val="22"/>
          <w:szCs w:val="22"/>
        </w:rPr>
        <w:lastRenderedPageBreak/>
        <w:t>others 2016)</w:t>
      </w:r>
      <w:r w:rsidRPr="00D8239B">
        <w:rPr>
          <w:rFonts w:asciiTheme="minorHAnsi" w:hAnsiTheme="minorHAnsi"/>
          <w:color w:val="000000" w:themeColor="text1"/>
          <w:sz w:val="22"/>
          <w:szCs w:val="22"/>
        </w:rPr>
        <w:t>. This high accuracy highlights the great potential of such an approach to inform the development of IATAs.</w:t>
      </w:r>
    </w:p>
    <w:p w14:paraId="2AD5334F" w14:textId="39AA86F4" w:rsidR="00912CFC" w:rsidRDefault="00912CFC" w:rsidP="00912CFC">
      <w:pPr>
        <w:jc w:val="center"/>
        <w:rPr>
          <w:sz w:val="22"/>
          <w:szCs w:val="22"/>
        </w:rPr>
      </w:pPr>
      <w:r>
        <w:rPr>
          <w:noProof/>
          <w:sz w:val="22"/>
          <w:szCs w:val="22"/>
        </w:rPr>
        <w:drawing>
          <wp:inline distT="0" distB="0" distL="0" distR="0" wp14:anchorId="5E0823A4" wp14:editId="1CE384A6">
            <wp:extent cx="5102114" cy="8009164"/>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6132" cy="8015472"/>
                    </a:xfrm>
                    <a:prstGeom prst="rect">
                      <a:avLst/>
                    </a:prstGeom>
                  </pic:spPr>
                </pic:pic>
              </a:graphicData>
            </a:graphic>
          </wp:inline>
        </w:drawing>
      </w:r>
    </w:p>
    <w:p w14:paraId="501E2448" w14:textId="37DCB639" w:rsidR="00912CFC" w:rsidRPr="0082651C" w:rsidRDefault="00912CFC" w:rsidP="00912CFC">
      <w:pPr>
        <w:spacing w:line="360" w:lineRule="auto"/>
        <w:jc w:val="both"/>
        <w:rPr>
          <w:sz w:val="22"/>
          <w:szCs w:val="22"/>
        </w:rPr>
      </w:pPr>
      <w:r w:rsidRPr="0082651C">
        <w:rPr>
          <w:rFonts w:asciiTheme="minorHAnsi" w:hAnsiTheme="minorHAnsi"/>
          <w:color w:val="000000" w:themeColor="text1"/>
          <w:sz w:val="22"/>
          <w:szCs w:val="22"/>
          <w:highlight w:val="yellow"/>
        </w:rPr>
        <w:t>Figure S2</w:t>
      </w:r>
      <w:r w:rsidRPr="0082651C">
        <w:rPr>
          <w:rFonts w:asciiTheme="minorHAnsi" w:hAnsiTheme="minorHAnsi"/>
          <w:color w:val="000000" w:themeColor="text1"/>
          <w:sz w:val="22"/>
          <w:szCs w:val="22"/>
        </w:rPr>
        <w:t xml:space="preserve">. AOP network based on the polypharmacology of the synthetic glucocorticoid </w:t>
      </w:r>
      <w:r w:rsidRPr="0082651C">
        <w:rPr>
          <w:rFonts w:asciiTheme="minorHAnsi" w:hAnsiTheme="minorHAnsi"/>
          <w:color w:val="000000" w:themeColor="text1"/>
          <w:sz w:val="22"/>
          <w:szCs w:val="22"/>
        </w:rPr>
        <w:lastRenderedPageBreak/>
        <w:t>b</w:t>
      </w:r>
      <w:r w:rsidR="00565B11">
        <w:rPr>
          <w:rFonts w:asciiTheme="minorHAnsi" w:hAnsiTheme="minorHAnsi"/>
          <w:color w:val="000000" w:themeColor="text1"/>
          <w:sz w:val="22"/>
          <w:szCs w:val="22"/>
        </w:rPr>
        <w:t xml:space="preserve">eclomethasone dipropionate (BDP, </w:t>
      </w:r>
      <w:r>
        <w:rPr>
          <w:rFonts w:asciiTheme="minorHAnsi" w:hAnsiTheme="minorHAnsi"/>
          <w:noProof/>
          <w:color w:val="000000" w:themeColor="text1"/>
          <w:sz w:val="22"/>
          <w:szCs w:val="22"/>
        </w:rPr>
        <w:t>Margiotta-Casaluci and others 2016)</w:t>
      </w:r>
      <w:r w:rsidRPr="0082651C">
        <w:rPr>
          <w:rFonts w:asciiTheme="minorHAnsi" w:hAnsiTheme="minorHAnsi"/>
          <w:color w:val="000000" w:themeColor="text1"/>
          <w:sz w:val="22"/>
          <w:szCs w:val="22"/>
        </w:rPr>
        <w:t>. (A) Theoretical AOP network displaying the cascade of effects triggered by the simultaneous modulation of three drug targets (GR</w:t>
      </w:r>
      <w:r>
        <w:rPr>
          <w:rFonts w:asciiTheme="minorHAnsi" w:hAnsiTheme="minorHAnsi"/>
          <w:color w:val="000000" w:themeColor="text1"/>
          <w:sz w:val="22"/>
          <w:szCs w:val="22"/>
        </w:rPr>
        <w:t xml:space="preserve">, </w:t>
      </w:r>
      <w:r w:rsidRPr="0082651C">
        <w:rPr>
          <w:rFonts w:asciiTheme="minorHAnsi" w:hAnsiTheme="minorHAnsi"/>
          <w:color w:val="000000" w:themeColor="text1"/>
          <w:sz w:val="22"/>
          <w:szCs w:val="22"/>
        </w:rPr>
        <w:t>AR</w:t>
      </w:r>
      <w:r>
        <w:rPr>
          <w:rFonts w:asciiTheme="minorHAnsi" w:hAnsiTheme="minorHAnsi"/>
          <w:color w:val="000000" w:themeColor="text1"/>
          <w:sz w:val="22"/>
          <w:szCs w:val="22"/>
        </w:rPr>
        <w:t xml:space="preserve">, </w:t>
      </w:r>
      <w:r w:rsidRPr="0082651C">
        <w:rPr>
          <w:rFonts w:asciiTheme="minorHAnsi" w:hAnsiTheme="minorHAnsi"/>
          <w:color w:val="000000" w:themeColor="text1"/>
          <w:sz w:val="22"/>
          <w:szCs w:val="22"/>
        </w:rPr>
        <w:t xml:space="preserve">PR). Note the convergence towards the AO “Reduced fecundity and spawning”. (B) Experimental validation of the AOP network and establishment of concentration-dependent manifestation of the </w:t>
      </w:r>
      <w:r w:rsidRPr="00FC4BAB">
        <w:rPr>
          <w:rFonts w:asciiTheme="minorHAnsi" w:hAnsiTheme="minorHAnsi"/>
          <w:color w:val="000000" w:themeColor="text1"/>
          <w:sz w:val="22"/>
          <w:szCs w:val="22"/>
          <w:highlight w:val="yellow"/>
        </w:rPr>
        <w:t>key events</w:t>
      </w:r>
      <w:r w:rsidRPr="0082651C">
        <w:rPr>
          <w:rFonts w:asciiTheme="minorHAnsi" w:hAnsiTheme="minorHAnsi"/>
          <w:color w:val="000000" w:themeColor="text1"/>
          <w:sz w:val="22"/>
          <w:szCs w:val="22"/>
        </w:rPr>
        <w:t>. This network portra</w:t>
      </w:r>
      <w:r>
        <w:rPr>
          <w:rFonts w:asciiTheme="minorHAnsi" w:hAnsiTheme="minorHAnsi"/>
          <w:color w:val="000000" w:themeColor="text1"/>
          <w:sz w:val="22"/>
          <w:szCs w:val="22"/>
        </w:rPr>
        <w:t>y</w:t>
      </w:r>
      <w:r w:rsidRPr="0082651C">
        <w:rPr>
          <w:rFonts w:asciiTheme="minorHAnsi" w:hAnsiTheme="minorHAnsi"/>
          <w:color w:val="000000" w:themeColor="text1"/>
          <w:sz w:val="22"/>
          <w:szCs w:val="22"/>
        </w:rPr>
        <w:t xml:space="preserve">s the link between the potency of 17-BMP (the active metabolite of BDP) to modulate GR, AR and PR (expressed as </w:t>
      </w:r>
      <w:r w:rsidRPr="0082651C">
        <w:rPr>
          <w:rFonts w:asciiTheme="minorHAnsi" w:hAnsiTheme="minorHAnsi"/>
          <w:i/>
          <w:color w:val="000000" w:themeColor="text1"/>
          <w:sz w:val="22"/>
          <w:szCs w:val="22"/>
        </w:rPr>
        <w:t>in vitro</w:t>
      </w:r>
      <w:r w:rsidRPr="0082651C">
        <w:rPr>
          <w:rFonts w:asciiTheme="minorHAnsi" w:hAnsiTheme="minorHAnsi"/>
          <w:color w:val="000000" w:themeColor="text1"/>
          <w:sz w:val="22"/>
          <w:szCs w:val="22"/>
        </w:rPr>
        <w:t xml:space="preserve"> EC50), and the </w:t>
      </w:r>
      <w:r w:rsidRPr="0082651C">
        <w:rPr>
          <w:rFonts w:asciiTheme="minorHAnsi" w:hAnsiTheme="minorHAnsi"/>
          <w:i/>
          <w:color w:val="000000" w:themeColor="text1"/>
          <w:sz w:val="22"/>
          <w:szCs w:val="22"/>
        </w:rPr>
        <w:t>in vivo</w:t>
      </w:r>
      <w:r w:rsidRPr="0082651C">
        <w:rPr>
          <w:rFonts w:asciiTheme="minorHAnsi" w:hAnsiTheme="minorHAnsi"/>
          <w:color w:val="000000" w:themeColor="text1"/>
          <w:sz w:val="22"/>
          <w:szCs w:val="22"/>
        </w:rPr>
        <w:t xml:space="preserve"> mode-of-action related effects observed at different levels of biological organisation. Each box is plotted against the lowest average drug plasma concentration at which the effect was observed. Full lines indicate known cause-effect linkages, whereas dashed lines indicate hypothesised linkages or linkages for which the direction of the response is difficult to predict or generalise.</w:t>
      </w:r>
      <w:r>
        <w:rPr>
          <w:rFonts w:asciiTheme="minorHAnsi" w:hAnsiTheme="minorHAnsi"/>
          <w:color w:val="000000" w:themeColor="text1"/>
          <w:sz w:val="22"/>
          <w:szCs w:val="22"/>
        </w:rPr>
        <w:t xml:space="preserve"> </w:t>
      </w:r>
      <w:r w:rsidRPr="000D6BBC">
        <w:rPr>
          <w:rFonts w:asciiTheme="minorHAnsi" w:hAnsiTheme="minorHAnsi"/>
          <w:color w:val="000000" w:themeColor="text1"/>
          <w:sz w:val="22"/>
          <w:szCs w:val="22"/>
          <w:highlight w:val="yellow"/>
        </w:rPr>
        <w:t xml:space="preserve">T: testosterone, E2: estradiol, VTG: vitellogenin, AR: androgen receptor, SSCs: secondary sexual characteristics, PR: progesterone receptor, GR: glucocorticoid receptor, </w:t>
      </w:r>
      <w:r>
        <w:rPr>
          <w:rFonts w:asciiTheme="minorHAnsi" w:hAnsiTheme="minorHAnsi"/>
          <w:color w:val="000000" w:themeColor="text1"/>
          <w:sz w:val="22"/>
          <w:szCs w:val="22"/>
          <w:highlight w:val="yellow"/>
        </w:rPr>
        <w:t>N</w:t>
      </w:r>
      <w:r w:rsidRPr="000D6BBC">
        <w:rPr>
          <w:rFonts w:asciiTheme="minorHAnsi" w:hAnsiTheme="minorHAnsi"/>
          <w:color w:val="000000" w:themeColor="text1"/>
          <w:sz w:val="22"/>
          <w:szCs w:val="22"/>
          <w:highlight w:val="yellow"/>
        </w:rPr>
        <w:t xml:space="preserve">F-KB: </w:t>
      </w:r>
      <w:r>
        <w:rPr>
          <w:rFonts w:asciiTheme="minorHAnsi" w:hAnsiTheme="minorHAnsi"/>
          <w:color w:val="000000" w:themeColor="text1"/>
          <w:sz w:val="22"/>
          <w:szCs w:val="22"/>
          <w:highlight w:val="yellow"/>
        </w:rPr>
        <w:t>nuclear factor kappa-light-chain-enhancer of activated B cells</w:t>
      </w:r>
      <w:r w:rsidRPr="000D6BBC">
        <w:rPr>
          <w:rFonts w:asciiTheme="minorHAnsi" w:hAnsiTheme="minorHAnsi"/>
          <w:color w:val="000000" w:themeColor="text1"/>
          <w:sz w:val="22"/>
          <w:szCs w:val="22"/>
          <w:highlight w:val="yellow"/>
        </w:rPr>
        <w:t xml:space="preserve">, IKB: </w:t>
      </w:r>
      <w:r>
        <w:rPr>
          <w:rFonts w:asciiTheme="minorHAnsi" w:hAnsiTheme="minorHAnsi"/>
          <w:color w:val="000000" w:themeColor="text1"/>
          <w:sz w:val="22"/>
          <w:szCs w:val="22"/>
          <w:highlight w:val="yellow"/>
        </w:rPr>
        <w:t>inhibitor of kappa B</w:t>
      </w:r>
      <w:r w:rsidRPr="000D6BBC">
        <w:rPr>
          <w:rFonts w:asciiTheme="minorHAnsi" w:hAnsiTheme="minorHAnsi"/>
          <w:color w:val="000000" w:themeColor="text1"/>
          <w:sz w:val="22"/>
          <w:szCs w:val="22"/>
          <w:highlight w:val="yellow"/>
        </w:rPr>
        <w:t xml:space="preserve">, PEPCK: </w:t>
      </w:r>
      <w:r>
        <w:rPr>
          <w:rFonts w:asciiTheme="minorHAnsi" w:hAnsiTheme="minorHAnsi"/>
          <w:color w:val="000000" w:themeColor="text1"/>
          <w:sz w:val="22"/>
          <w:szCs w:val="22"/>
          <w:highlight w:val="yellow"/>
        </w:rPr>
        <w:t>phosphoenolpyruvate carboxykinase</w:t>
      </w:r>
      <w:r w:rsidRPr="000D6BBC">
        <w:rPr>
          <w:rFonts w:asciiTheme="minorHAnsi" w:hAnsiTheme="minorHAnsi"/>
          <w:color w:val="000000" w:themeColor="text1"/>
          <w:sz w:val="22"/>
          <w:szCs w:val="22"/>
          <w:highlight w:val="yellow"/>
        </w:rPr>
        <w:t>, HSI: hepatosomatic index.</w:t>
      </w:r>
    </w:p>
    <w:p w14:paraId="2F62BC0B" w14:textId="77777777" w:rsidR="00912CFC" w:rsidRDefault="00912CFC" w:rsidP="00912CFC">
      <w:pPr>
        <w:rPr>
          <w:rFonts w:asciiTheme="minorHAnsi" w:hAnsiTheme="minorHAnsi"/>
          <w:b/>
          <w:sz w:val="22"/>
          <w:szCs w:val="22"/>
        </w:rPr>
      </w:pPr>
      <w:r>
        <w:rPr>
          <w:rFonts w:asciiTheme="minorHAnsi" w:hAnsiTheme="minorHAnsi"/>
          <w:b/>
          <w:sz w:val="22"/>
          <w:szCs w:val="22"/>
        </w:rPr>
        <w:br w:type="page"/>
      </w:r>
    </w:p>
    <w:p w14:paraId="79D4BC52" w14:textId="77777777" w:rsidR="00912CFC" w:rsidRPr="004C5826" w:rsidRDefault="00912CFC" w:rsidP="00301C39">
      <w:pPr>
        <w:spacing w:line="360" w:lineRule="auto"/>
        <w:rPr>
          <w:rFonts w:asciiTheme="minorHAnsi" w:hAnsiTheme="minorHAnsi"/>
          <w:b/>
          <w:sz w:val="22"/>
          <w:szCs w:val="22"/>
        </w:rPr>
      </w:pPr>
      <w:r w:rsidRPr="004C5826">
        <w:rPr>
          <w:rFonts w:asciiTheme="minorHAnsi" w:hAnsiTheme="minorHAnsi"/>
          <w:b/>
          <w:sz w:val="22"/>
          <w:szCs w:val="22"/>
        </w:rPr>
        <w:lastRenderedPageBreak/>
        <w:t>References</w:t>
      </w:r>
    </w:p>
    <w:p w14:paraId="71499D2F" w14:textId="77777777" w:rsidR="00912CFC" w:rsidRDefault="00912CFC" w:rsidP="00301C39">
      <w:pPr>
        <w:spacing w:line="360" w:lineRule="auto"/>
        <w:jc w:val="both"/>
        <w:rPr>
          <w:rFonts w:asciiTheme="minorHAnsi" w:hAnsiTheme="minorHAnsi"/>
          <w:sz w:val="22"/>
          <w:szCs w:val="22"/>
        </w:rPr>
      </w:pPr>
    </w:p>
    <w:p w14:paraId="301FF69B" w14:textId="173FD283" w:rsidR="00912CFC" w:rsidRPr="00784F1B" w:rsidRDefault="00912CFC" w:rsidP="00301C39">
      <w:pPr>
        <w:pStyle w:val="EndNoteBibliography"/>
        <w:spacing w:line="360" w:lineRule="auto"/>
        <w:ind w:left="720" w:hanging="720"/>
        <w:rPr>
          <w:noProof/>
        </w:rPr>
      </w:pPr>
      <w:r w:rsidRPr="00784F1B">
        <w:rPr>
          <w:noProof/>
        </w:rPr>
        <w:t>Bradley PM, Journey CA, Romanok KM, Barber LB, Buxton HT, Foreman WT, Furlong ET, Glassmeyer ST, Hladik ML, Iwanowicz LR</w:t>
      </w:r>
      <w:r w:rsidR="00E03DF7">
        <w:rPr>
          <w:noProof/>
        </w:rPr>
        <w:t>,</w:t>
      </w:r>
      <w:r w:rsidRPr="00784F1B">
        <w:rPr>
          <w:noProof/>
        </w:rPr>
        <w:t xml:space="preserve"> </w:t>
      </w:r>
      <w:r w:rsidR="00E03DF7">
        <w:rPr>
          <w:noProof/>
        </w:rPr>
        <w:t>Jones DK, Kolpin DW, Kuivila KM, Loftin KA, Mills MA, Meyer MT, Orlando JL, Reilly TJ, Smalling KL</w:t>
      </w:r>
      <w:r w:rsidR="00E03DF7" w:rsidRPr="00E03DF7">
        <w:rPr>
          <w:noProof/>
        </w:rPr>
        <w:t>, Villeneuve DL</w:t>
      </w:r>
      <w:r w:rsidRPr="00784F1B">
        <w:rPr>
          <w:noProof/>
        </w:rPr>
        <w:t xml:space="preserve">. 2017. Expanded Target-Chemical Analysis Reveals Extensive Mixed-Organic-Contaminant Exposure in U.S. Streams. </w:t>
      </w:r>
      <w:r w:rsidR="00E03DF7" w:rsidRPr="00E03DF7">
        <w:rPr>
          <w:noProof/>
        </w:rPr>
        <w:t>Environ Sci Technol</w:t>
      </w:r>
      <w:r w:rsidRPr="00784F1B">
        <w:rPr>
          <w:noProof/>
        </w:rPr>
        <w:t xml:space="preserve"> 51(9):4792-4802.</w:t>
      </w:r>
    </w:p>
    <w:p w14:paraId="55446CC0" w14:textId="40C102F7" w:rsidR="00912CFC" w:rsidRPr="00784F1B" w:rsidRDefault="00912CFC" w:rsidP="00301C39">
      <w:pPr>
        <w:pStyle w:val="EndNoteBibliography"/>
        <w:spacing w:line="360" w:lineRule="auto"/>
        <w:ind w:left="720" w:hanging="720"/>
        <w:rPr>
          <w:noProof/>
        </w:rPr>
      </w:pPr>
      <w:r w:rsidRPr="00784F1B">
        <w:rPr>
          <w:noProof/>
        </w:rPr>
        <w:t>Ekman DR, Ankley GT, Blazer VS, Collette TW, Garcia-Reyero N, Iwanowicz LR, Jorgenson ZG, Lee KE, Mazik PM, Miller DH</w:t>
      </w:r>
      <w:r w:rsidR="00941D03">
        <w:rPr>
          <w:noProof/>
        </w:rPr>
        <w:t xml:space="preserve">, </w:t>
      </w:r>
      <w:r w:rsidR="00941D03" w:rsidRPr="00941D03">
        <w:rPr>
          <w:noProof/>
        </w:rPr>
        <w:t>Perkins EJ, Smith ET, Tietge JE, Villeneuve DL</w:t>
      </w:r>
      <w:r w:rsidRPr="00784F1B">
        <w:rPr>
          <w:noProof/>
        </w:rPr>
        <w:t>. 2014. Biological Effects–Based Tools for Monitoring Impacted Surface Waters in the Great Lakes: A Multiagency Program in Support of the Great Lakes Restoration Initiative. Environmental Practice 15(4):409-426.</w:t>
      </w:r>
    </w:p>
    <w:p w14:paraId="3D0CF6CA" w14:textId="77777777" w:rsidR="00912CFC" w:rsidRPr="00784F1B" w:rsidRDefault="00912CFC" w:rsidP="00301C39">
      <w:pPr>
        <w:pStyle w:val="EndNoteBibliography"/>
        <w:spacing w:line="360" w:lineRule="auto"/>
        <w:ind w:left="720" w:hanging="720"/>
        <w:rPr>
          <w:noProof/>
        </w:rPr>
      </w:pPr>
      <w:r w:rsidRPr="00784F1B">
        <w:rPr>
          <w:noProof/>
        </w:rPr>
        <w:t>Filer DL, Kothiya P, Setzer RW, Judson RS, Martin MT. 2017. tcpl: the ToxCast pipeline for high-throughput screening data. Bioinformatics 33(4):618-620.</w:t>
      </w:r>
    </w:p>
    <w:p w14:paraId="35647295" w14:textId="77777777" w:rsidR="00912CFC" w:rsidRPr="00784F1B" w:rsidRDefault="00912CFC" w:rsidP="00301C39">
      <w:pPr>
        <w:pStyle w:val="EndNoteBibliography"/>
        <w:spacing w:line="360" w:lineRule="auto"/>
        <w:ind w:left="720" w:hanging="720"/>
        <w:rPr>
          <w:noProof/>
        </w:rPr>
      </w:pPr>
      <w:r w:rsidRPr="00784F1B">
        <w:rPr>
          <w:noProof/>
        </w:rPr>
        <w:t>Hamon J, Whitebread S, Techer-Etienne V, Le Coq H, Azzaoui K, Urban L. 2009. In vitro safety pharmacology profiling: what else beyond hERG? Future Med Chem 1(4):645-65.</w:t>
      </w:r>
    </w:p>
    <w:p w14:paraId="698C97BE" w14:textId="04D1A62F" w:rsidR="00912CFC" w:rsidRPr="00784F1B" w:rsidRDefault="00912CFC" w:rsidP="00301C39">
      <w:pPr>
        <w:pStyle w:val="EndNoteBibliography"/>
        <w:spacing w:line="360" w:lineRule="auto"/>
        <w:ind w:left="720" w:hanging="720"/>
        <w:rPr>
          <w:noProof/>
        </w:rPr>
      </w:pPr>
      <w:r w:rsidRPr="00784F1B">
        <w:rPr>
          <w:noProof/>
        </w:rPr>
        <w:t xml:space="preserve">Lounkine E, Keiser MJ, Whitebread S, Mikhailov D, Hamon J, Jenkins JL, Lavan P, Weber E, Doak AK, Cote S </w:t>
      </w:r>
      <w:r w:rsidR="00923906" w:rsidRPr="00923906">
        <w:rPr>
          <w:noProof/>
        </w:rPr>
        <w:t>Shoichet BK, Urban L.</w:t>
      </w:r>
      <w:r w:rsidRPr="00784F1B">
        <w:rPr>
          <w:noProof/>
        </w:rPr>
        <w:t xml:space="preserve"> 2012. Large-scale prediction and testing of drug activity on side-effect targets. Nature 486(7403):361-7.</w:t>
      </w:r>
    </w:p>
    <w:p w14:paraId="51A63727" w14:textId="76FC21C3" w:rsidR="00912CFC" w:rsidRPr="00784F1B" w:rsidRDefault="00F132B1" w:rsidP="00301C39">
      <w:pPr>
        <w:pStyle w:val="EndNoteBibliography"/>
        <w:spacing w:line="360" w:lineRule="auto"/>
        <w:ind w:left="720" w:hanging="720"/>
        <w:rPr>
          <w:noProof/>
        </w:rPr>
      </w:pPr>
      <w:r w:rsidRPr="00D23F77">
        <w:rPr>
          <w:noProof/>
        </w:rPr>
        <w:t>Margiotta-Casaluci L, Owen SF, Huerta B, Rodriguez-Mozaz S, Kugathas S, Barcelo D, Rand-Weaver M, Sumpter JP. 2016. Internal exposure dynamics drive the Adverse Outcome Pathways of synthetic glucocorticoids in fish. Sci Rep</w:t>
      </w:r>
      <w:r>
        <w:rPr>
          <w:noProof/>
        </w:rPr>
        <w:t xml:space="preserve"> 6:</w:t>
      </w:r>
      <w:r w:rsidRPr="003D5D09">
        <w:t xml:space="preserve"> </w:t>
      </w:r>
      <w:r w:rsidRPr="003D5D09">
        <w:rPr>
          <w:noProof/>
        </w:rPr>
        <w:t>6:21978</w:t>
      </w:r>
      <w:r>
        <w:rPr>
          <w:noProof/>
        </w:rPr>
        <w:t>.</w:t>
      </w:r>
    </w:p>
    <w:p w14:paraId="709EB8EB" w14:textId="3E225F28" w:rsidR="00912CFC" w:rsidRPr="00784F1B" w:rsidRDefault="00912CFC" w:rsidP="00301C39">
      <w:pPr>
        <w:pStyle w:val="EndNoteBibliography"/>
        <w:spacing w:line="360" w:lineRule="auto"/>
        <w:ind w:left="720" w:hanging="720"/>
        <w:rPr>
          <w:noProof/>
        </w:rPr>
      </w:pPr>
      <w:r w:rsidRPr="00784F1B">
        <w:rPr>
          <w:noProof/>
        </w:rPr>
        <w:t>Martin MT, Dix DJ, Judson RS, Kavlock RJ, Reif DM, Richard AM, Rotroff DM, Romanov S, Medvedev A, Poltoratskaya N</w:t>
      </w:r>
      <w:r w:rsidR="00F132B1">
        <w:rPr>
          <w:noProof/>
        </w:rPr>
        <w:t>,</w:t>
      </w:r>
      <w:r w:rsidRPr="00784F1B">
        <w:rPr>
          <w:noProof/>
        </w:rPr>
        <w:t xml:space="preserve"> </w:t>
      </w:r>
      <w:r w:rsidR="00F132B1" w:rsidRPr="00F132B1">
        <w:rPr>
          <w:noProof/>
        </w:rPr>
        <w:t>Gambarian M, Moeser M, Makarov SS, Houck KA</w:t>
      </w:r>
      <w:r w:rsidRPr="00784F1B">
        <w:rPr>
          <w:noProof/>
        </w:rPr>
        <w:t>. 2010. Impact of environmental chemicals on key transcription regulators and correlation to toxicity end points within EPA's ToxCast program. Chem Res Toxicol 23(3):578-90.</w:t>
      </w:r>
    </w:p>
    <w:p w14:paraId="142902D7" w14:textId="0F98E475" w:rsidR="00912CFC" w:rsidRPr="00784F1B" w:rsidRDefault="00912CFC" w:rsidP="00301C39">
      <w:pPr>
        <w:pStyle w:val="EndNoteBibliography"/>
        <w:spacing w:line="360" w:lineRule="auto"/>
        <w:ind w:left="720" w:hanging="720"/>
        <w:rPr>
          <w:noProof/>
        </w:rPr>
      </w:pPr>
      <w:r w:rsidRPr="00784F1B">
        <w:rPr>
          <w:noProof/>
        </w:rPr>
        <w:t>Matthews J, Gustafsson J. 2006. Estrogen receptor and aryl hydrocarbon receptor signaling pathways. Nucl Recept Signal 4</w:t>
      </w:r>
      <w:r w:rsidR="00F132B1">
        <w:rPr>
          <w:noProof/>
        </w:rPr>
        <w:t>:e016</w:t>
      </w:r>
      <w:r w:rsidRPr="00784F1B">
        <w:rPr>
          <w:noProof/>
        </w:rPr>
        <w:t>.</w:t>
      </w:r>
    </w:p>
    <w:p w14:paraId="045EA223" w14:textId="77777777" w:rsidR="00912CFC" w:rsidRPr="00784F1B" w:rsidRDefault="00912CFC" w:rsidP="00301C39">
      <w:pPr>
        <w:pStyle w:val="EndNoteBibliography"/>
        <w:spacing w:line="360" w:lineRule="auto"/>
        <w:ind w:left="720" w:hanging="720"/>
        <w:rPr>
          <w:noProof/>
        </w:rPr>
      </w:pPr>
      <w:r w:rsidRPr="00784F1B">
        <w:rPr>
          <w:noProof/>
        </w:rPr>
        <w:t>OECD. 2013. OECD guidelines for the testing of chemicals. No. 236: Fish Embryo Acute Toxicity (FET) Test.</w:t>
      </w:r>
    </w:p>
    <w:p w14:paraId="3D7EDCC0" w14:textId="6B4E91D2" w:rsidR="00912CFC" w:rsidRPr="00784F1B" w:rsidRDefault="00912CFC" w:rsidP="00301C39">
      <w:pPr>
        <w:pStyle w:val="EndNoteBibliography"/>
        <w:spacing w:line="360" w:lineRule="auto"/>
        <w:ind w:left="720" w:hanging="720"/>
        <w:rPr>
          <w:noProof/>
        </w:rPr>
      </w:pPr>
      <w:r w:rsidRPr="00784F1B">
        <w:rPr>
          <w:noProof/>
        </w:rPr>
        <w:t xml:space="preserve">Reddy AS, Zhang S. 2013. Polypharmacology: drug discovery for the future. </w:t>
      </w:r>
      <w:r w:rsidR="00A5186F" w:rsidRPr="00A5186F">
        <w:rPr>
          <w:noProof/>
        </w:rPr>
        <w:t xml:space="preserve">Expert Rev Clin </w:t>
      </w:r>
      <w:r w:rsidR="00A5186F" w:rsidRPr="00A5186F">
        <w:rPr>
          <w:noProof/>
        </w:rPr>
        <w:lastRenderedPageBreak/>
        <w:t>Pharmacol</w:t>
      </w:r>
      <w:r w:rsidRPr="00784F1B">
        <w:rPr>
          <w:noProof/>
        </w:rPr>
        <w:t xml:space="preserve"> 6(1):10.1586/ecp.12.74.</w:t>
      </w:r>
    </w:p>
    <w:p w14:paraId="46E788E4" w14:textId="77777777" w:rsidR="00912CFC" w:rsidRPr="00784F1B" w:rsidRDefault="00912CFC" w:rsidP="00301C39">
      <w:pPr>
        <w:pStyle w:val="EndNoteBibliography"/>
        <w:spacing w:line="360" w:lineRule="auto"/>
        <w:ind w:left="720" w:hanging="720"/>
        <w:rPr>
          <w:noProof/>
        </w:rPr>
      </w:pPr>
      <w:r w:rsidRPr="00784F1B">
        <w:rPr>
          <w:noProof/>
        </w:rPr>
        <w:t>Romanov S, Medvedev A, Gambarian M, Poltoratskaya N, Moeser M, Medvedeva L, Gambarian M, Diatchenko L, Makarov S. 2008. Homogeneous reporter system enables quantitative functional assessment of multiple transcription factors. Nat Methods 5(3):253-60.</w:t>
      </w:r>
    </w:p>
    <w:p w14:paraId="3B7B762F" w14:textId="77777777" w:rsidR="00912CFC" w:rsidRPr="00784F1B" w:rsidRDefault="00912CFC" w:rsidP="00301C39">
      <w:pPr>
        <w:pStyle w:val="EndNoteBibliography"/>
        <w:spacing w:line="360" w:lineRule="auto"/>
        <w:ind w:left="720" w:hanging="720"/>
        <w:rPr>
          <w:noProof/>
        </w:rPr>
      </w:pPr>
      <w:r w:rsidRPr="00784F1B">
        <w:rPr>
          <w:noProof/>
        </w:rPr>
        <w:t>Schroeder AL, Ankley GT, Houck KA, Villeneuve DL. 2016. Environmental surveillance and monitoring--The next frontiers for high-throughput toxicology. Environ Toxicol Chem 35(3):513-25.</w:t>
      </w:r>
    </w:p>
    <w:p w14:paraId="0A71BD5F" w14:textId="4E0C3A99" w:rsidR="00912CFC" w:rsidRPr="00784F1B" w:rsidRDefault="00912CFC" w:rsidP="00301C39">
      <w:pPr>
        <w:pStyle w:val="EndNoteBibliography"/>
        <w:spacing w:line="360" w:lineRule="auto"/>
        <w:ind w:left="720" w:hanging="720"/>
        <w:rPr>
          <w:noProof/>
        </w:rPr>
      </w:pPr>
      <w:r w:rsidRPr="00784F1B">
        <w:rPr>
          <w:noProof/>
        </w:rPr>
        <w:t>Thomas RS, Philbert MA, Auerbach SS, Wetmore BA, Devito MJ, Cote I, Rowlands JC, Whelan MP, Hays SM, Andersen ME</w:t>
      </w:r>
      <w:r w:rsidR="004E2E6F">
        <w:rPr>
          <w:noProof/>
        </w:rPr>
        <w:t xml:space="preserve">, </w:t>
      </w:r>
      <w:r w:rsidR="004E2E6F" w:rsidRPr="004E2E6F">
        <w:rPr>
          <w:noProof/>
        </w:rPr>
        <w:t>Meek ME, Reiter LW, Lambert JC, Clewell HJ 3rd, Stephens ML, Zhao QJ, Wesselkamper SC, Flowers L, Carney EW, Pastoor TP, Petersen DD, Yauk CL, Nong A</w:t>
      </w:r>
      <w:r w:rsidRPr="00784F1B">
        <w:rPr>
          <w:noProof/>
        </w:rPr>
        <w:t xml:space="preserve">. 2013. Incorporating New Technologies Into Toxicity Testing and Risk Assessment: Moving From 21st Century Vision to </w:t>
      </w:r>
      <w:r w:rsidR="004E2E6F">
        <w:rPr>
          <w:noProof/>
        </w:rPr>
        <w:t>a Data-Driven Framework. Toxico</w:t>
      </w:r>
      <w:r w:rsidRPr="00784F1B">
        <w:rPr>
          <w:noProof/>
        </w:rPr>
        <w:t>l Sci</w:t>
      </w:r>
      <w:r w:rsidR="004E2E6F">
        <w:rPr>
          <w:noProof/>
        </w:rPr>
        <w:t xml:space="preserve"> </w:t>
      </w:r>
      <w:r w:rsidRPr="00784F1B">
        <w:rPr>
          <w:noProof/>
        </w:rPr>
        <w:t>136(1):4-18.</w:t>
      </w:r>
    </w:p>
    <w:p w14:paraId="487AA640" w14:textId="1972AB1F" w:rsidR="00912CFC" w:rsidRPr="00784F1B" w:rsidRDefault="004E2E6F" w:rsidP="00301C39">
      <w:pPr>
        <w:pStyle w:val="EndNoteBibliography"/>
        <w:spacing w:line="360" w:lineRule="auto"/>
        <w:ind w:left="720" w:hanging="720"/>
        <w:rPr>
          <w:noProof/>
        </w:rPr>
      </w:pPr>
      <w:r w:rsidRPr="00D23F77">
        <w:rPr>
          <w:noProof/>
        </w:rPr>
        <w:t>Villeneuve DL, Angrish MM, Fortin MC, Katsiadaki I, Leonard M, Margiotta-Casaluci L, Munn S, O’Brien JM, Pollesch NL, Smith</w:t>
      </w:r>
      <w:r>
        <w:rPr>
          <w:noProof/>
        </w:rPr>
        <w:t xml:space="preserve"> LC,</w:t>
      </w:r>
      <w:r w:rsidRPr="00D23F77">
        <w:rPr>
          <w:noProof/>
        </w:rPr>
        <w:t xml:space="preserve"> </w:t>
      </w:r>
      <w:r>
        <w:rPr>
          <w:noProof/>
        </w:rPr>
        <w:t>Zhang X, Knapen D</w:t>
      </w:r>
      <w:r w:rsidRPr="00D23F77">
        <w:rPr>
          <w:noProof/>
        </w:rPr>
        <w:t xml:space="preserve">. 2018. Adverse Outcome Pathway Networks II: Network Analytics. </w:t>
      </w:r>
      <w:r>
        <w:rPr>
          <w:noProof/>
        </w:rPr>
        <w:t>Environ Toxicol Chem</w:t>
      </w:r>
      <w:r w:rsidRPr="00D23F77">
        <w:rPr>
          <w:noProof/>
        </w:rPr>
        <w:t xml:space="preserve"> (this issue).</w:t>
      </w:r>
    </w:p>
    <w:p w14:paraId="2F63FFE7" w14:textId="349FB12E" w:rsidR="00531AC2" w:rsidRPr="00912CFC" w:rsidRDefault="00531AC2" w:rsidP="00301C39">
      <w:pPr>
        <w:spacing w:line="360" w:lineRule="auto"/>
      </w:pPr>
      <w:bookmarkStart w:id="1" w:name="_GoBack"/>
      <w:bookmarkEnd w:id="1"/>
    </w:p>
    <w:sectPr w:rsidR="00531AC2" w:rsidRPr="00912CFC" w:rsidSect="00912CF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D48B" w14:textId="77777777" w:rsidR="006C7ED5" w:rsidRDefault="006C7ED5" w:rsidP="00F25940">
      <w:r>
        <w:separator/>
      </w:r>
    </w:p>
  </w:endnote>
  <w:endnote w:type="continuationSeparator" w:id="0">
    <w:p w14:paraId="5AE9DF43" w14:textId="77777777" w:rsidR="006C7ED5" w:rsidRDefault="006C7ED5" w:rsidP="00F2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5CAA" w14:textId="77777777" w:rsidR="00E753F9" w:rsidRDefault="00E7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074C" w14:textId="77777777" w:rsidR="00E753F9" w:rsidRDefault="00E75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804B" w14:textId="77777777" w:rsidR="00E753F9" w:rsidRDefault="00E7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649A" w14:textId="77777777" w:rsidR="006C7ED5" w:rsidRDefault="006C7ED5" w:rsidP="00F25940">
      <w:r>
        <w:separator/>
      </w:r>
    </w:p>
  </w:footnote>
  <w:footnote w:type="continuationSeparator" w:id="0">
    <w:p w14:paraId="04707D54" w14:textId="77777777" w:rsidR="006C7ED5" w:rsidRDefault="006C7ED5" w:rsidP="00F2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1BB5" w14:textId="77777777" w:rsidR="00F25940" w:rsidRDefault="00F25940" w:rsidP="00784D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EFBD6" w14:textId="77777777" w:rsidR="00F25940" w:rsidRDefault="00F25940" w:rsidP="00F259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DB8D" w14:textId="77777777" w:rsidR="00F25940" w:rsidRDefault="00F25940" w:rsidP="00FA1847">
    <w:pPr>
      <w:pStyle w:val="Header"/>
      <w:framePr w:wrap="none" w:vAnchor="text" w:hAnchor="page" w:x="10733" w:y="679"/>
      <w:rPr>
        <w:rStyle w:val="PageNumber"/>
      </w:rPr>
    </w:pPr>
    <w:r>
      <w:rPr>
        <w:rStyle w:val="PageNumber"/>
      </w:rPr>
      <w:fldChar w:fldCharType="begin"/>
    </w:r>
    <w:r>
      <w:rPr>
        <w:rStyle w:val="PageNumber"/>
      </w:rPr>
      <w:instrText xml:space="preserve">PAGE  </w:instrText>
    </w:r>
    <w:r>
      <w:rPr>
        <w:rStyle w:val="PageNumber"/>
      </w:rPr>
      <w:fldChar w:fldCharType="separate"/>
    </w:r>
    <w:r w:rsidR="002A1AE5">
      <w:rPr>
        <w:rStyle w:val="PageNumber"/>
        <w:noProof/>
      </w:rPr>
      <w:t>1</w:t>
    </w:r>
    <w:r>
      <w:rPr>
        <w:rStyle w:val="PageNumber"/>
      </w:rPr>
      <w:fldChar w:fldCharType="end"/>
    </w:r>
  </w:p>
  <w:p w14:paraId="0584A13A" w14:textId="77777777" w:rsidR="00F25940" w:rsidRDefault="00F25940" w:rsidP="00F2594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49AE" w14:textId="77777777" w:rsidR="00E753F9" w:rsidRDefault="00E75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SE Style Manual N-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D50B3"/>
    <w:rsid w:val="00005237"/>
    <w:rsid w:val="0000775D"/>
    <w:rsid w:val="000641BA"/>
    <w:rsid w:val="000745D5"/>
    <w:rsid w:val="0008410C"/>
    <w:rsid w:val="000B490A"/>
    <w:rsid w:val="000B79E8"/>
    <w:rsid w:val="000D6BBC"/>
    <w:rsid w:val="000D7A9B"/>
    <w:rsid w:val="000F3DD2"/>
    <w:rsid w:val="001B24DF"/>
    <w:rsid w:val="001E7FA5"/>
    <w:rsid w:val="0020614D"/>
    <w:rsid w:val="00247441"/>
    <w:rsid w:val="00250DF9"/>
    <w:rsid w:val="00251DD6"/>
    <w:rsid w:val="002A1AE5"/>
    <w:rsid w:val="002E03A6"/>
    <w:rsid w:val="00301C39"/>
    <w:rsid w:val="00323B3A"/>
    <w:rsid w:val="0032450E"/>
    <w:rsid w:val="00337A76"/>
    <w:rsid w:val="00375747"/>
    <w:rsid w:val="003C5504"/>
    <w:rsid w:val="00457199"/>
    <w:rsid w:val="004835EE"/>
    <w:rsid w:val="00487B57"/>
    <w:rsid w:val="004C5826"/>
    <w:rsid w:val="004D3C33"/>
    <w:rsid w:val="004E2DD4"/>
    <w:rsid w:val="004E2E6F"/>
    <w:rsid w:val="0051058A"/>
    <w:rsid w:val="00531AC2"/>
    <w:rsid w:val="00565B11"/>
    <w:rsid w:val="005A4035"/>
    <w:rsid w:val="00642CF9"/>
    <w:rsid w:val="006A4DB4"/>
    <w:rsid w:val="006A7D81"/>
    <w:rsid w:val="006C7ED5"/>
    <w:rsid w:val="006D18C0"/>
    <w:rsid w:val="006E26A8"/>
    <w:rsid w:val="006E30B3"/>
    <w:rsid w:val="006E4089"/>
    <w:rsid w:val="0071654B"/>
    <w:rsid w:val="00771242"/>
    <w:rsid w:val="00784F1B"/>
    <w:rsid w:val="00792C40"/>
    <w:rsid w:val="007F53AA"/>
    <w:rsid w:val="008101E2"/>
    <w:rsid w:val="00810DFD"/>
    <w:rsid w:val="0082651C"/>
    <w:rsid w:val="0083588F"/>
    <w:rsid w:val="00892908"/>
    <w:rsid w:val="008A6304"/>
    <w:rsid w:val="008D38B1"/>
    <w:rsid w:val="00910B96"/>
    <w:rsid w:val="00912CFC"/>
    <w:rsid w:val="00923906"/>
    <w:rsid w:val="0093186E"/>
    <w:rsid w:val="00934E37"/>
    <w:rsid w:val="00941D03"/>
    <w:rsid w:val="0094264F"/>
    <w:rsid w:val="00990777"/>
    <w:rsid w:val="009D2E7A"/>
    <w:rsid w:val="009E2242"/>
    <w:rsid w:val="009E4979"/>
    <w:rsid w:val="00A06A16"/>
    <w:rsid w:val="00A3581F"/>
    <w:rsid w:val="00A44164"/>
    <w:rsid w:val="00A5186F"/>
    <w:rsid w:val="00A611C3"/>
    <w:rsid w:val="00A73C14"/>
    <w:rsid w:val="00AB4EB4"/>
    <w:rsid w:val="00AC06C8"/>
    <w:rsid w:val="00AD577C"/>
    <w:rsid w:val="00B641DD"/>
    <w:rsid w:val="00B8745A"/>
    <w:rsid w:val="00C00828"/>
    <w:rsid w:val="00C86C05"/>
    <w:rsid w:val="00CD573F"/>
    <w:rsid w:val="00CD64B1"/>
    <w:rsid w:val="00D01E1D"/>
    <w:rsid w:val="00D333F5"/>
    <w:rsid w:val="00D753C7"/>
    <w:rsid w:val="00D8239B"/>
    <w:rsid w:val="00D929CA"/>
    <w:rsid w:val="00DA2A2A"/>
    <w:rsid w:val="00DA2E79"/>
    <w:rsid w:val="00E03DF7"/>
    <w:rsid w:val="00E30428"/>
    <w:rsid w:val="00E31F01"/>
    <w:rsid w:val="00E4022B"/>
    <w:rsid w:val="00E6280F"/>
    <w:rsid w:val="00E66008"/>
    <w:rsid w:val="00E753F9"/>
    <w:rsid w:val="00E86642"/>
    <w:rsid w:val="00EA3E42"/>
    <w:rsid w:val="00EA47AE"/>
    <w:rsid w:val="00EC6A09"/>
    <w:rsid w:val="00EC6CA8"/>
    <w:rsid w:val="00EE06A0"/>
    <w:rsid w:val="00F06E35"/>
    <w:rsid w:val="00F132B1"/>
    <w:rsid w:val="00F25940"/>
    <w:rsid w:val="00F83CEE"/>
    <w:rsid w:val="00F93D79"/>
    <w:rsid w:val="00F97009"/>
    <w:rsid w:val="00FA1847"/>
    <w:rsid w:val="00FA4A48"/>
    <w:rsid w:val="00FB1E82"/>
    <w:rsid w:val="00FB2105"/>
    <w:rsid w:val="00FC4BAB"/>
    <w:rsid w:val="00FD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4B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line="276" w:lineRule="auto"/>
      <w:jc w:val="center"/>
    </w:pPr>
    <w:rPr>
      <w:rFonts w:ascii="Arial" w:eastAsia="Arial" w:hAnsi="Arial" w:cs="Arial"/>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2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C40"/>
    <w:rPr>
      <w:rFonts w:ascii="Times New Roman" w:hAnsi="Times New Roman" w:cs="Times New Roman"/>
      <w:sz w:val="18"/>
      <w:szCs w:val="18"/>
    </w:rPr>
  </w:style>
  <w:style w:type="character" w:styleId="LineNumber">
    <w:name w:val="line number"/>
    <w:basedOn w:val="DefaultParagraphFont"/>
    <w:uiPriority w:val="99"/>
    <w:semiHidden/>
    <w:unhideWhenUsed/>
    <w:rsid w:val="00792C40"/>
  </w:style>
  <w:style w:type="paragraph" w:customStyle="1" w:styleId="EndNoteBibliographyTitle">
    <w:name w:val="EndNote Bibliography Title"/>
    <w:basedOn w:val="Normal"/>
    <w:rsid w:val="0094264F"/>
    <w:pPr>
      <w:jc w:val="center"/>
    </w:pPr>
  </w:style>
  <w:style w:type="paragraph" w:customStyle="1" w:styleId="EndNoteBibliography">
    <w:name w:val="EndNote Bibliography"/>
    <w:basedOn w:val="Normal"/>
    <w:rsid w:val="0094264F"/>
    <w:pPr>
      <w:jc w:val="both"/>
    </w:pPr>
  </w:style>
  <w:style w:type="paragraph" w:styleId="Header">
    <w:name w:val="header"/>
    <w:basedOn w:val="Normal"/>
    <w:link w:val="HeaderChar"/>
    <w:uiPriority w:val="99"/>
    <w:unhideWhenUsed/>
    <w:rsid w:val="00F25940"/>
    <w:pPr>
      <w:tabs>
        <w:tab w:val="center" w:pos="4680"/>
        <w:tab w:val="right" w:pos="9360"/>
      </w:tabs>
    </w:pPr>
  </w:style>
  <w:style w:type="character" w:customStyle="1" w:styleId="HeaderChar">
    <w:name w:val="Header Char"/>
    <w:basedOn w:val="DefaultParagraphFont"/>
    <w:link w:val="Header"/>
    <w:uiPriority w:val="99"/>
    <w:rsid w:val="00F25940"/>
  </w:style>
  <w:style w:type="character" w:styleId="PageNumber">
    <w:name w:val="page number"/>
    <w:basedOn w:val="DefaultParagraphFont"/>
    <w:uiPriority w:val="99"/>
    <w:semiHidden/>
    <w:unhideWhenUsed/>
    <w:rsid w:val="00F25940"/>
  </w:style>
  <w:style w:type="table" w:styleId="TableGridLight">
    <w:name w:val="Grid Table Light"/>
    <w:basedOn w:val="TableNormal"/>
    <w:uiPriority w:val="40"/>
    <w:rsid w:val="00934E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934E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AD57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FA1847"/>
    <w:pPr>
      <w:tabs>
        <w:tab w:val="center" w:pos="4680"/>
        <w:tab w:val="right" w:pos="9360"/>
      </w:tabs>
    </w:pPr>
  </w:style>
  <w:style w:type="character" w:customStyle="1" w:styleId="FooterChar">
    <w:name w:val="Footer Char"/>
    <w:basedOn w:val="DefaultParagraphFont"/>
    <w:link w:val="Footer"/>
    <w:uiPriority w:val="99"/>
    <w:rsid w:val="00FA1847"/>
  </w:style>
  <w:style w:type="character" w:customStyle="1" w:styleId="TitleChar">
    <w:name w:val="Title Char"/>
    <w:basedOn w:val="DefaultParagraphFont"/>
    <w:link w:val="Title"/>
    <w:rsid w:val="00912CFC"/>
    <w:rPr>
      <w:rFonts w:ascii="Arial" w:eastAsia="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ttagene.com/technology.php"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Antwerp</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Knapen Dries</cp:lastModifiedBy>
  <cp:revision>102</cp:revision>
  <dcterms:created xsi:type="dcterms:W3CDTF">2017-07-07T18:03:00Z</dcterms:created>
  <dcterms:modified xsi:type="dcterms:W3CDTF">2018-02-08T16:58:00Z</dcterms:modified>
</cp:coreProperties>
</file>