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BD250" w14:textId="0C8058A5" w:rsidR="00920073" w:rsidRDefault="00920073" w:rsidP="00712447">
      <w:pPr>
        <w:pStyle w:val="Title"/>
      </w:pPr>
      <w:r w:rsidRPr="00920073">
        <w:t>Supplemental Inform</w:t>
      </w:r>
      <w:bookmarkStart w:id="0" w:name="_GoBack"/>
      <w:bookmarkEnd w:id="0"/>
      <w:r w:rsidRPr="00920073">
        <w:t>ation</w:t>
      </w:r>
      <w:r w:rsidR="00712447">
        <w:t>:</w:t>
      </w:r>
    </w:p>
    <w:p w14:paraId="32D56917" w14:textId="77777777" w:rsidR="00882C62" w:rsidRPr="00882C62" w:rsidRDefault="00882C62" w:rsidP="00882C62"/>
    <w:p w14:paraId="5DED4974" w14:textId="13AC01B4" w:rsidR="00920073" w:rsidRDefault="00F56714" w:rsidP="00F56714">
      <w:pPr>
        <w:spacing w:after="0" w:line="240" w:lineRule="auto"/>
        <w:rPr>
          <w:b/>
        </w:rPr>
      </w:pPr>
      <w:bookmarkStart w:id="1" w:name="_Hlk505003774"/>
      <w:r>
        <w:rPr>
          <w:b/>
        </w:rPr>
        <w:t>Rapid</w:t>
      </w:r>
      <w:r w:rsidRPr="0071626A">
        <w:rPr>
          <w:b/>
        </w:rPr>
        <w:t xml:space="preserve"> </w:t>
      </w:r>
      <w:r>
        <w:rPr>
          <w:b/>
        </w:rPr>
        <w:t>Experimental Measurements</w:t>
      </w:r>
      <w:r w:rsidRPr="0071626A">
        <w:rPr>
          <w:b/>
        </w:rPr>
        <w:t xml:space="preserve"> of Physicochemical </w:t>
      </w:r>
      <w:bookmarkEnd w:id="1"/>
      <w:r w:rsidRPr="0071626A">
        <w:rPr>
          <w:b/>
        </w:rPr>
        <w:t xml:space="preserve">Properties to Inform Models and Testing </w:t>
      </w:r>
    </w:p>
    <w:p w14:paraId="15912933" w14:textId="77777777" w:rsidR="00F56714" w:rsidRDefault="00F56714" w:rsidP="00F56714">
      <w:pPr>
        <w:spacing w:after="0" w:line="240" w:lineRule="auto"/>
        <w:rPr>
          <w:rFonts w:eastAsiaTheme="minorEastAsia"/>
          <w:lang w:eastAsia="fr-FR"/>
        </w:rPr>
      </w:pPr>
    </w:p>
    <w:p w14:paraId="1C33503B" w14:textId="392A8156" w:rsidR="00F56714" w:rsidRDefault="00F56714" w:rsidP="00F56714">
      <w:pPr>
        <w:spacing w:after="0" w:line="240" w:lineRule="auto"/>
        <w:rPr>
          <w:rFonts w:eastAsiaTheme="minorEastAsia"/>
          <w:lang w:eastAsia="fr-FR"/>
        </w:rPr>
      </w:pPr>
      <w:r w:rsidRPr="007E5AD7">
        <w:rPr>
          <w:rFonts w:eastAsiaTheme="minorEastAsia"/>
          <w:lang w:eastAsia="fr-FR"/>
        </w:rPr>
        <w:t>Chantel I. Nicolas</w:t>
      </w:r>
      <w:r w:rsidRPr="007E5AD7">
        <w:rPr>
          <w:rFonts w:eastAsiaTheme="minorEastAsia"/>
          <w:vertAlign w:val="superscript"/>
          <w:lang w:eastAsia="fr-FR"/>
        </w:rPr>
        <w:t>1</w:t>
      </w:r>
      <w:r w:rsidRPr="007E5AD7">
        <w:rPr>
          <w:vertAlign w:val="superscript"/>
        </w:rPr>
        <w:t>,</w:t>
      </w:r>
      <w:r w:rsidRPr="007E5AD7">
        <w:rPr>
          <w:rFonts w:eastAsiaTheme="minorEastAsia"/>
          <w:vertAlign w:val="superscript"/>
          <w:lang w:eastAsia="fr-FR"/>
        </w:rPr>
        <w:t>2,5</w:t>
      </w:r>
      <w:r w:rsidRPr="00577559">
        <w:rPr>
          <w:rFonts w:eastAsiaTheme="minorEastAsia"/>
        </w:rPr>
        <w:t>, Kamel Mansouri</w:t>
      </w:r>
      <w:r w:rsidRPr="00577559">
        <w:rPr>
          <w:rFonts w:eastAsiaTheme="minorEastAsia"/>
          <w:vertAlign w:val="superscript"/>
        </w:rPr>
        <w:t>1,2,5</w:t>
      </w:r>
      <w:r w:rsidRPr="00577559">
        <w:rPr>
          <w:rFonts w:eastAsiaTheme="minorEastAsia"/>
        </w:rPr>
        <w:t>, Katherine A. Phillips</w:t>
      </w:r>
      <w:r w:rsidRPr="00577559">
        <w:rPr>
          <w:rFonts w:eastAsiaTheme="minorEastAsia"/>
          <w:vertAlign w:val="superscript"/>
        </w:rPr>
        <w:t>3</w:t>
      </w:r>
      <w:r w:rsidRPr="00577559">
        <w:rPr>
          <w:rFonts w:eastAsiaTheme="minorEastAsia"/>
        </w:rPr>
        <w:t>, Christopher M. Grulke</w:t>
      </w:r>
      <w:r w:rsidRPr="00577559">
        <w:rPr>
          <w:rFonts w:eastAsiaTheme="minorEastAsia"/>
          <w:vertAlign w:val="superscript"/>
        </w:rPr>
        <w:t>2</w:t>
      </w:r>
      <w:r w:rsidRPr="00577559">
        <w:rPr>
          <w:rFonts w:eastAsiaTheme="minorEastAsia"/>
        </w:rPr>
        <w:t>, Ann M. Richard</w:t>
      </w:r>
      <w:r w:rsidRPr="00577559">
        <w:rPr>
          <w:rFonts w:eastAsiaTheme="minorEastAsia"/>
          <w:vertAlign w:val="superscript"/>
        </w:rPr>
        <w:t>2</w:t>
      </w:r>
      <w:r w:rsidRPr="00577559">
        <w:rPr>
          <w:rFonts w:eastAsiaTheme="minorEastAsia"/>
        </w:rPr>
        <w:t>, Antony J. Williams</w:t>
      </w:r>
      <w:r w:rsidRPr="00577559">
        <w:rPr>
          <w:rFonts w:eastAsiaTheme="minorEastAsia"/>
          <w:vertAlign w:val="superscript"/>
        </w:rPr>
        <w:t>2</w:t>
      </w:r>
      <w:r w:rsidRPr="00577559">
        <w:rPr>
          <w:rFonts w:eastAsiaTheme="minorEastAsia"/>
        </w:rPr>
        <w:t>, James Rabinowitz</w:t>
      </w:r>
      <w:r w:rsidRPr="00577559">
        <w:rPr>
          <w:rFonts w:eastAsiaTheme="minorEastAsia"/>
          <w:vertAlign w:val="superscript"/>
        </w:rPr>
        <w:t>2</w:t>
      </w:r>
      <w:r w:rsidRPr="00577559">
        <w:rPr>
          <w:rFonts w:eastAsiaTheme="minorEastAsia"/>
        </w:rPr>
        <w:t>, Kristin K. Isaacs</w:t>
      </w:r>
      <w:r w:rsidRPr="00577559">
        <w:rPr>
          <w:rFonts w:eastAsiaTheme="minorEastAsia"/>
          <w:vertAlign w:val="superscript"/>
        </w:rPr>
        <w:t>3</w:t>
      </w:r>
      <w:r w:rsidRPr="00577559">
        <w:rPr>
          <w:rFonts w:eastAsiaTheme="minorEastAsia"/>
        </w:rPr>
        <w:t>, Alice Yau</w:t>
      </w:r>
      <w:r w:rsidRPr="00577559">
        <w:rPr>
          <w:rFonts w:eastAsiaTheme="minorEastAsia"/>
          <w:vertAlign w:val="superscript"/>
        </w:rPr>
        <w:t>4</w:t>
      </w:r>
      <w:r w:rsidRPr="00577559">
        <w:rPr>
          <w:rFonts w:eastAsiaTheme="minorEastAsia"/>
        </w:rPr>
        <w:t>, John F. Wambaugh</w:t>
      </w:r>
      <w:r w:rsidRPr="00577559">
        <w:rPr>
          <w:rFonts w:eastAsiaTheme="minorEastAsia"/>
          <w:vertAlign w:val="superscript"/>
        </w:rPr>
        <w:t>2*</w:t>
      </w:r>
      <w:r w:rsidRPr="007F0307">
        <w:rPr>
          <w:rFonts w:eastAsiaTheme="minorEastAsia"/>
          <w:lang w:eastAsia="fr-FR"/>
        </w:rPr>
        <w:t xml:space="preserve"> </w:t>
      </w:r>
    </w:p>
    <w:p w14:paraId="2EB08627" w14:textId="3CF26375" w:rsidR="00F56714" w:rsidRDefault="00F56714" w:rsidP="00F56714">
      <w:pPr>
        <w:spacing w:after="0" w:line="240" w:lineRule="auto"/>
        <w:rPr>
          <w:rFonts w:eastAsiaTheme="minorEastAsia"/>
          <w:lang w:eastAsia="fr-FR"/>
        </w:rPr>
      </w:pPr>
    </w:p>
    <w:p w14:paraId="42DD1746" w14:textId="77777777" w:rsidR="00F56714" w:rsidRPr="007E5AD7" w:rsidRDefault="00F56714" w:rsidP="00F56714">
      <w:pPr>
        <w:spacing w:after="0" w:line="240" w:lineRule="auto"/>
        <w:rPr>
          <w:rFonts w:eastAsiaTheme="minorEastAsia"/>
        </w:rPr>
      </w:pPr>
      <w:r w:rsidRPr="007E5AD7">
        <w:rPr>
          <w:rFonts w:eastAsiaTheme="minorEastAsia"/>
          <w:vertAlign w:val="superscript"/>
          <w:lang w:eastAsia="fr-FR"/>
        </w:rPr>
        <w:t>1</w:t>
      </w:r>
      <w:r w:rsidRPr="007E5AD7">
        <w:rPr>
          <w:rFonts w:eastAsiaTheme="minorEastAsia"/>
        </w:rPr>
        <w:t>ScitoVation, LLC</w:t>
      </w:r>
    </w:p>
    <w:p w14:paraId="36D2B844" w14:textId="77777777" w:rsidR="00F56714" w:rsidRPr="007E5AD7" w:rsidRDefault="00F56714" w:rsidP="00F56714">
      <w:pPr>
        <w:spacing w:after="0" w:line="240" w:lineRule="auto"/>
        <w:rPr>
          <w:rFonts w:eastAsiaTheme="minorEastAsia"/>
        </w:rPr>
      </w:pPr>
      <w:r w:rsidRPr="007E5AD7">
        <w:rPr>
          <w:rFonts w:eastAsiaTheme="minorEastAsia"/>
        </w:rPr>
        <w:t>6 Davis Drive, Durham, NC 27703</w:t>
      </w:r>
    </w:p>
    <w:p w14:paraId="4CF3C864" w14:textId="77777777" w:rsidR="00F56714" w:rsidRPr="007E5AD7" w:rsidRDefault="00F56714" w:rsidP="00F56714">
      <w:pPr>
        <w:spacing w:after="0" w:line="240" w:lineRule="auto"/>
        <w:rPr>
          <w:rFonts w:eastAsiaTheme="minorEastAsia"/>
        </w:rPr>
      </w:pPr>
      <w:r w:rsidRPr="007E5AD7">
        <w:rPr>
          <w:rFonts w:eastAsiaTheme="minorEastAsia"/>
          <w:vertAlign w:val="superscript"/>
        </w:rPr>
        <w:t>2</w:t>
      </w:r>
      <w:r w:rsidRPr="007E5AD7">
        <w:rPr>
          <w:rFonts w:eastAsiaTheme="minorEastAsia"/>
        </w:rPr>
        <w:t>National Center for Computational Toxicology</w:t>
      </w:r>
    </w:p>
    <w:p w14:paraId="3F5B8D4E" w14:textId="77777777" w:rsidR="00F56714" w:rsidRPr="007E5AD7" w:rsidRDefault="00F56714" w:rsidP="00F56714">
      <w:pPr>
        <w:spacing w:after="0" w:line="240" w:lineRule="auto"/>
        <w:rPr>
          <w:rFonts w:eastAsiaTheme="minorEastAsia"/>
        </w:rPr>
      </w:pPr>
      <w:r w:rsidRPr="007E5AD7">
        <w:rPr>
          <w:rFonts w:eastAsiaTheme="minorEastAsia"/>
        </w:rPr>
        <w:t>Office of Research and Development</w:t>
      </w:r>
    </w:p>
    <w:p w14:paraId="3648AF2C" w14:textId="77777777" w:rsidR="00F56714" w:rsidRPr="007E5AD7" w:rsidRDefault="00F56714" w:rsidP="00F56714">
      <w:pPr>
        <w:spacing w:after="0" w:line="240" w:lineRule="auto"/>
        <w:rPr>
          <w:rFonts w:eastAsiaTheme="minorEastAsia"/>
        </w:rPr>
      </w:pPr>
      <w:r w:rsidRPr="007E5AD7">
        <w:rPr>
          <w:rFonts w:eastAsiaTheme="minorEastAsia"/>
        </w:rPr>
        <w:t>US EPA, Research Triangle Park, NC 27711</w:t>
      </w:r>
    </w:p>
    <w:p w14:paraId="1D74E98D" w14:textId="77777777" w:rsidR="00F56714" w:rsidRPr="007E5AD7" w:rsidRDefault="00F56714" w:rsidP="00F56714">
      <w:pPr>
        <w:spacing w:after="0" w:line="240" w:lineRule="auto"/>
      </w:pPr>
      <w:r w:rsidRPr="007E5AD7">
        <w:rPr>
          <w:rFonts w:eastAsiaTheme="minorEastAsia"/>
          <w:vertAlign w:val="superscript"/>
        </w:rPr>
        <w:t>3</w:t>
      </w:r>
      <w:r w:rsidRPr="007E5AD7">
        <w:t>National Exposure Research Laboratory</w:t>
      </w:r>
    </w:p>
    <w:p w14:paraId="29309367" w14:textId="77777777" w:rsidR="00F56714" w:rsidRPr="007E5AD7" w:rsidRDefault="00F56714" w:rsidP="00F56714">
      <w:pPr>
        <w:spacing w:after="0" w:line="240" w:lineRule="auto"/>
        <w:rPr>
          <w:rFonts w:eastAsiaTheme="minorEastAsia"/>
        </w:rPr>
      </w:pPr>
      <w:r w:rsidRPr="007E5AD7">
        <w:rPr>
          <w:vertAlign w:val="superscript"/>
        </w:rPr>
        <w:t>4</w:t>
      </w:r>
      <w:r w:rsidRPr="007E5AD7">
        <w:rPr>
          <w:rFonts w:eastAsiaTheme="minorEastAsia"/>
        </w:rPr>
        <w:t>Southwest Research Institute</w:t>
      </w:r>
    </w:p>
    <w:p w14:paraId="47938D57" w14:textId="77777777" w:rsidR="00F56714" w:rsidRPr="007E5AD7" w:rsidRDefault="00F56714" w:rsidP="00F56714">
      <w:pPr>
        <w:spacing w:after="0" w:line="240" w:lineRule="auto"/>
        <w:rPr>
          <w:rFonts w:eastAsiaTheme="minorEastAsia"/>
        </w:rPr>
      </w:pPr>
      <w:r w:rsidRPr="007E5AD7">
        <w:rPr>
          <w:rFonts w:eastAsiaTheme="minorEastAsia"/>
        </w:rPr>
        <w:t>San Antonio, TX 78238</w:t>
      </w:r>
    </w:p>
    <w:p w14:paraId="02A221EB" w14:textId="77777777" w:rsidR="00F56714" w:rsidRPr="007E5AD7" w:rsidRDefault="00F56714" w:rsidP="00F56714">
      <w:pPr>
        <w:spacing w:after="0" w:line="240" w:lineRule="auto"/>
        <w:rPr>
          <w:rFonts w:eastAsiaTheme="minorEastAsia"/>
        </w:rPr>
      </w:pPr>
      <w:r w:rsidRPr="007E5AD7">
        <w:rPr>
          <w:vertAlign w:val="superscript"/>
        </w:rPr>
        <w:t>5</w:t>
      </w:r>
      <w:r w:rsidRPr="007E5AD7">
        <w:rPr>
          <w:rFonts w:eastAsiaTheme="minorEastAsia"/>
        </w:rPr>
        <w:t>Oak Ridge Institute for Science and Education,</w:t>
      </w:r>
    </w:p>
    <w:p w14:paraId="20FBE9A6" w14:textId="77777777" w:rsidR="00F56714" w:rsidRPr="007E5AD7" w:rsidRDefault="00F56714" w:rsidP="00F56714">
      <w:pPr>
        <w:spacing w:after="0" w:line="240" w:lineRule="auto"/>
        <w:rPr>
          <w:rFonts w:eastAsiaTheme="minorEastAsia"/>
        </w:rPr>
      </w:pPr>
      <w:r w:rsidRPr="007E5AD7">
        <w:rPr>
          <w:rFonts w:eastAsiaTheme="minorEastAsia"/>
        </w:rPr>
        <w:t>Oak Ridge, TN 37831</w:t>
      </w:r>
    </w:p>
    <w:p w14:paraId="39DE54B3" w14:textId="58B15E30" w:rsidR="00F56714" w:rsidRDefault="00F56714" w:rsidP="00F56714">
      <w:pPr>
        <w:spacing w:after="0" w:line="240" w:lineRule="auto"/>
        <w:rPr>
          <w:rFonts w:eastAsiaTheme="minorEastAsia"/>
          <w:vertAlign w:val="superscript"/>
          <w:lang w:eastAsia="fr-FR"/>
        </w:rPr>
      </w:pPr>
    </w:p>
    <w:p w14:paraId="2D4BB70D" w14:textId="77777777" w:rsidR="00F56714" w:rsidRPr="007E5AD7" w:rsidRDefault="00F56714" w:rsidP="00F56714">
      <w:pPr>
        <w:spacing w:after="0" w:line="240" w:lineRule="auto"/>
        <w:rPr>
          <w:rFonts w:eastAsiaTheme="minorEastAsia"/>
          <w:b/>
          <w:bCs/>
        </w:rPr>
      </w:pPr>
      <w:r w:rsidRPr="007E5AD7">
        <w:rPr>
          <w:rFonts w:eastAsiaTheme="minorEastAsia"/>
          <w:b/>
          <w:bCs/>
        </w:rPr>
        <w:t>*Corresponding Author:</w:t>
      </w:r>
    </w:p>
    <w:p w14:paraId="4CBA3D39" w14:textId="77777777" w:rsidR="00F56714" w:rsidRPr="007E5AD7" w:rsidRDefault="00F56714" w:rsidP="00F56714">
      <w:pPr>
        <w:spacing w:after="0" w:line="240" w:lineRule="auto"/>
        <w:rPr>
          <w:rFonts w:eastAsiaTheme="minorEastAsia"/>
        </w:rPr>
      </w:pPr>
      <w:r w:rsidRPr="007E5AD7">
        <w:rPr>
          <w:rFonts w:eastAsiaTheme="minorEastAsia"/>
        </w:rPr>
        <w:t>109 T.W Alexander Dr., NC 27711, USA</w:t>
      </w:r>
    </w:p>
    <w:p w14:paraId="1FCB82D5" w14:textId="77777777" w:rsidR="00F56714" w:rsidRPr="007E5AD7" w:rsidRDefault="00F56714" w:rsidP="00F56714">
      <w:pPr>
        <w:spacing w:after="0" w:line="240" w:lineRule="auto"/>
        <w:rPr>
          <w:rFonts w:eastAsiaTheme="minorEastAsia"/>
        </w:rPr>
      </w:pPr>
      <w:r w:rsidRPr="007E5AD7">
        <w:rPr>
          <w:rFonts w:eastAsiaTheme="minorEastAsia"/>
        </w:rPr>
        <w:t>Wambaugh.john@epa.gov</w:t>
      </w:r>
    </w:p>
    <w:p w14:paraId="5D66F806" w14:textId="77777777" w:rsidR="00F56714" w:rsidRPr="007E5AD7" w:rsidRDefault="00F56714" w:rsidP="00F56714">
      <w:pPr>
        <w:spacing w:after="0" w:line="240" w:lineRule="auto"/>
        <w:rPr>
          <w:rFonts w:eastAsiaTheme="minorEastAsia"/>
        </w:rPr>
      </w:pPr>
      <w:r w:rsidRPr="007E5AD7">
        <w:rPr>
          <w:rFonts w:eastAsiaTheme="minorEastAsia"/>
        </w:rPr>
        <w:t>Phone: (919) 541-7641; fax: (919) 541-1194</w:t>
      </w:r>
    </w:p>
    <w:p w14:paraId="5245E56E" w14:textId="77777777" w:rsidR="00F56714" w:rsidRPr="007E5AD7" w:rsidRDefault="00F56714" w:rsidP="00F56714">
      <w:pPr>
        <w:spacing w:after="0" w:line="240" w:lineRule="auto"/>
        <w:rPr>
          <w:rFonts w:cstheme="minorHAnsi"/>
        </w:rPr>
      </w:pPr>
    </w:p>
    <w:p w14:paraId="5E7F9256" w14:textId="77777777" w:rsidR="00F56714" w:rsidRPr="007E5AD7" w:rsidRDefault="00F56714" w:rsidP="00F56714">
      <w:pPr>
        <w:pStyle w:val="NormalWeb"/>
        <w:shd w:val="clear" w:color="auto" w:fill="FFFFFF" w:themeFill="background1"/>
        <w:rPr>
          <w:rFonts w:asciiTheme="minorHAnsi" w:eastAsiaTheme="minorEastAsia" w:hAnsiTheme="minorHAnsi" w:cstheme="minorBidi"/>
          <w:color w:val="000000" w:themeColor="text1"/>
          <w:sz w:val="22"/>
          <w:szCs w:val="22"/>
        </w:rPr>
      </w:pPr>
      <w:r w:rsidRPr="007E5AD7">
        <w:rPr>
          <w:rFonts w:asciiTheme="minorHAnsi" w:eastAsiaTheme="minorEastAsia" w:hAnsiTheme="minorHAnsi" w:cstheme="minorBidi"/>
          <w:b/>
          <w:bCs/>
          <w:sz w:val="22"/>
          <w:szCs w:val="22"/>
        </w:rPr>
        <w:t>Disclaimer:</w:t>
      </w:r>
      <w:r w:rsidRPr="007E5AD7">
        <w:rPr>
          <w:rFonts w:asciiTheme="minorHAnsi" w:eastAsiaTheme="minorEastAsia" w:hAnsiTheme="minorHAnsi" w:cstheme="minorBidi"/>
          <w:sz w:val="22"/>
          <w:szCs w:val="22"/>
        </w:rPr>
        <w:t xml:space="preserve"> </w:t>
      </w:r>
      <w:r w:rsidRPr="007E5AD7">
        <w:rPr>
          <w:rFonts w:asciiTheme="minorHAnsi" w:eastAsiaTheme="minorEastAsia" w:hAnsiTheme="minorHAnsi" w:cstheme="minorBidi"/>
          <w:color w:val="000000" w:themeColor="text1"/>
          <w:sz w:val="22"/>
          <w:szCs w:val="22"/>
        </w:rPr>
        <w:t>The views expressed in this publication are those of the authors and do not necessarily represent the views for policies of the U.S. Environmental Protection Agency. Reference to commercial products or services does not constitute endorsement.</w:t>
      </w:r>
    </w:p>
    <w:p w14:paraId="49216E6E" w14:textId="77777777" w:rsidR="00F56714" w:rsidRDefault="00F56714">
      <w:pPr>
        <w:rPr>
          <w:rFonts w:asciiTheme="majorHAnsi" w:eastAsiaTheme="majorEastAsia" w:hAnsiTheme="majorHAnsi" w:cstheme="majorBidi"/>
          <w:color w:val="2F5496" w:themeColor="accent1" w:themeShade="BF"/>
          <w:sz w:val="32"/>
          <w:szCs w:val="32"/>
        </w:rPr>
      </w:pPr>
      <w:r>
        <w:br w:type="page"/>
      </w:r>
    </w:p>
    <w:p w14:paraId="742D350F" w14:textId="57CC067B" w:rsidR="009A3C06" w:rsidRDefault="009A3C06" w:rsidP="00920073">
      <w:pPr>
        <w:pStyle w:val="Heading1"/>
      </w:pPr>
      <w:r>
        <w:lastRenderedPageBreak/>
        <w:t>S</w:t>
      </w:r>
      <w:r w:rsidR="005B4FF8">
        <w:t>I</w:t>
      </w:r>
      <w:r>
        <w:t xml:space="preserve"> Methods</w:t>
      </w:r>
    </w:p>
    <w:p w14:paraId="102517C3" w14:textId="1E3AFEF7" w:rsidR="00117F9F" w:rsidRPr="00117F9F" w:rsidRDefault="00117F9F" w:rsidP="00117F9F">
      <w:pPr>
        <w:pStyle w:val="Heading2"/>
      </w:pPr>
      <w:r>
        <w:t>Determination of Ionization Potential</w:t>
      </w:r>
    </w:p>
    <w:p w14:paraId="43A26333" w14:textId="5D204C29" w:rsidR="00117F9F" w:rsidRPr="00721909" w:rsidRDefault="00117F9F" w:rsidP="00117F9F">
      <w:pPr>
        <w:spacing w:after="0" w:line="480" w:lineRule="auto"/>
        <w:rPr>
          <w:rFonts w:ascii="Calibri" w:eastAsia="Times New Roman" w:hAnsi="Calibri" w:cs="Times New Roman"/>
        </w:rPr>
      </w:pPr>
      <w:r w:rsidRPr="00721909">
        <w:rPr>
          <w:rFonts w:ascii="Calibri" w:eastAsia="Times New Roman" w:hAnsi="Calibri" w:cs="Times New Roman"/>
        </w:rPr>
        <w:t>In order to determine pK</w:t>
      </w:r>
      <w:r w:rsidRPr="00721909">
        <w:rPr>
          <w:rFonts w:ascii="Calibri" w:eastAsia="Times New Roman" w:hAnsi="Calibri" w:cs="Times New Roman"/>
          <w:vertAlign w:val="subscript"/>
        </w:rPr>
        <w:t>a</w:t>
      </w:r>
      <w:r w:rsidRPr="00721909">
        <w:rPr>
          <w:rFonts w:ascii="Calibri" w:eastAsia="Times New Roman" w:hAnsi="Calibri" w:cs="Times New Roman"/>
        </w:rPr>
        <w:t xml:space="preserve"> via ultraviolet-visible (UV-Vis) spectroscopy, absorbance measurements for pH values ranging from acidic (pH = 3) to basic (pH = 10) were collected at various wavelengths (nm) depending on the compound</w:t>
      </w:r>
      <w:r w:rsidRPr="00721909">
        <w:rPr>
          <w:rFonts w:ascii="Calibri" w:eastAsia="Calibri" w:hAnsi="Calibri" w:cs="Times New Roman"/>
        </w:rPr>
        <w:fldChar w:fldCharType="begin"/>
      </w:r>
      <w:r w:rsidR="00465F33">
        <w:rPr>
          <w:rFonts w:ascii="Calibri" w:eastAsia="Calibri" w:hAnsi="Calibri" w:cs="Times New Roman"/>
        </w:rPr>
        <w:instrText xml:space="preserve"> ADDIN EN.CITE &lt;EndNote&gt;&lt;Cite&gt;&lt;Author&gt;Martínez&lt;/Author&gt;&lt;Year&gt;2012&lt;/Year&gt;&lt;RecNum&gt;49&lt;/RecNum&gt;&lt;DisplayText&gt;&lt;style face="superscript"&gt;1&lt;/style&gt;&lt;/DisplayText&gt;&lt;record&gt;&lt;rec-number&gt;49&lt;/rec-number&gt;&lt;foreign-keys&gt;&lt;key app="EN" db-id="xr02avv21zrfe2evas9xxe5pvsvrwrdtptrx" timestamp="1501275420"&gt;49&lt;/key&gt;&lt;/foreign-keys&gt;&lt;ref-type name="Journal Article"&gt;17&lt;/ref-type&gt;&lt;contributors&gt;&lt;authors&gt;&lt;author&gt;Martínez, Carlos H Ríos&lt;/author&gt;&lt;author&gt;Dardonville, Christophe&lt;/author&gt;&lt;/authors&gt;&lt;/contributors&gt;&lt;titles&gt;&lt;title&gt;Rapid Determination of Ionization Constants (p K a) by UV Spectroscopy Using 96-Well Microtiter Plates&lt;/title&gt;&lt;secondary-title&gt;ACS medicinal chemistry letters&lt;/secondary-title&gt;&lt;/titles&gt;&lt;periodical&gt;&lt;full-title&gt;ACS medicinal chemistry letters&lt;/full-title&gt;&lt;/periodical&gt;&lt;pages&gt;142-145&lt;/pages&gt;&lt;volume&gt;4&lt;/volume&gt;&lt;number&gt;1&lt;/number&gt;&lt;dates&gt;&lt;year&gt;2012&lt;/year&gt;&lt;/dates&gt;&lt;isbn&gt;1948-5875&lt;/isbn&gt;&lt;urls&gt;&lt;/urls&gt;&lt;/record&gt;&lt;/Cite&gt;&lt;/EndNote&gt;</w:instrText>
      </w:r>
      <w:r w:rsidRPr="00721909">
        <w:rPr>
          <w:rFonts w:ascii="Calibri" w:eastAsia="Times New Roman" w:hAnsi="Calibri" w:cs="Calibri"/>
          <w:bCs/>
          <w:iCs/>
        </w:rPr>
        <w:fldChar w:fldCharType="separate"/>
      </w:r>
      <w:r w:rsidR="00465F33" w:rsidRPr="00465F33">
        <w:rPr>
          <w:rFonts w:ascii="Calibri" w:eastAsia="Calibri" w:hAnsi="Calibri" w:cs="Times New Roman"/>
          <w:noProof/>
          <w:vertAlign w:val="superscript"/>
        </w:rPr>
        <w:t>1</w:t>
      </w:r>
      <w:r w:rsidRPr="00721909">
        <w:rPr>
          <w:rFonts w:ascii="Calibri" w:eastAsia="Calibri" w:hAnsi="Calibri" w:cs="Times New Roman"/>
        </w:rPr>
        <w:fldChar w:fldCharType="end"/>
      </w:r>
      <w:r w:rsidRPr="00721909">
        <w:rPr>
          <w:rFonts w:ascii="Calibri" w:eastAsia="Times New Roman" w:hAnsi="Calibri" w:cs="Times New Roman"/>
        </w:rPr>
        <w:t>. In order to bypass the need to look up extinction coefficients for hundreds of compounds as is done in Tomsho (2011)</w:t>
      </w:r>
      <w:r w:rsidRPr="00721909">
        <w:rPr>
          <w:rFonts w:ascii="Calibri" w:eastAsia="Calibri" w:hAnsi="Calibri" w:cs="Times New Roman"/>
        </w:rPr>
        <w:fldChar w:fldCharType="begin"/>
      </w:r>
      <w:r w:rsidR="00465F33">
        <w:rPr>
          <w:rFonts w:ascii="Calibri" w:eastAsia="Times New Roman" w:hAnsi="Calibri" w:cs="Calibri"/>
          <w:bCs/>
          <w:iCs/>
        </w:rPr>
        <w:instrText xml:space="preserve"> ADDIN EN.CITE &lt;EndNote&gt;&lt;Cite&gt;&lt;Author&gt;Tomsho&lt;/Author&gt;&lt;Year&gt;2011&lt;/Year&gt;&lt;RecNum&gt;50&lt;/RecNum&gt;&lt;DisplayText&gt;&lt;style face="superscript"&gt;2&lt;/style&gt;&lt;/DisplayText&gt;&lt;record&gt;&lt;rec-number&gt;50&lt;/rec-number&gt;&lt;foreign-keys&gt;&lt;key app="EN" db-id="xr02avv21zrfe2evas9xxe5pvsvrwrdtptrx" timestamp="1501275420"&gt;50&lt;/key&gt;&lt;/foreign-keys&gt;&lt;ref-type name="Journal Article"&gt;17&lt;/ref-type&gt;&lt;contributors&gt;&lt;authors&gt;&lt;author&gt;Tomsho, John W&lt;/author&gt;&lt;author&gt;Pal, Arnab&lt;/author&gt;&lt;author&gt;Hall, Dennis G&lt;/author&gt;&lt;author&gt;Benkovic, Stephen J&lt;/author&gt;&lt;/authors&gt;&lt;/contributors&gt;&lt;titles&gt;&lt;title&gt;Ring Structure and Aromatic Substituent Effects on the p K a of the Benzoxaborole Pharmacophore&lt;/title&gt;&lt;secondary-title&gt;ACS medicinal chemistry letters&lt;/secondary-title&gt;&lt;/titles&gt;&lt;periodical&gt;&lt;full-title&gt;ACS medicinal chemistry letters&lt;/full-title&gt;&lt;/periodical&gt;&lt;pages&gt;48-52&lt;/pages&gt;&lt;volume&gt;3&lt;/volume&gt;&lt;number&gt;1&lt;/number&gt;&lt;dates&gt;&lt;year&gt;2011&lt;/year&gt;&lt;/dates&gt;&lt;isbn&gt;1948-5875&lt;/isbn&gt;&lt;urls&gt;&lt;/urls&gt;&lt;/record&gt;&lt;/Cite&gt;&lt;/EndNote&gt;</w:instrText>
      </w:r>
      <w:r w:rsidRPr="00721909">
        <w:rPr>
          <w:rFonts w:ascii="Calibri" w:eastAsia="Times New Roman" w:hAnsi="Calibri" w:cs="Calibri"/>
          <w:bCs/>
          <w:iCs/>
        </w:rPr>
        <w:fldChar w:fldCharType="separate"/>
      </w:r>
      <w:r w:rsidR="00465F33" w:rsidRPr="00465F33">
        <w:rPr>
          <w:rFonts w:ascii="Calibri" w:eastAsia="Calibri" w:hAnsi="Calibri" w:cs="Times New Roman"/>
          <w:noProof/>
          <w:vertAlign w:val="superscript"/>
        </w:rPr>
        <w:t>2</w:t>
      </w:r>
      <w:r w:rsidRPr="00721909">
        <w:rPr>
          <w:rFonts w:ascii="Calibri" w:eastAsia="Calibri" w:hAnsi="Calibri" w:cs="Times New Roman"/>
        </w:rPr>
        <w:fldChar w:fldCharType="end"/>
      </w:r>
      <w:r w:rsidRPr="00721909">
        <w:rPr>
          <w:rFonts w:ascii="Calibri" w:eastAsia="Times New Roman" w:hAnsi="Calibri" w:cs="Times New Roman"/>
        </w:rPr>
        <w:t>, a simplified algebraic method was used per Patterson (1999)</w:t>
      </w:r>
      <w:r w:rsidRPr="00721909">
        <w:rPr>
          <w:rFonts w:ascii="Calibri" w:eastAsia="Calibri" w:hAnsi="Calibri" w:cs="Times New Roman"/>
        </w:rPr>
        <w:fldChar w:fldCharType="begin"/>
      </w:r>
      <w:r w:rsidR="00465F33">
        <w:rPr>
          <w:rFonts w:ascii="Calibri" w:eastAsia="Times New Roman" w:hAnsi="Calibri" w:cs="Calibri"/>
          <w:bCs/>
          <w:iCs/>
        </w:rPr>
        <w:instrText xml:space="preserve"> ADDIN EN.CITE &lt;EndNote&gt;&lt;Cite&gt;&lt;Author&gt;Patterson&lt;/Author&gt;&lt;Year&gt;1999&lt;/Year&gt;&lt;RecNum&gt;51&lt;/RecNum&gt;&lt;DisplayText&gt;&lt;style face="superscript"&gt;3&lt;/style&gt;&lt;/DisplayText&gt;&lt;record&gt;&lt;rec-number&gt;51&lt;/rec-number&gt;&lt;foreign-keys&gt;&lt;key app="EN" db-id="xr02avv21zrfe2evas9xxe5pvsvrwrdtptrx" timestamp="1501275420"&gt;51&lt;/key&gt;&lt;/foreign-keys&gt;&lt;ref-type name="Journal Article"&gt;17&lt;/ref-type&gt;&lt;contributors&gt;&lt;authors&gt;&lt;author&gt;Patterson, George S&lt;/author&gt;&lt;/authors&gt;&lt;/contributors&gt;&lt;titles&gt;&lt;title&gt;A simplified method for finding the pKa of an acid-base indicator by spectrophotometry&lt;/title&gt;&lt;secondary-title&gt;J. Chem. Educ&lt;/secondary-title&gt;&lt;/titles&gt;&lt;periodical&gt;&lt;full-title&gt;J. Chem. Educ&lt;/full-title&gt;&lt;/periodical&gt;&lt;pages&gt;395&lt;/pages&gt;&lt;volume&gt;76&lt;/volume&gt;&lt;number&gt;3&lt;/number&gt;&lt;dates&gt;&lt;year&gt;1999&lt;/year&gt;&lt;/dates&gt;&lt;urls&gt;&lt;/urls&gt;&lt;/record&gt;&lt;/Cite&gt;&lt;/EndNote&gt;</w:instrText>
      </w:r>
      <w:r w:rsidRPr="00721909">
        <w:rPr>
          <w:rFonts w:ascii="Calibri" w:eastAsia="Times New Roman" w:hAnsi="Calibri" w:cs="Calibri"/>
          <w:bCs/>
          <w:iCs/>
        </w:rPr>
        <w:fldChar w:fldCharType="separate"/>
      </w:r>
      <w:r w:rsidR="00465F33" w:rsidRPr="00465F33">
        <w:rPr>
          <w:rFonts w:ascii="Calibri" w:eastAsia="Calibri" w:hAnsi="Calibri" w:cs="Times New Roman"/>
          <w:noProof/>
          <w:vertAlign w:val="superscript"/>
        </w:rPr>
        <w:t>3</w:t>
      </w:r>
      <w:r w:rsidRPr="00721909">
        <w:rPr>
          <w:rFonts w:ascii="Calibri" w:eastAsia="Calibri" w:hAnsi="Calibri" w:cs="Times New Roman"/>
        </w:rPr>
        <w:fldChar w:fldCharType="end"/>
      </w:r>
    </w:p>
    <w:p w14:paraId="47C472F8" w14:textId="51EF4C4F" w:rsidR="00117F9F" w:rsidRPr="00721909" w:rsidRDefault="002E40C2" w:rsidP="00F56714">
      <w:pPr>
        <w:pStyle w:val="Caption"/>
        <w:tabs>
          <w:tab w:val="right" w:pos="8460"/>
        </w:tabs>
        <w:ind w:firstLine="3060"/>
        <w:jc w:val="center"/>
        <w:rPr>
          <w:rFonts w:ascii="Calibri" w:eastAsia="Calibri" w:hAnsi="Calibri" w:cs="Times New Roman"/>
          <w:i w:val="0"/>
          <w:iCs w:val="0"/>
        </w:rPr>
      </w:pPr>
      <m:oMath>
        <m:sSub>
          <m:sSubPr>
            <m:ctrlPr>
              <w:rPr>
                <w:rFonts w:ascii="Cambria Math" w:eastAsia="Times New Roman" w:hAnsi="Cambria Math" w:cs="Calibri"/>
                <w:bCs/>
                <w:color w:val="000000"/>
                <w:kern w:val="24"/>
              </w:rPr>
            </m:ctrlPr>
          </m:sSubPr>
          <m:e>
            <m:r>
              <w:rPr>
                <w:rFonts w:ascii="Cambria Math" w:eastAsia="Calibri" w:hAnsi="Cambria Math" w:cs="Calibri"/>
                <w:color w:val="000000"/>
                <w:kern w:val="24"/>
              </w:rPr>
              <m:t>log</m:t>
            </m:r>
          </m:e>
          <m:sub>
            <m:r>
              <w:rPr>
                <w:rFonts w:ascii="Cambria Math" w:eastAsia="Calibri" w:hAnsi="Cambria Math" w:cs="Calibri"/>
                <w:color w:val="000000"/>
                <w:kern w:val="24"/>
              </w:rPr>
              <m:t>10</m:t>
            </m:r>
          </m:sub>
        </m:sSub>
        <m:d>
          <m:dPr>
            <m:ctrlPr>
              <w:rPr>
                <w:rFonts w:ascii="Cambria Math" w:eastAsia="Calibri" w:hAnsi="Cambria Math" w:cs="Calibri"/>
                <w:color w:val="000000"/>
                <w:kern w:val="24"/>
              </w:rPr>
            </m:ctrlPr>
          </m:dPr>
          <m:e>
            <m:f>
              <m:fPr>
                <m:ctrlPr>
                  <w:rPr>
                    <w:rFonts w:ascii="Cambria Math" w:eastAsia="Calibri" w:hAnsi="Cambria Math" w:cs="Calibri"/>
                    <w:color w:val="000000"/>
                    <w:kern w:val="24"/>
                  </w:rPr>
                </m:ctrlPr>
              </m:fPr>
              <m:num>
                <m:r>
                  <w:rPr>
                    <w:rFonts w:ascii="Cambria Math" w:eastAsia="Calibri" w:hAnsi="Cambria Math" w:cs="Calibri"/>
                    <w:color w:val="000000"/>
                    <w:kern w:val="24"/>
                  </w:rPr>
                  <m:t xml:space="preserve">A - </m:t>
                </m:r>
                <m:sSub>
                  <m:sSubPr>
                    <m:ctrlPr>
                      <w:rPr>
                        <w:rFonts w:ascii="Cambria Math" w:eastAsia="Times New Roman" w:hAnsi="Cambria Math" w:cs="Calibri"/>
                        <w:bCs/>
                        <w:color w:val="000000"/>
                        <w:kern w:val="24"/>
                      </w:rPr>
                    </m:ctrlPr>
                  </m:sSubPr>
                  <m:e>
                    <m:r>
                      <w:rPr>
                        <w:rFonts w:ascii="Cambria Math" w:eastAsia="Calibri" w:hAnsi="Cambria Math" w:cs="Calibri"/>
                        <w:color w:val="000000"/>
                        <w:kern w:val="24"/>
                      </w:rPr>
                      <m:t>A</m:t>
                    </m:r>
                  </m:e>
                  <m:sub>
                    <m:r>
                      <w:rPr>
                        <w:rFonts w:ascii="Cambria Math" w:eastAsia="Calibri" w:hAnsi="Cambria Math" w:cs="Calibri"/>
                        <w:color w:val="000000"/>
                        <w:kern w:val="24"/>
                      </w:rPr>
                      <m:t>In-</m:t>
                    </m:r>
                  </m:sub>
                </m:sSub>
              </m:num>
              <m:den>
                <m:sSub>
                  <m:sSubPr>
                    <m:ctrlPr>
                      <w:rPr>
                        <w:rFonts w:ascii="Cambria Math" w:eastAsia="Times New Roman" w:hAnsi="Cambria Math" w:cs="Calibri"/>
                        <w:bCs/>
                        <w:color w:val="000000"/>
                        <w:kern w:val="24"/>
                      </w:rPr>
                    </m:ctrlPr>
                  </m:sSubPr>
                  <m:e>
                    <m:r>
                      <w:rPr>
                        <w:rFonts w:ascii="Cambria Math" w:eastAsia="Calibri" w:hAnsi="Cambria Math" w:cs="Calibri"/>
                        <w:color w:val="000000"/>
                        <w:kern w:val="24"/>
                      </w:rPr>
                      <m:t>A</m:t>
                    </m:r>
                  </m:e>
                  <m:sub>
                    <m:r>
                      <w:rPr>
                        <w:rFonts w:ascii="Cambria Math" w:eastAsia="Calibri" w:hAnsi="Cambria Math" w:cs="Calibri"/>
                        <w:color w:val="000000"/>
                        <w:kern w:val="24"/>
                      </w:rPr>
                      <m:t>HIn</m:t>
                    </m:r>
                  </m:sub>
                </m:sSub>
                <m:r>
                  <w:rPr>
                    <w:rFonts w:ascii="Cambria Math" w:eastAsia="Calibri" w:hAnsi="Cambria Math" w:cs="Calibri"/>
                    <w:color w:val="000000"/>
                    <w:kern w:val="24"/>
                  </w:rPr>
                  <m:t>- A</m:t>
                </m:r>
              </m:den>
            </m:f>
          </m:e>
        </m:d>
      </m:oMath>
      <w:r w:rsidR="00117F9F" w:rsidRPr="00721909">
        <w:rPr>
          <w:rFonts w:ascii="Calibri" w:eastAsia="Calibri" w:hAnsi="Calibri" w:cs="Times New Roman"/>
          <w:color w:val="000000"/>
          <w:kern w:val="24"/>
        </w:rPr>
        <w:t xml:space="preserve"> = p</w:t>
      </w:r>
      <m:oMath>
        <m:sSub>
          <m:sSubPr>
            <m:ctrlPr>
              <w:rPr>
                <w:rFonts w:ascii="Cambria Math" w:eastAsia="Calibri" w:hAnsi="Cambria Math" w:cs="Calibri"/>
                <w:bCs/>
                <w:color w:val="000000"/>
                <w:kern w:val="24"/>
              </w:rPr>
            </m:ctrlPr>
          </m:sSubPr>
          <m:e>
            <m:r>
              <w:rPr>
                <w:rFonts w:ascii="Cambria Math" w:eastAsia="Calibri" w:hAnsi="Cambria Math" w:cs="Calibri"/>
                <w:color w:val="000000"/>
                <w:kern w:val="24"/>
              </w:rPr>
              <m:t>K</m:t>
            </m:r>
          </m:e>
          <m:sub>
            <m:r>
              <w:rPr>
                <w:rFonts w:ascii="Cambria Math" w:eastAsia="Calibri" w:hAnsi="Cambria Math" w:cs="Calibri"/>
                <w:color w:val="000000"/>
                <w:kern w:val="24"/>
              </w:rPr>
              <m:t>a</m:t>
            </m:r>
          </m:sub>
        </m:sSub>
        <m:r>
          <w:rPr>
            <w:rFonts w:ascii="Cambria Math" w:eastAsia="Calibri" w:hAnsi="Cambria Math" w:cs="Calibri"/>
            <w:color w:val="000000"/>
            <w:kern w:val="24"/>
          </w:rPr>
          <m:t>-pH</m:t>
        </m:r>
      </m:oMath>
      <w:r w:rsidR="00117F9F" w:rsidRPr="00721909">
        <w:rPr>
          <w:rFonts w:ascii="Calibri" w:eastAsia="Calibri" w:hAnsi="Calibri" w:cs="Times New Roman"/>
          <w:color w:val="000000"/>
          <w:kern w:val="24"/>
        </w:rPr>
        <w:t xml:space="preserve"> </w:t>
      </w:r>
      <w:r w:rsidR="00F56714">
        <w:rPr>
          <w:rFonts w:ascii="Calibri" w:eastAsia="Calibri" w:hAnsi="Calibri" w:cs="Times New Roman"/>
          <w:color w:val="000000"/>
          <w:kern w:val="24"/>
        </w:rPr>
        <w:tab/>
      </w:r>
      <w:r w:rsidR="00F56714" w:rsidRPr="00F56714">
        <w:rPr>
          <w:i w:val="0"/>
          <w:color w:val="auto"/>
          <w:sz w:val="22"/>
          <w:szCs w:val="22"/>
        </w:rPr>
        <w:t>Eq</w:t>
      </w:r>
      <w:r w:rsidR="00F56714">
        <w:rPr>
          <w:i w:val="0"/>
          <w:color w:val="auto"/>
          <w:sz w:val="22"/>
          <w:szCs w:val="22"/>
        </w:rPr>
        <w:t>.</w:t>
      </w:r>
      <w:r w:rsidR="00F56714" w:rsidRPr="00F56714">
        <w:rPr>
          <w:color w:val="auto"/>
        </w:rPr>
        <w:t xml:space="preserve"> </w:t>
      </w:r>
      <w:r w:rsidR="00F56714" w:rsidRPr="00F56714">
        <w:rPr>
          <w:i w:val="0"/>
          <w:color w:val="auto"/>
          <w:sz w:val="22"/>
          <w:szCs w:val="22"/>
        </w:rPr>
        <w:t>S</w:t>
      </w:r>
      <w:r w:rsidR="00F56714" w:rsidRPr="00F56714">
        <w:rPr>
          <w:i w:val="0"/>
          <w:color w:val="auto"/>
          <w:sz w:val="22"/>
          <w:szCs w:val="22"/>
        </w:rPr>
        <w:fldChar w:fldCharType="begin"/>
      </w:r>
      <w:r w:rsidR="00F56714" w:rsidRPr="00F56714">
        <w:rPr>
          <w:i w:val="0"/>
          <w:color w:val="auto"/>
          <w:sz w:val="22"/>
          <w:szCs w:val="22"/>
        </w:rPr>
        <w:instrText xml:space="preserve"> SEQ Equation \* ARABIC </w:instrText>
      </w:r>
      <w:r w:rsidR="00F56714" w:rsidRPr="00F56714">
        <w:rPr>
          <w:i w:val="0"/>
          <w:color w:val="auto"/>
          <w:sz w:val="22"/>
          <w:szCs w:val="22"/>
        </w:rPr>
        <w:fldChar w:fldCharType="separate"/>
      </w:r>
      <w:r w:rsidR="008F3B09">
        <w:rPr>
          <w:i w:val="0"/>
          <w:noProof/>
          <w:color w:val="auto"/>
          <w:sz w:val="22"/>
          <w:szCs w:val="22"/>
        </w:rPr>
        <w:t>1</w:t>
      </w:r>
      <w:r w:rsidR="00F56714" w:rsidRPr="00F56714">
        <w:rPr>
          <w:i w:val="0"/>
          <w:color w:val="auto"/>
          <w:sz w:val="22"/>
          <w:szCs w:val="22"/>
        </w:rPr>
        <w:fldChar w:fldCharType="end"/>
      </w:r>
    </w:p>
    <w:p w14:paraId="567B6CF5" w14:textId="78B2880A" w:rsidR="00117F9F" w:rsidRPr="00721909" w:rsidRDefault="00117F9F" w:rsidP="00117F9F">
      <w:pPr>
        <w:spacing w:after="0" w:line="480" w:lineRule="auto"/>
        <w:rPr>
          <w:rFonts w:ascii="Calibri" w:eastAsia="Times New Roman" w:hAnsi="Calibri" w:cs="Times New Roman"/>
        </w:rPr>
      </w:pPr>
      <w:r w:rsidRPr="00721909">
        <w:rPr>
          <w:rFonts w:ascii="Calibri" w:eastAsia="Times New Roman" w:hAnsi="Calibri" w:cs="Times New Roman"/>
        </w:rPr>
        <w:t xml:space="preserve">where </w:t>
      </w:r>
      <m:oMath>
        <m:sSub>
          <m:sSubPr>
            <m:ctrlPr>
              <w:rPr>
                <w:rFonts w:ascii="Cambria Math" w:eastAsia="Times New Roman" w:hAnsi="Cambria Math" w:cs="Calibri"/>
                <w:bCs/>
                <w:i/>
                <w:iCs/>
              </w:rPr>
            </m:ctrlPr>
          </m:sSubPr>
          <m:e>
            <m:r>
              <w:rPr>
                <w:rFonts w:ascii="Cambria Math" w:eastAsia="Times New Roman" w:hAnsi="Cambria Math" w:cs="Calibri"/>
              </w:rPr>
              <m:t>A</m:t>
            </m:r>
          </m:e>
          <m:sub>
            <m:sSup>
              <m:sSupPr>
                <m:ctrlPr>
                  <w:rPr>
                    <w:rFonts w:ascii="Cambria Math" w:eastAsia="Times New Roman" w:hAnsi="Cambria Math" w:cs="Calibri"/>
                    <w:bCs/>
                    <w:i/>
                    <w:iCs/>
                  </w:rPr>
                </m:ctrlPr>
              </m:sSupPr>
              <m:e>
                <m:r>
                  <w:rPr>
                    <w:rFonts w:ascii="Cambria Math" w:eastAsia="Times New Roman" w:hAnsi="Cambria Math" w:cs="Calibri"/>
                  </w:rPr>
                  <m:t>In</m:t>
                </m:r>
              </m:e>
              <m:sup>
                <m:r>
                  <w:rPr>
                    <w:rFonts w:ascii="Cambria Math" w:eastAsia="Times New Roman" w:hAnsi="Cambria Math" w:cs="Calibri"/>
                  </w:rPr>
                  <m:t>-</m:t>
                </m:r>
              </m:sup>
            </m:sSup>
          </m:sub>
        </m:sSub>
      </m:oMath>
      <w:r w:rsidRPr="00721909">
        <w:rPr>
          <w:rFonts w:ascii="Calibri" w:eastAsia="Times New Roman" w:hAnsi="Calibri" w:cs="Times New Roman"/>
        </w:rPr>
        <w:t xml:space="preserve"> is the absorbance of the basic pH solution (10 in most cases) and </w:t>
      </w:r>
      <m:oMath>
        <m:sSub>
          <m:sSubPr>
            <m:ctrlPr>
              <w:rPr>
                <w:rFonts w:ascii="Cambria Math" w:eastAsia="Times New Roman" w:hAnsi="Cambria Math" w:cs="Calibri"/>
                <w:bCs/>
                <w:i/>
                <w:iCs/>
              </w:rPr>
            </m:ctrlPr>
          </m:sSubPr>
          <m:e>
            <m:r>
              <w:rPr>
                <w:rFonts w:ascii="Cambria Math" w:eastAsia="Times New Roman" w:hAnsi="Cambria Math" w:cs="Calibri"/>
              </w:rPr>
              <m:t>A</m:t>
            </m:r>
          </m:e>
          <m:sub>
            <m:r>
              <w:rPr>
                <w:rFonts w:ascii="Cambria Math" w:eastAsia="Times New Roman" w:hAnsi="Cambria Math" w:cs="Calibri"/>
              </w:rPr>
              <m:t>HIn</m:t>
            </m:r>
          </m:sub>
        </m:sSub>
      </m:oMath>
      <w:r w:rsidRPr="00721909">
        <w:rPr>
          <w:rFonts w:ascii="Calibri" w:eastAsia="Times New Roman" w:hAnsi="Calibri" w:cs="Times New Roman"/>
        </w:rPr>
        <w:t xml:space="preserve"> is the absorbance of the acidic pH solution (3 in most cases), and A is the absorbance at various intermediate pH solutions (4,5,7,8 and 9 in most cases). If an absorbance was reported at multiple wavelengths, the method of Salgado and Hernández</w:t>
      </w:r>
      <w:r w:rsidRPr="00721909">
        <w:rPr>
          <w:rFonts w:ascii="Calibri" w:eastAsia="Calibri" w:hAnsi="Calibri" w:cs="Times New Roman"/>
        </w:rPr>
        <w:fldChar w:fldCharType="begin"/>
      </w:r>
      <w:r w:rsidR="00465F33">
        <w:rPr>
          <w:rFonts w:ascii="Calibri" w:eastAsia="Calibri" w:hAnsi="Calibri" w:cs="Times New Roman"/>
        </w:rPr>
        <w:instrText xml:space="preserve"> ADDIN EN.CITE &lt;EndNote&gt;&lt;Cite&gt;&lt;Author&gt;Salgado&lt;/Author&gt;&lt;Year&gt;2014&lt;/Year&gt;&lt;RecNum&gt;52&lt;/RecNum&gt;&lt;DisplayText&gt;&lt;style face="superscript"&gt;4&lt;/style&gt;&lt;/DisplayText&gt;&lt;record&gt;&lt;rec-number&gt;52&lt;/rec-number&gt;&lt;foreign-keys&gt;&lt;key app="EN" db-id="xr02avv21zrfe2evas9xxe5pvsvrwrdtptrx" timestamp="1501275420"&gt;52&lt;/key&gt;&lt;/foreign-keys&gt;&lt;ref-type name="Journal Article"&gt;17&lt;/ref-type&gt;&lt;contributors&gt;&lt;authors&gt;&lt;author&gt;Salgado, LE Vidal&lt;/author&gt;&lt;author&gt;Vargas-Hernández, C&lt;/author&gt;&lt;/authors&gt;&lt;/contributors&gt;&lt;titles&gt;&lt;title&gt;Spectrophotometric determination of the pKa, isosbestic point and equation of absorbance vs. pH for a universal pH indicator&lt;/title&gt;&lt;secondary-title&gt;American Journal of Analytical Chemistry&lt;/secondary-title&gt;&lt;/titles&gt;&lt;periodical&gt;&lt;full-title&gt;American Journal of Analytical Chemistry&lt;/full-title&gt;&lt;/periodical&gt;&lt;pages&gt;1290&lt;/pages&gt;&lt;volume&gt;5&lt;/volume&gt;&lt;number&gt;17&lt;/number&gt;&lt;dates&gt;&lt;year&gt;2014&lt;/year&gt;&lt;/dates&gt;&lt;urls&gt;&lt;/urls&gt;&lt;/record&gt;&lt;/Cite&gt;&lt;/EndNote&gt;</w:instrText>
      </w:r>
      <w:r w:rsidRPr="00721909">
        <w:rPr>
          <w:rFonts w:ascii="Calibri" w:eastAsia="Times New Roman" w:hAnsi="Calibri" w:cs="Calibri"/>
          <w:bCs/>
          <w:iCs/>
        </w:rPr>
        <w:fldChar w:fldCharType="separate"/>
      </w:r>
      <w:r w:rsidR="00465F33" w:rsidRPr="00465F33">
        <w:rPr>
          <w:rFonts w:ascii="Calibri" w:eastAsia="Calibri" w:hAnsi="Calibri" w:cs="Times New Roman"/>
          <w:noProof/>
          <w:vertAlign w:val="superscript"/>
        </w:rPr>
        <w:t>4</w:t>
      </w:r>
      <w:r w:rsidRPr="00721909">
        <w:rPr>
          <w:rFonts w:ascii="Calibri" w:eastAsia="Calibri" w:hAnsi="Calibri" w:cs="Times New Roman"/>
        </w:rPr>
        <w:fldChar w:fldCharType="end"/>
      </w:r>
      <w:r w:rsidRPr="00721909">
        <w:rPr>
          <w:rFonts w:ascii="Calibri" w:eastAsia="Times New Roman" w:hAnsi="Calibri" w:cs="Times New Roman"/>
        </w:rPr>
        <w:t xml:space="preserve"> was used to select the optimal wavelength for pK</w:t>
      </w:r>
      <w:r w:rsidRPr="00721909">
        <w:rPr>
          <w:rFonts w:ascii="Calibri" w:eastAsia="Times New Roman" w:hAnsi="Calibri" w:cs="Times New Roman"/>
          <w:vertAlign w:val="subscript"/>
        </w:rPr>
        <w:t>a</w:t>
      </w:r>
      <w:r w:rsidRPr="00721909">
        <w:rPr>
          <w:rFonts w:ascii="Calibri" w:eastAsia="Times New Roman" w:hAnsi="Calibri" w:cs="Times New Roman"/>
        </w:rPr>
        <w:t xml:space="preserve"> determination . In this method, the wavelength that corresponds to the greatest difference between absorbance curves of the acidic and basic solutions is selected to determine pK</w:t>
      </w:r>
      <w:r w:rsidRPr="00721909">
        <w:rPr>
          <w:rFonts w:ascii="Calibri" w:eastAsia="Times New Roman" w:hAnsi="Calibri" w:cs="Times New Roman"/>
          <w:vertAlign w:val="subscript"/>
        </w:rPr>
        <w:t>a</w:t>
      </w:r>
      <w:r w:rsidRPr="00721909">
        <w:rPr>
          <w:rFonts w:ascii="Calibri" w:eastAsia="Times New Roman" w:hAnsi="Calibri" w:cs="Times New Roman"/>
        </w:rPr>
        <w:t>. An example of this is where a chemical (4-Nitrophenol) had absorbance values collected at three different wavelengths (230, 320, and 400 nm). The absorbance data from the 400 nm wavelength measurement were used to parameterize the Patterson</w:t>
      </w:r>
      <w:r w:rsidRPr="00721909">
        <w:rPr>
          <w:rFonts w:ascii="Calibri" w:eastAsia="Calibri" w:hAnsi="Calibri" w:cs="Times New Roman"/>
        </w:rPr>
        <w:fldChar w:fldCharType="begin"/>
      </w:r>
      <w:r w:rsidR="00465F33">
        <w:rPr>
          <w:rFonts w:ascii="Calibri" w:eastAsia="Calibri" w:hAnsi="Calibri" w:cs="Times New Roman"/>
        </w:rPr>
        <w:instrText xml:space="preserve"> ADDIN EN.CITE &lt;EndNote&gt;&lt;Cite&gt;&lt;Author&gt;Patterson&lt;/Author&gt;&lt;Year&gt;1999&lt;/Year&gt;&lt;RecNum&gt;51&lt;/RecNum&gt;&lt;DisplayText&gt;&lt;style face="superscript"&gt;3&lt;/style&gt;&lt;/DisplayText&gt;&lt;record&gt;&lt;rec-number&gt;51&lt;/rec-number&gt;&lt;foreign-keys&gt;&lt;key app="EN" db-id="xr02avv21zrfe2evas9xxe5pvsvrwrdtptrx" timestamp="1501275420"&gt;51&lt;/key&gt;&lt;/foreign-keys&gt;&lt;ref-type name="Journal Article"&gt;17&lt;/ref-type&gt;&lt;contributors&gt;&lt;authors&gt;&lt;author&gt;Patterson, George S&lt;/author&gt;&lt;/authors&gt;&lt;/contributors&gt;&lt;titles&gt;&lt;title&gt;A simplified method for finding the pKa of an acid-base indicator by spectrophotometry&lt;/title&gt;&lt;secondary-title&gt;J. Chem. Educ&lt;/secondary-title&gt;&lt;/titles&gt;&lt;periodical&gt;&lt;full-title&gt;J. Chem. Educ&lt;/full-title&gt;&lt;/periodical&gt;&lt;pages&gt;395&lt;/pages&gt;&lt;volume&gt;76&lt;/volume&gt;&lt;number&gt;3&lt;/number&gt;&lt;dates&gt;&lt;year&gt;1999&lt;/year&gt;&lt;/dates&gt;&lt;urls&gt;&lt;/urls&gt;&lt;/record&gt;&lt;/Cite&gt;&lt;/EndNote&gt;</w:instrText>
      </w:r>
      <w:r w:rsidRPr="00721909">
        <w:rPr>
          <w:rFonts w:ascii="Calibri" w:eastAsia="Times New Roman" w:hAnsi="Calibri" w:cs="Calibri"/>
          <w:bCs/>
          <w:iCs/>
        </w:rPr>
        <w:fldChar w:fldCharType="separate"/>
      </w:r>
      <w:r w:rsidR="00465F33" w:rsidRPr="00465F33">
        <w:rPr>
          <w:rFonts w:ascii="Calibri" w:eastAsia="Calibri" w:hAnsi="Calibri" w:cs="Times New Roman"/>
          <w:noProof/>
          <w:vertAlign w:val="superscript"/>
        </w:rPr>
        <w:t>3</w:t>
      </w:r>
      <w:r w:rsidRPr="00721909">
        <w:rPr>
          <w:rFonts w:ascii="Calibri" w:eastAsia="Calibri" w:hAnsi="Calibri" w:cs="Times New Roman"/>
        </w:rPr>
        <w:fldChar w:fldCharType="end"/>
      </w:r>
      <w:r w:rsidRPr="00721909">
        <w:rPr>
          <w:rFonts w:ascii="Calibri" w:eastAsia="Times New Roman" w:hAnsi="Calibri" w:cs="Times New Roman"/>
        </w:rPr>
        <w:t xml:space="preserve"> equation and thus pK</w:t>
      </w:r>
      <w:r w:rsidRPr="00721909">
        <w:rPr>
          <w:rFonts w:ascii="Calibri" w:eastAsia="Times New Roman" w:hAnsi="Calibri" w:cs="Times New Roman"/>
          <w:vertAlign w:val="subscript"/>
        </w:rPr>
        <w:t>a</w:t>
      </w:r>
      <w:r w:rsidRPr="00721909">
        <w:rPr>
          <w:rFonts w:ascii="Calibri" w:eastAsia="Times New Roman" w:hAnsi="Calibri" w:cs="Times New Roman"/>
        </w:rPr>
        <w:t xml:space="preserve"> was determined from a linear model fitted to that data (Figure S</w:t>
      </w:r>
      <w:r w:rsidR="00DE638E">
        <w:rPr>
          <w:rFonts w:ascii="Calibri" w:eastAsia="Times New Roman" w:hAnsi="Calibri" w:cs="Times New Roman"/>
        </w:rPr>
        <w:t>10</w:t>
      </w:r>
      <w:r w:rsidRPr="00721909">
        <w:rPr>
          <w:rFonts w:ascii="Calibri" w:eastAsia="Calibri" w:hAnsi="Calibri" w:cs="Times New Roman"/>
        </w:rPr>
        <w:t>)</w:t>
      </w:r>
      <w:r w:rsidRPr="00721909">
        <w:rPr>
          <w:rFonts w:ascii="Calibri" w:eastAsia="Times New Roman" w:hAnsi="Calibri" w:cs="Times New Roman"/>
        </w:rPr>
        <w:t>.</w:t>
      </w:r>
    </w:p>
    <w:p w14:paraId="6D0067FE" w14:textId="77777777" w:rsidR="00117F9F" w:rsidRPr="00117F9F" w:rsidRDefault="00117F9F" w:rsidP="00117F9F"/>
    <w:p w14:paraId="3C2EBE6D" w14:textId="77777777" w:rsidR="009A3C06" w:rsidRDefault="009A3C06" w:rsidP="00117F9F">
      <w:pPr>
        <w:pStyle w:val="Heading2"/>
        <w:spacing w:line="480" w:lineRule="auto"/>
      </w:pPr>
      <w:r>
        <w:t>Structural Similarity of Measured Chemicals</w:t>
      </w:r>
    </w:p>
    <w:p w14:paraId="684C2852" w14:textId="17CAF2E0" w:rsidR="009A3C06" w:rsidRDefault="009A3C06" w:rsidP="00117F9F">
      <w:pPr>
        <w:spacing w:line="480" w:lineRule="auto"/>
      </w:pPr>
      <w:r>
        <w:t>In an effort to understand the diversity of the chemicals analyzed experimentally, as well as explain why some chemicals were able to produce experimental estimate values whereas others were not, the structural similarity of the 200 chemicals was compared. This was done by computing a pair-wise similarity matrix (i.e., a 200-by-200 matrix) where each element represents the Tanimoto</w:t>
      </w:r>
      <w:r w:rsidR="00465F33">
        <w:fldChar w:fldCharType="begin"/>
      </w:r>
      <w:r w:rsidR="00465F33">
        <w:instrText xml:space="preserve"> ADDIN EN.CITE &lt;EndNote&gt;&lt;Cite&gt;&lt;Author&gt;Tanimoto&lt;/Author&gt;&lt;Year&gt;1958&lt;/Year&gt;&lt;RecNum&gt;47&lt;/RecNum&gt;&lt;DisplayText&gt;&lt;style face="superscript"&gt;5&lt;/style&gt;&lt;/DisplayText&gt;&lt;record&gt;&lt;rec-number&gt;47&lt;/rec-number&gt;&lt;foreign-keys&gt;&lt;key app="EN" db-id="xr02avv21zrfe2evas9xxe5pvsvrwrdtptrx" timestamp="1501275420"&gt;47&lt;/key&gt;&lt;/foreign-keys&gt;&lt;ref-type name="Journal Article"&gt;17&lt;/ref-type&gt;&lt;contributors&gt;&lt;authors&gt;&lt;author&gt;Tanimoto, Taffee T&lt;/author&gt;&lt;/authors&gt;&lt;/contributors&gt;&lt;titles&gt;&lt;title&gt;Elementary mathematical theory of classification and prediction&lt;/title&gt;&lt;/titles&gt;&lt;dates&gt;&lt;year&gt;1958&lt;/year&gt;&lt;/dates&gt;&lt;urls&gt;&lt;/urls&gt;&lt;/record&gt;&lt;/Cite&gt;&lt;/EndNote&gt;</w:instrText>
      </w:r>
      <w:r w:rsidR="00465F33">
        <w:fldChar w:fldCharType="separate"/>
      </w:r>
      <w:r w:rsidR="00465F33" w:rsidRPr="00465F33">
        <w:rPr>
          <w:noProof/>
          <w:vertAlign w:val="superscript"/>
        </w:rPr>
        <w:t>5</w:t>
      </w:r>
      <w:r w:rsidR="00465F33">
        <w:fldChar w:fldCharType="end"/>
      </w:r>
      <w:r>
        <w:t xml:space="preserve"> similarity between a pair of chemicals. ToxPrint fingerprints</w:t>
      </w:r>
      <w:r w:rsidR="00465F33">
        <w:fldChar w:fldCharType="begin"/>
      </w:r>
      <w:r w:rsidR="00465F33">
        <w:instrText xml:space="preserve"> ADDIN EN.CITE &lt;EndNote&gt;&lt;Cite&gt;&lt;Author&gt;Yang&lt;/Author&gt;&lt;Year&gt;2013&lt;/Year&gt;&lt;RecNum&gt;55&lt;/RecNum&gt;&lt;DisplayText&gt;&lt;style face="superscript"&gt;6&lt;/style&gt;&lt;/DisplayText&gt;&lt;record&gt;&lt;rec-number&gt;55&lt;/rec-number&gt;&lt;foreign-keys&gt;&lt;key app="EN" db-id="xr02avv21zrfe2evas9xxe5pvsvrwrdtptrx" timestamp="1501275420"&gt;55&lt;/key&gt;&lt;/foreign-keys&gt;&lt;ref-type name="Conference Proceedings"&gt;10&lt;/ref-type&gt;&lt;contributors&gt;&lt;authors&gt;&lt;author&gt;Yang, C&lt;/author&gt;&lt;author&gt;Arvidson, K&lt;/author&gt;&lt;author&gt;Richard, A&lt;/author&gt;&lt;author&gt;Worth, A&lt;/author&gt;&lt;author&gt;Tarkhov, A&lt;/author&gt;&lt;author&gt;Ringeissen, S&lt;/author&gt;&lt;author&gt;Marusczyk, J&lt;/author&gt;&lt;author&gt;Gasteiger, J&lt;/author&gt;&lt;author&gt;Rathman, J&lt;/author&gt;&lt;author&gt;Schwab, C&lt;/author&gt;&lt;/authors&gt;&lt;/contributors&gt;&lt;titles&gt;&lt;title&gt;CHEMOTYPES AND CHEMOTYPER: A new structure representation standard to include atomic/bond properties into structural alerts for toxicity effects and mechanisms&lt;/title&gt;&lt;secondary-title&gt;52nd Annual Meeting of the Society of Toxicology&lt;/secondary-title&gt;&lt;/titles&gt;&lt;pages&gt;10-14&lt;/pages&gt;&lt;dates&gt;&lt;year&gt;2013&lt;/year&gt;&lt;/dates&gt;&lt;urls&gt;&lt;/urls&gt;&lt;/record&gt;&lt;/Cite&gt;&lt;/EndNote&gt;</w:instrText>
      </w:r>
      <w:r w:rsidR="00465F33">
        <w:fldChar w:fldCharType="separate"/>
      </w:r>
      <w:r w:rsidR="00465F33" w:rsidRPr="00465F33">
        <w:rPr>
          <w:noProof/>
          <w:vertAlign w:val="superscript"/>
        </w:rPr>
        <w:t>6</w:t>
      </w:r>
      <w:r w:rsidR="00465F33">
        <w:fldChar w:fldCharType="end"/>
      </w:r>
      <w:r>
        <w:t xml:space="preserve"> were used as bits in the computation of the similarity matrix. Fingerprints were removed if all values were constant across the 200 chemicals (e.g., if all </w:t>
      </w:r>
      <w:r>
        <w:lastRenderedPageBreak/>
        <w:t>chemicals had a value of 0 for a given fingerprint, it was removed). Tanimoto</w:t>
      </w:r>
      <w:r w:rsidR="00465F33">
        <w:fldChar w:fldCharType="begin"/>
      </w:r>
      <w:r w:rsidR="00465F33">
        <w:instrText xml:space="preserve"> ADDIN EN.CITE &lt;EndNote&gt;&lt;Cite&gt;&lt;Author&gt;Tanimoto&lt;/Author&gt;&lt;Year&gt;1958&lt;/Year&gt;&lt;RecNum&gt;47&lt;/RecNum&gt;&lt;DisplayText&gt;&lt;style face="superscript"&gt;5&lt;/style&gt;&lt;/DisplayText&gt;&lt;record&gt;&lt;rec-number&gt;47&lt;/rec-number&gt;&lt;foreign-keys&gt;&lt;key app="EN" db-id="xr02avv21zrfe2evas9xxe5pvsvrwrdtptrx" timestamp="1501275420"&gt;47&lt;/key&gt;&lt;/foreign-keys&gt;&lt;ref-type name="Journal Article"&gt;17&lt;/ref-type&gt;&lt;contributors&gt;&lt;authors&gt;&lt;author&gt;Tanimoto, Taffee T&lt;/author&gt;&lt;/authors&gt;&lt;/contributors&gt;&lt;titles&gt;&lt;title&gt;Elementary mathematical theory of classification and prediction&lt;/title&gt;&lt;/titles&gt;&lt;dates&gt;&lt;year&gt;1958&lt;/year&gt;&lt;/dates&gt;&lt;urls&gt;&lt;/urls&gt;&lt;/record&gt;&lt;/Cite&gt;&lt;/EndNote&gt;</w:instrText>
      </w:r>
      <w:r w:rsidR="00465F33">
        <w:fldChar w:fldCharType="separate"/>
      </w:r>
      <w:r w:rsidR="00465F33" w:rsidRPr="00465F33">
        <w:rPr>
          <w:noProof/>
          <w:vertAlign w:val="superscript"/>
        </w:rPr>
        <w:t>5</w:t>
      </w:r>
      <w:r w:rsidR="00465F33">
        <w:fldChar w:fldCharType="end"/>
      </w:r>
      <w:r>
        <w:t xml:space="preserve"> similarity is calculated according to the equation:</w:t>
      </w:r>
    </w:p>
    <w:p w14:paraId="4CB3D1FE" w14:textId="78D247EF" w:rsidR="009A3C06" w:rsidRDefault="008934B5" w:rsidP="00F56714">
      <w:pPr>
        <w:tabs>
          <w:tab w:val="right" w:pos="8370"/>
        </w:tabs>
        <w:spacing w:line="480" w:lineRule="auto"/>
        <w:ind w:firstLine="2880"/>
        <w:jc w:val="center"/>
      </w:pPr>
      <m:oMath>
        <m:r>
          <w:rPr>
            <w:rFonts w:ascii="Cambria Math" w:hAnsi="Cambria Math"/>
          </w:rPr>
          <m:t xml:space="preserve">S=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TT</m:t>
                </m:r>
              </m:sub>
            </m:sSub>
          </m:num>
          <m:den>
            <m:sSub>
              <m:sSubPr>
                <m:ctrlPr>
                  <w:rPr>
                    <w:rFonts w:ascii="Cambria Math" w:hAnsi="Cambria Math"/>
                    <w:i/>
                  </w:rPr>
                </m:ctrlPr>
              </m:sSubPr>
              <m:e>
                <m:r>
                  <w:rPr>
                    <w:rFonts w:ascii="Cambria Math" w:hAnsi="Cambria Math"/>
                  </w:rPr>
                  <m:t>n</m:t>
                </m:r>
              </m:e>
              <m:sub>
                <m:r>
                  <w:rPr>
                    <w:rFonts w:ascii="Cambria Math" w:hAnsi="Cambria Math"/>
                  </w:rPr>
                  <m:t>TT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FT</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TF</m:t>
                </m:r>
              </m:sub>
            </m:sSub>
          </m:den>
        </m:f>
      </m:oMath>
      <w:r w:rsidR="00F56714">
        <w:rPr>
          <w:rFonts w:eastAsiaTheme="minorEastAsia"/>
          <w:i/>
        </w:rPr>
        <w:t xml:space="preserve"> </w:t>
      </w:r>
      <w:r w:rsidR="00F56714">
        <w:rPr>
          <w:rFonts w:eastAsiaTheme="minorEastAsia"/>
          <w:i/>
        </w:rPr>
        <w:tab/>
      </w:r>
      <w:r w:rsidR="00F56714" w:rsidRPr="00F56714">
        <w:t>Eq. S</w:t>
      </w:r>
      <w:r w:rsidR="00F56714">
        <w:t>2</w:t>
      </w:r>
    </w:p>
    <w:p w14:paraId="5859E87C" w14:textId="6F586C17" w:rsidR="009A3C06" w:rsidRDefault="009A3C06" w:rsidP="00712447">
      <w:pPr>
        <w:spacing w:line="480" w:lineRule="auto"/>
      </w:pPr>
      <w:r>
        <w:t>where S is the pair-wise Tanimoto</w:t>
      </w:r>
      <w:r w:rsidR="00465F33">
        <w:fldChar w:fldCharType="begin"/>
      </w:r>
      <w:r w:rsidR="00465F33">
        <w:instrText xml:space="preserve"> ADDIN EN.CITE &lt;EndNote&gt;&lt;Cite&gt;&lt;Author&gt;Tanimoto&lt;/Author&gt;&lt;Year&gt;1958&lt;/Year&gt;&lt;RecNum&gt;47&lt;/RecNum&gt;&lt;DisplayText&gt;&lt;style face="superscript"&gt;5&lt;/style&gt;&lt;/DisplayText&gt;&lt;record&gt;&lt;rec-number&gt;47&lt;/rec-number&gt;&lt;foreign-keys&gt;&lt;key app="EN" db-id="xr02avv21zrfe2evas9xxe5pvsvrwrdtptrx" timestamp="1501275420"&gt;47&lt;/key&gt;&lt;/foreign-keys&gt;&lt;ref-type name="Journal Article"&gt;17&lt;/ref-type&gt;&lt;contributors&gt;&lt;authors&gt;&lt;author&gt;Tanimoto, Taffee T&lt;/author&gt;&lt;/authors&gt;&lt;/contributors&gt;&lt;titles&gt;&lt;title&gt;Elementary mathematical theory of classification and prediction&lt;/title&gt;&lt;/titles&gt;&lt;dates&gt;&lt;year&gt;1958&lt;/year&gt;&lt;/dates&gt;&lt;urls&gt;&lt;/urls&gt;&lt;/record&gt;&lt;/Cite&gt;&lt;/EndNote&gt;</w:instrText>
      </w:r>
      <w:r w:rsidR="00465F33">
        <w:fldChar w:fldCharType="separate"/>
      </w:r>
      <w:r w:rsidR="00465F33" w:rsidRPr="00465F33">
        <w:rPr>
          <w:noProof/>
          <w:vertAlign w:val="superscript"/>
        </w:rPr>
        <w:t>5</w:t>
      </w:r>
      <w:r w:rsidR="00465F33">
        <w:fldChar w:fldCharType="end"/>
      </w:r>
      <w:r>
        <w:t xml:space="preserve"> similarity between two chemicals, n</w:t>
      </w:r>
      <w:r w:rsidRPr="008934B5">
        <w:rPr>
          <w:vertAlign w:val="subscript"/>
        </w:rPr>
        <w:t>TF</w:t>
      </w:r>
      <w:r>
        <w:t xml:space="preserve"> is the number of bits in the fingerprint that are true (present) in the first chemicals but are false (absent) in the second chemical, n</w:t>
      </w:r>
      <w:r w:rsidRPr="008934B5">
        <w:rPr>
          <w:vertAlign w:val="subscript"/>
        </w:rPr>
        <w:t>FT</w:t>
      </w:r>
      <w:r>
        <w:t xml:space="preserve"> are the number of bits that are false in the first chemical, but are true in the second chemical, and n</w:t>
      </w:r>
      <w:r w:rsidRPr="008934B5">
        <w:rPr>
          <w:vertAlign w:val="subscript"/>
        </w:rPr>
        <w:t>TT</w:t>
      </w:r>
      <w:r>
        <w:t xml:space="preserve"> are the number of bits that are true in both the first chemical and the second chemical. In essence, this metric is the ratio of the number of bits that are present in both chemicals to the total number of bits that are present either chemicals of the pair. The QSAR-ready SMILES string for each chemical, as well as the ToxPrint fingerprints of all 200 chemicals, are provided in Table S1</w:t>
      </w:r>
      <w:r w:rsidR="00BA7600">
        <w:t>2</w:t>
      </w:r>
      <w:r>
        <w:t>.</w:t>
      </w:r>
    </w:p>
    <w:p w14:paraId="4372DD7F" w14:textId="45B77C06" w:rsidR="006968F5" w:rsidRDefault="006968F5"/>
    <w:p w14:paraId="67FFF1B4" w14:textId="333D0298" w:rsidR="00117F9F" w:rsidRDefault="00117F9F" w:rsidP="00117F9F">
      <w:pPr>
        <w:pStyle w:val="Heading1"/>
      </w:pPr>
      <w:r>
        <w:t>SI CODE</w:t>
      </w:r>
    </w:p>
    <w:p w14:paraId="61B8C18B" w14:textId="020ECEA4" w:rsidR="008853A6" w:rsidRDefault="008E41A8">
      <w:r>
        <w:t xml:space="preserve">Code </w:t>
      </w:r>
      <w:r w:rsidR="00117F9F">
        <w:t>S1: KNIME workflow for test chemical selection and associated data (S1_Chemical_Selection_Data.zip)</w:t>
      </w:r>
      <w:r w:rsidR="008853A6">
        <w:br w:type="page"/>
      </w:r>
    </w:p>
    <w:p w14:paraId="52EA1D94" w14:textId="77777777" w:rsidR="00C119C7" w:rsidRDefault="00712447" w:rsidP="00C119C7">
      <w:pPr>
        <w:pStyle w:val="Heading1"/>
      </w:pPr>
      <w:r>
        <w:lastRenderedPageBreak/>
        <w:t>SI FIGURES</w:t>
      </w:r>
    </w:p>
    <w:p w14:paraId="61FD2F0A" w14:textId="77777777" w:rsidR="00712447" w:rsidRDefault="00712447" w:rsidP="00712447">
      <w:pPr>
        <w:jc w:val="center"/>
      </w:pPr>
      <w:r>
        <w:rPr>
          <w:noProof/>
        </w:rPr>
        <w:drawing>
          <wp:inline distT="0" distB="0" distL="0" distR="0" wp14:anchorId="305E4179" wp14:editId="2B027A3A">
            <wp:extent cx="4825039" cy="319813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w_structural_similarity_lzw.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25523" cy="3198456"/>
                    </a:xfrm>
                    <a:prstGeom prst="rect">
                      <a:avLst/>
                    </a:prstGeom>
                  </pic:spPr>
                </pic:pic>
              </a:graphicData>
            </a:graphic>
          </wp:inline>
        </w:drawing>
      </w:r>
    </w:p>
    <w:p w14:paraId="53F68F07" w14:textId="6FA2DC3F" w:rsidR="008853A6" w:rsidRDefault="00712447">
      <w:r w:rsidRPr="000D6920">
        <w:t xml:space="preserve">Figure </w:t>
      </w:r>
      <w:r>
        <w:t>S</w:t>
      </w:r>
      <w:r w:rsidR="00DE638E">
        <w:t>1</w:t>
      </w:r>
      <w:r>
        <w:t>. S</w:t>
      </w:r>
      <w:r w:rsidRPr="009677E8">
        <w:t>tructural similarity of chemicals with octanol-water partition coefficient values for both previous measurements (i.e., PHYSPROP measurements) and new estimated experiments.</w:t>
      </w:r>
      <w:r w:rsidR="008853A6">
        <w:br w:type="page"/>
      </w:r>
    </w:p>
    <w:p w14:paraId="203A6FBF" w14:textId="77777777" w:rsidR="00712447" w:rsidRDefault="00712447" w:rsidP="00712447">
      <w:pPr>
        <w:jc w:val="center"/>
      </w:pPr>
      <w:r>
        <w:rPr>
          <w:noProof/>
        </w:rPr>
        <w:lastRenderedPageBreak/>
        <w:drawing>
          <wp:inline distT="0" distB="0" distL="0" distR="0" wp14:anchorId="1917D08D" wp14:editId="41A85DA8">
            <wp:extent cx="4868562" cy="3226982"/>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p_structural_similarity_lzw.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70512" cy="3228274"/>
                    </a:xfrm>
                    <a:prstGeom prst="rect">
                      <a:avLst/>
                    </a:prstGeom>
                  </pic:spPr>
                </pic:pic>
              </a:graphicData>
            </a:graphic>
          </wp:inline>
        </w:drawing>
      </w:r>
    </w:p>
    <w:p w14:paraId="651C678C" w14:textId="12E992D0" w:rsidR="008853A6" w:rsidRDefault="00712447">
      <w:r w:rsidRPr="000D6920">
        <w:t xml:space="preserve">Figure </w:t>
      </w:r>
      <w:r>
        <w:t>S</w:t>
      </w:r>
      <w:r w:rsidR="00DE638E">
        <w:t>2</w:t>
      </w:r>
      <w:r>
        <w:t xml:space="preserve">. </w:t>
      </w:r>
      <w:r w:rsidRPr="009677E8">
        <w:t>Structural similarity of chemicals with vapor pressure values for both previous measurements (i.e., PHYSPROP measurements) and new estimated experiments.</w:t>
      </w:r>
      <w:r w:rsidR="008853A6">
        <w:br w:type="page"/>
      </w:r>
    </w:p>
    <w:p w14:paraId="6086C60E" w14:textId="77777777" w:rsidR="00712447" w:rsidRDefault="00712447" w:rsidP="00712447">
      <w:pPr>
        <w:jc w:val="center"/>
      </w:pPr>
      <w:r>
        <w:rPr>
          <w:noProof/>
        </w:rPr>
        <w:lastRenderedPageBreak/>
        <w:drawing>
          <wp:inline distT="0" distB="0" distL="0" distR="0" wp14:anchorId="731DC4DA" wp14:editId="5815E2B1">
            <wp:extent cx="5081286" cy="335820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s_structural_similarity_lzw.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0026" cy="3363985"/>
                    </a:xfrm>
                    <a:prstGeom prst="rect">
                      <a:avLst/>
                    </a:prstGeom>
                  </pic:spPr>
                </pic:pic>
              </a:graphicData>
            </a:graphic>
          </wp:inline>
        </w:drawing>
      </w:r>
    </w:p>
    <w:p w14:paraId="092C8E97" w14:textId="704D5241" w:rsidR="008853A6" w:rsidRDefault="00712447">
      <w:r w:rsidRPr="000D6920">
        <w:t xml:space="preserve">Figure </w:t>
      </w:r>
      <w:r>
        <w:t>S</w:t>
      </w:r>
      <w:r w:rsidR="00DE638E">
        <w:t>3</w:t>
      </w:r>
      <w:r>
        <w:t>. S</w:t>
      </w:r>
      <w:r w:rsidRPr="009677E8">
        <w:t>tructural similarity of chemicals with water solubility values for both previous measurements (i.e., PHYSPROP measurements) and new estimated experiments.</w:t>
      </w:r>
      <w:r w:rsidR="008853A6">
        <w:br w:type="page"/>
      </w:r>
    </w:p>
    <w:p w14:paraId="606073A8" w14:textId="77777777" w:rsidR="00712447" w:rsidRDefault="00712447" w:rsidP="00712447">
      <w:pPr>
        <w:jc w:val="center"/>
      </w:pPr>
      <w:r>
        <w:rPr>
          <w:noProof/>
        </w:rPr>
        <w:lastRenderedPageBreak/>
        <w:drawing>
          <wp:inline distT="0" distB="0" distL="0" distR="0" wp14:anchorId="5AA6981C" wp14:editId="44265505">
            <wp:extent cx="5185442" cy="34370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lc_structural_similarity.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9549" cy="3446366"/>
                    </a:xfrm>
                    <a:prstGeom prst="rect">
                      <a:avLst/>
                    </a:prstGeom>
                  </pic:spPr>
                </pic:pic>
              </a:graphicData>
            </a:graphic>
          </wp:inline>
        </w:drawing>
      </w:r>
    </w:p>
    <w:p w14:paraId="3894B40B" w14:textId="0C42C03C" w:rsidR="008853A6" w:rsidRDefault="00712447">
      <w:r w:rsidRPr="000D6920">
        <w:t xml:space="preserve">Figure </w:t>
      </w:r>
      <w:r>
        <w:t>S</w:t>
      </w:r>
      <w:r w:rsidR="00DE638E">
        <w:t>4</w:t>
      </w:r>
      <w:r>
        <w:t xml:space="preserve">. </w:t>
      </w:r>
      <w:r w:rsidRPr="009677E8">
        <w:t>Structural similarity of chemicals with Henry's Law constant values for both previous measurements (i.e., PHYSPROP measurements) and new estimated experiments.</w:t>
      </w:r>
      <w:r w:rsidR="008853A6">
        <w:br w:type="page"/>
      </w:r>
    </w:p>
    <w:p w14:paraId="0377C3BA" w14:textId="3B8A07C6" w:rsidR="00C119C7" w:rsidRDefault="00A1560F" w:rsidP="00C119C7">
      <w:r>
        <w:rPr>
          <w:noProof/>
        </w:rPr>
        <w:lastRenderedPageBreak/>
        <w:drawing>
          <wp:inline distT="0" distB="0" distL="0" distR="0" wp14:anchorId="3958FB0A" wp14:editId="257AA321">
            <wp:extent cx="5943600" cy="3714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P_Analysis_2018-04-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1F834133" w14:textId="075D0AB1" w:rsidR="00C119C7" w:rsidRDefault="00C119C7" w:rsidP="00C119C7">
      <w:r>
        <w:t>Figure S</w:t>
      </w:r>
      <w:r w:rsidR="00DE638E">
        <w:t>5</w:t>
      </w:r>
      <w:r>
        <w:t xml:space="preserve">. Plot of new experimental estimates vs predicted values </w:t>
      </w:r>
      <w:r w:rsidR="00A1560F">
        <w:t>along with linear regression equation, r</w:t>
      </w:r>
      <w:r w:rsidR="00A1560F" w:rsidRPr="00A1560F">
        <w:rPr>
          <w:vertAlign w:val="superscript"/>
        </w:rPr>
        <w:t>2</w:t>
      </w:r>
      <w:r w:rsidR="00A1560F">
        <w:t>, and 95</w:t>
      </w:r>
      <w:r w:rsidR="00A1560F" w:rsidRPr="00A1560F">
        <w:rPr>
          <w:vertAlign w:val="superscript"/>
        </w:rPr>
        <w:t>th</w:t>
      </w:r>
      <w:r w:rsidR="00A1560F">
        <w:t xml:space="preserve"> percent confidence interval </w:t>
      </w:r>
      <w:r>
        <w:t>from A) ACD/Labs, B) ChemProp, C) EPI Suite, D) NICEATM, E) OPERA, and previous measurements from F) PHYSPROP for octanol-water partitioning coefficient (Log10(Kow)).</w:t>
      </w:r>
      <w:r>
        <w:br w:type="page"/>
      </w:r>
    </w:p>
    <w:p w14:paraId="0968F349" w14:textId="696C03FA" w:rsidR="00C119C7" w:rsidRDefault="00A1560F" w:rsidP="00C119C7">
      <w:pPr>
        <w:keepNext/>
        <w:contextualSpacing/>
        <w:jc w:val="center"/>
      </w:pPr>
      <w:r>
        <w:rPr>
          <w:noProof/>
        </w:rPr>
        <w:lastRenderedPageBreak/>
        <w:drawing>
          <wp:inline distT="0" distB="0" distL="0" distR="0" wp14:anchorId="6FE17033" wp14:editId="75B2EB20">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P_Analysis_2018-04-0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E8A242D" w14:textId="25ADE4E2" w:rsidR="00C119C7" w:rsidRDefault="00C119C7" w:rsidP="00C119C7">
      <w:pPr>
        <w:pStyle w:val="Caption"/>
        <w:rPr>
          <w:iCs w:val="0"/>
        </w:rPr>
      </w:pPr>
      <w:r w:rsidRPr="007F248B">
        <w:rPr>
          <w:i w:val="0"/>
          <w:color w:val="auto"/>
          <w:sz w:val="22"/>
          <w:szCs w:val="22"/>
        </w:rPr>
        <w:t xml:space="preserve">Figure </w:t>
      </w:r>
      <w:r>
        <w:rPr>
          <w:i w:val="0"/>
          <w:color w:val="auto"/>
          <w:sz w:val="22"/>
          <w:szCs w:val="22"/>
        </w:rPr>
        <w:t>S</w:t>
      </w:r>
      <w:r w:rsidR="00DE638E">
        <w:rPr>
          <w:i w:val="0"/>
          <w:color w:val="auto"/>
          <w:sz w:val="22"/>
          <w:szCs w:val="22"/>
        </w:rPr>
        <w:t>6</w:t>
      </w:r>
      <w:r w:rsidRPr="007F248B">
        <w:rPr>
          <w:i w:val="0"/>
          <w:color w:val="auto"/>
          <w:sz w:val="22"/>
          <w:szCs w:val="22"/>
        </w:rPr>
        <w:t xml:space="preserve">. Plot of new </w:t>
      </w:r>
      <w:r w:rsidRPr="003472F9">
        <w:rPr>
          <w:i w:val="0"/>
          <w:color w:val="auto"/>
          <w:sz w:val="22"/>
          <w:szCs w:val="22"/>
        </w:rPr>
        <w:t xml:space="preserve">experimental estimates </w:t>
      </w:r>
      <w:r w:rsidRPr="007F248B">
        <w:rPr>
          <w:i w:val="0"/>
          <w:color w:val="auto"/>
          <w:sz w:val="22"/>
          <w:szCs w:val="22"/>
        </w:rPr>
        <w:t xml:space="preserve">vs predicted values </w:t>
      </w:r>
      <w:r w:rsidR="00A1560F" w:rsidRPr="00A1560F">
        <w:rPr>
          <w:i w:val="0"/>
          <w:color w:val="auto"/>
          <w:sz w:val="22"/>
          <w:szCs w:val="22"/>
        </w:rPr>
        <w:t xml:space="preserve">along with linear regression equation, r2, and 95th percent confidence interval </w:t>
      </w:r>
      <w:r w:rsidRPr="007F248B">
        <w:rPr>
          <w:i w:val="0"/>
          <w:color w:val="auto"/>
          <w:sz w:val="22"/>
          <w:szCs w:val="22"/>
        </w:rPr>
        <w:t>from A) ChemProp</w:t>
      </w:r>
      <w:r>
        <w:rPr>
          <w:i w:val="0"/>
          <w:color w:val="auto"/>
          <w:sz w:val="22"/>
          <w:szCs w:val="22"/>
        </w:rPr>
        <w:t>, B) EPI Suite</w:t>
      </w:r>
      <w:r w:rsidRPr="007F248B">
        <w:rPr>
          <w:i w:val="0"/>
          <w:color w:val="auto"/>
          <w:sz w:val="22"/>
          <w:szCs w:val="22"/>
        </w:rPr>
        <w:t xml:space="preserve">, </w:t>
      </w:r>
      <w:r>
        <w:rPr>
          <w:i w:val="0"/>
          <w:color w:val="auto"/>
          <w:sz w:val="22"/>
          <w:szCs w:val="22"/>
        </w:rPr>
        <w:t>C) OPERA,</w:t>
      </w:r>
      <w:r w:rsidRPr="007F248B">
        <w:rPr>
          <w:i w:val="0"/>
          <w:color w:val="auto"/>
          <w:sz w:val="22"/>
          <w:szCs w:val="22"/>
        </w:rPr>
        <w:t xml:space="preserve"> and previous measurements from </w:t>
      </w:r>
      <w:r>
        <w:rPr>
          <w:i w:val="0"/>
          <w:color w:val="auto"/>
          <w:sz w:val="22"/>
          <w:szCs w:val="22"/>
        </w:rPr>
        <w:t>D</w:t>
      </w:r>
      <w:r w:rsidRPr="007F248B">
        <w:rPr>
          <w:i w:val="0"/>
          <w:color w:val="auto"/>
          <w:sz w:val="22"/>
          <w:szCs w:val="22"/>
        </w:rPr>
        <w:t xml:space="preserve">) </w:t>
      </w:r>
      <w:r>
        <w:rPr>
          <w:i w:val="0"/>
          <w:color w:val="auto"/>
          <w:sz w:val="22"/>
          <w:szCs w:val="22"/>
        </w:rPr>
        <w:t>PHYSPROP</w:t>
      </w:r>
      <w:r w:rsidRPr="007F248B">
        <w:rPr>
          <w:i w:val="0"/>
          <w:color w:val="auto"/>
          <w:sz w:val="22"/>
          <w:szCs w:val="22"/>
        </w:rPr>
        <w:t xml:space="preserve"> for </w:t>
      </w:r>
      <w:r>
        <w:rPr>
          <w:i w:val="0"/>
          <w:color w:val="auto"/>
          <w:sz w:val="22"/>
          <w:szCs w:val="22"/>
        </w:rPr>
        <w:t>vapor pressure (VP).</w:t>
      </w:r>
      <w:r>
        <w:rPr>
          <w:i w:val="0"/>
          <w:color w:val="auto"/>
          <w:sz w:val="22"/>
          <w:szCs w:val="22"/>
        </w:rPr>
        <w:br w:type="page"/>
      </w:r>
    </w:p>
    <w:p w14:paraId="349A97F5" w14:textId="46D531BB" w:rsidR="00C119C7" w:rsidRDefault="00A1560F" w:rsidP="00C119C7">
      <w:pPr>
        <w:jc w:val="center"/>
      </w:pPr>
      <w:r>
        <w:rPr>
          <w:noProof/>
        </w:rPr>
        <w:lastRenderedPageBreak/>
        <w:drawing>
          <wp:inline distT="0" distB="0" distL="0" distR="0" wp14:anchorId="7BE1B23D" wp14:editId="2E315285">
            <wp:extent cx="5943600" cy="3714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S_Analysis_2018-04-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DF18014" w14:textId="157C2A9B" w:rsidR="00C119C7" w:rsidRDefault="00C119C7" w:rsidP="00C119C7">
      <w:r w:rsidRPr="00DD1F2D">
        <w:t xml:space="preserve">Figure </w:t>
      </w:r>
      <w:r>
        <w:t>S</w:t>
      </w:r>
      <w:r w:rsidR="00DE638E">
        <w:t>7</w:t>
      </w:r>
      <w:r w:rsidRPr="00DD1F2D">
        <w:t>.</w:t>
      </w:r>
      <w:r>
        <w:t xml:space="preserve"> Plot of new experimental estimates</w:t>
      </w:r>
      <w:r w:rsidRPr="00DD1F2D">
        <w:t xml:space="preserve"> vs </w:t>
      </w:r>
      <w:r>
        <w:t xml:space="preserve">predicted values </w:t>
      </w:r>
      <w:r w:rsidR="00A1560F">
        <w:t>along with linear regression equation, r</w:t>
      </w:r>
      <w:r w:rsidR="00A1560F" w:rsidRPr="00A1560F">
        <w:rPr>
          <w:vertAlign w:val="superscript"/>
        </w:rPr>
        <w:t>2</w:t>
      </w:r>
      <w:r w:rsidR="00A1560F">
        <w:t>, and 95</w:t>
      </w:r>
      <w:r w:rsidR="00A1560F" w:rsidRPr="00A1560F">
        <w:rPr>
          <w:vertAlign w:val="superscript"/>
        </w:rPr>
        <w:t>th</w:t>
      </w:r>
      <w:r w:rsidR="00A1560F">
        <w:t xml:space="preserve"> percent confidence interval </w:t>
      </w:r>
      <w:r>
        <w:t xml:space="preserve">from </w:t>
      </w:r>
      <w:r w:rsidRPr="00DF39C2">
        <w:t>A) ACD/L</w:t>
      </w:r>
      <w:r>
        <w:t>abs (sequoia dots), B) ChemProp</w:t>
      </w:r>
      <w:r w:rsidRPr="00DF39C2">
        <w:t>, C) EPI Suite, D) NICEATM</w:t>
      </w:r>
      <w:r>
        <w:t>, E) OPERA</w:t>
      </w:r>
      <w:r w:rsidRPr="00DF39C2">
        <w:t xml:space="preserve">, and previous measurements from F) </w:t>
      </w:r>
      <w:r>
        <w:t xml:space="preserve">PHYSPROP, </w:t>
      </w:r>
      <w:r w:rsidRPr="00DF39C2">
        <w:t xml:space="preserve">and previous measurements from F) </w:t>
      </w:r>
      <w:r>
        <w:t>PHYSPROP</w:t>
      </w:r>
      <w:r w:rsidRPr="00DF39C2">
        <w:t xml:space="preserve"> </w:t>
      </w:r>
      <w:r>
        <w:t>for water solubility (WS).</w:t>
      </w:r>
      <w:r>
        <w:br w:type="page"/>
      </w:r>
    </w:p>
    <w:p w14:paraId="64CB81CA" w14:textId="401862F8" w:rsidR="00C119C7" w:rsidRDefault="00A1560F" w:rsidP="00C119C7">
      <w:pPr>
        <w:jc w:val="center"/>
      </w:pPr>
      <w:r>
        <w:rPr>
          <w:noProof/>
        </w:rPr>
        <w:lastRenderedPageBreak/>
        <w:drawing>
          <wp:inline distT="0" distB="0" distL="0" distR="0" wp14:anchorId="02998D4E" wp14:editId="4BB77802">
            <wp:extent cx="5943600" cy="2080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LC_Analysis_2018-04-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080260"/>
                    </a:xfrm>
                    <a:prstGeom prst="rect">
                      <a:avLst/>
                    </a:prstGeom>
                  </pic:spPr>
                </pic:pic>
              </a:graphicData>
            </a:graphic>
          </wp:inline>
        </w:drawing>
      </w:r>
    </w:p>
    <w:p w14:paraId="2388CC12" w14:textId="32B68C8D" w:rsidR="00DE638E" w:rsidRDefault="00C119C7">
      <w:r w:rsidRPr="00DD1F2D">
        <w:t xml:space="preserve">Figure </w:t>
      </w:r>
      <w:r>
        <w:t>S</w:t>
      </w:r>
      <w:r w:rsidR="00DE638E">
        <w:t>8</w:t>
      </w:r>
      <w:r w:rsidRPr="00DD1F2D">
        <w:t>.</w:t>
      </w:r>
      <w:r>
        <w:t xml:space="preserve"> Plot of new experimental estimates </w:t>
      </w:r>
      <w:r w:rsidRPr="00DD1F2D">
        <w:t xml:space="preserve">vs </w:t>
      </w:r>
      <w:r>
        <w:t>predicted values</w:t>
      </w:r>
      <w:r w:rsidR="00A1560F">
        <w:t xml:space="preserve"> along with linear regression equation, r</w:t>
      </w:r>
      <w:r w:rsidR="00A1560F" w:rsidRPr="00A1560F">
        <w:rPr>
          <w:vertAlign w:val="superscript"/>
        </w:rPr>
        <w:t>2</w:t>
      </w:r>
      <w:r w:rsidR="00A1560F">
        <w:t>, and 95</w:t>
      </w:r>
      <w:r w:rsidR="00A1560F" w:rsidRPr="00A1560F">
        <w:rPr>
          <w:vertAlign w:val="superscript"/>
        </w:rPr>
        <w:t>th</w:t>
      </w:r>
      <w:r w:rsidR="00A1560F">
        <w:t xml:space="preserve"> percent confidence interval </w:t>
      </w:r>
      <w:r>
        <w:t xml:space="preserve">from A) EPI Suite, B) OPERA, and previous </w:t>
      </w:r>
      <w:r w:rsidRPr="00DD1F2D">
        <w:t>mea</w:t>
      </w:r>
      <w:r>
        <w:t>surements from C) PHYSPROP</w:t>
      </w:r>
      <w:r w:rsidRPr="00DD1F2D">
        <w:t xml:space="preserve"> </w:t>
      </w:r>
      <w:r>
        <w:t>for Henry’s Law Constant (HLC).</w:t>
      </w:r>
      <w:r w:rsidR="00DE638E">
        <w:br w:type="page"/>
      </w:r>
    </w:p>
    <w:p w14:paraId="78348FF1" w14:textId="77777777" w:rsidR="00DE638E" w:rsidRDefault="00DE638E" w:rsidP="00C119C7"/>
    <w:p w14:paraId="62D9AB55" w14:textId="77777777" w:rsidR="00DE638E" w:rsidRDefault="00DE638E" w:rsidP="00DE638E">
      <w:r>
        <w:rPr>
          <w:noProof/>
        </w:rPr>
        <w:drawing>
          <wp:inline distT="0" distB="0" distL="0" distR="0" wp14:anchorId="60EAE72F" wp14:editId="2EB3EBF0">
            <wp:extent cx="5943600"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iled_estimates_similiarities.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14:paraId="538ED4AA" w14:textId="77777777" w:rsidR="00DE638E" w:rsidRDefault="00DE638E" w:rsidP="00DE638E"/>
    <w:p w14:paraId="2981501B" w14:textId="6A7CABF6" w:rsidR="00DE638E" w:rsidRDefault="00DE638E" w:rsidP="00DE638E">
      <w:r>
        <w:t>Figure S9: Heatmap representing the Tanimoto similarity matrix of all 200 chemicals investigated in this study. The color bars to the top and left side of the matrix indicate the types of experimental estimates that failed (if any). Within each type of failure, the similarity matrix has been sorted via hierarchical clustering of similarity values throughout the matrix. High similarity values (i.e., pairs of chemical structures that are very similar to one another) are shown in black, while low similarity values (i.e., pairs of chemical structures that are very dissimilar to one another) are shown in white according to the color bar at the bottom of the heatmap. The numbers of chemicals that had a specific combination of failures are shown in parentheses in the legend.</w:t>
      </w:r>
      <w:r>
        <w:br w:type="page"/>
      </w:r>
    </w:p>
    <w:p w14:paraId="6D8379C0" w14:textId="3E5CC781" w:rsidR="00C119C7" w:rsidRDefault="00C119C7" w:rsidP="00C119C7">
      <w:r>
        <w:rPr>
          <w:noProof/>
        </w:rPr>
        <w:lastRenderedPageBreak/>
        <w:drawing>
          <wp:inline distT="0" distB="0" distL="0" distR="0" wp14:anchorId="7BF22503" wp14:editId="1382D370">
            <wp:extent cx="4317501" cy="668274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pKa_DTXSID0021834_Manuscript_080817.png"/>
                    <pic:cNvPicPr/>
                  </pic:nvPicPr>
                  <pic:blipFill rotWithShape="1">
                    <a:blip r:embed="rId16">
                      <a:extLst>
                        <a:ext uri="{28A0092B-C50C-407E-A947-70E740481C1C}">
                          <a14:useLocalDpi xmlns:a14="http://schemas.microsoft.com/office/drawing/2010/main" val="0"/>
                        </a:ext>
                      </a:extLst>
                    </a:blip>
                    <a:srcRect r="22596"/>
                    <a:stretch/>
                  </pic:blipFill>
                  <pic:spPr bwMode="auto">
                    <a:xfrm>
                      <a:off x="0" y="0"/>
                      <a:ext cx="4318369" cy="6684083"/>
                    </a:xfrm>
                    <a:prstGeom prst="rect">
                      <a:avLst/>
                    </a:prstGeom>
                    <a:ln>
                      <a:noFill/>
                    </a:ln>
                    <a:extLst>
                      <a:ext uri="{53640926-AAD7-44D8-BBD7-CCE9431645EC}">
                        <a14:shadowObscured xmlns:a14="http://schemas.microsoft.com/office/drawing/2010/main"/>
                      </a:ext>
                    </a:extLst>
                  </pic:spPr>
                </pic:pic>
              </a:graphicData>
            </a:graphic>
          </wp:inline>
        </w:drawing>
      </w:r>
    </w:p>
    <w:p w14:paraId="67E29EC7" w14:textId="2F56E705" w:rsidR="00C119C7" w:rsidRDefault="00C119C7" w:rsidP="00C119C7">
      <w:r>
        <w:t>Figure S</w:t>
      </w:r>
      <w:r w:rsidR="00DE638E">
        <w:t>10</w:t>
      </w:r>
      <w:r>
        <w:t>. Illustration of wavelength selection for the determination of the acid dissociation constant (pKa): A. various wavelengths (nm) and absorbance measurements for a range of pH values and B. wavelength selection used in the determination of pKa values using a linear equation, where A in the absorbance at intermediate pH values, A</w:t>
      </w:r>
      <w:r w:rsidRPr="00CF2E21">
        <w:rPr>
          <w:vertAlign w:val="subscript"/>
        </w:rPr>
        <w:t>HIn</w:t>
      </w:r>
      <w:r>
        <w:t xml:space="preserve"> is the absorbance at pH = 3, and A</w:t>
      </w:r>
      <w:r w:rsidRPr="00CF2E21">
        <w:rPr>
          <w:vertAlign w:val="subscript"/>
        </w:rPr>
        <w:t>In-</w:t>
      </w:r>
      <w:r>
        <w:t xml:space="preserve"> is the absorbance at pH = 10.</w:t>
      </w:r>
      <w:r>
        <w:br w:type="page"/>
      </w:r>
    </w:p>
    <w:p w14:paraId="6CE93645" w14:textId="77777777" w:rsidR="00C119C7" w:rsidRDefault="00C119C7"/>
    <w:p w14:paraId="4B8A20DE" w14:textId="02DA77A0" w:rsidR="00117F9F" w:rsidRDefault="00117F9F" w:rsidP="000D6920">
      <w:pPr>
        <w:pStyle w:val="Heading1"/>
      </w:pPr>
      <w:r>
        <w:t>SI TABLES</w:t>
      </w:r>
    </w:p>
    <w:p w14:paraId="440E5DCB" w14:textId="405BB8D7" w:rsidR="005C1244" w:rsidRDefault="00117F9F" w:rsidP="005C1244">
      <w:r>
        <w:t>Table S</w:t>
      </w:r>
      <w:r w:rsidR="005C1244">
        <w:t>1</w:t>
      </w:r>
      <w:r>
        <w:t xml:space="preserve">. </w:t>
      </w:r>
      <w:r w:rsidR="00922BF2">
        <w:t xml:space="preserve">Experimental estimates of </w:t>
      </w:r>
      <w:r w:rsidR="00263E97">
        <w:t>l</w:t>
      </w:r>
      <w:r>
        <w:t>og</w:t>
      </w:r>
      <w:r w:rsidR="00263E97" w:rsidRPr="00263E97">
        <w:rPr>
          <w:vertAlign w:val="subscript"/>
        </w:rPr>
        <w:t>10</w:t>
      </w:r>
      <w:r w:rsidR="00263E97">
        <w:t>(K</w:t>
      </w:r>
      <w:r w:rsidR="00263E97" w:rsidRPr="00263E97">
        <w:rPr>
          <w:vertAlign w:val="subscript"/>
        </w:rPr>
        <w:t>ow</w:t>
      </w:r>
      <w:r w:rsidR="00263E97">
        <w:t>)</w:t>
      </w:r>
      <w:r>
        <w:t>, VP, HLC, WS, and pK</w:t>
      </w:r>
      <w:r w:rsidRPr="00263E97">
        <w:rPr>
          <w:vertAlign w:val="subscript"/>
        </w:rPr>
        <w:t>a</w:t>
      </w:r>
      <w:r>
        <w:t xml:space="preserve"> experimental estimates </w:t>
      </w:r>
      <w:r w:rsidR="00922BF2">
        <w:t>for 200 submitted compounds</w:t>
      </w:r>
      <w:r>
        <w:t xml:space="preserve"> (</w:t>
      </w:r>
      <w:r w:rsidR="00922BF2">
        <w:t>a</w:t>
      </w:r>
      <w:r>
        <w:t xml:space="preserve">ttached </w:t>
      </w:r>
      <w:r w:rsidR="00922BF2">
        <w:t>s</w:t>
      </w:r>
      <w:r>
        <w:t>preadsheet)</w:t>
      </w:r>
      <w:r w:rsidR="00922BF2">
        <w:t>.</w:t>
      </w:r>
    </w:p>
    <w:p w14:paraId="0CE4AA80" w14:textId="50A8C7FE" w:rsidR="00117F9F" w:rsidRDefault="00117F9F" w:rsidP="00117F9F">
      <w:r>
        <w:t>Table S</w:t>
      </w:r>
      <w:r w:rsidR="005C1244">
        <w:t>2</w:t>
      </w:r>
      <w:r>
        <w:t xml:space="preserve">. OPERA predictions for </w:t>
      </w:r>
      <w:r w:rsidRPr="00893380">
        <w:rPr>
          <w:rFonts w:eastAsiaTheme="minorEastAsia"/>
        </w:rPr>
        <w:t>log</w:t>
      </w:r>
      <w:r w:rsidRPr="00893380">
        <w:rPr>
          <w:rFonts w:eastAsiaTheme="minorEastAsia"/>
          <w:vertAlign w:val="subscript"/>
        </w:rPr>
        <w:t>10</w:t>
      </w:r>
      <w:r w:rsidRPr="00893380">
        <w:rPr>
          <w:rFonts w:eastAsiaTheme="minorEastAsia"/>
        </w:rPr>
        <w:t>(K</w:t>
      </w:r>
      <w:r w:rsidRPr="00893380">
        <w:rPr>
          <w:rFonts w:eastAsiaTheme="minorEastAsia"/>
          <w:vertAlign w:val="subscript"/>
        </w:rPr>
        <w:t>ow</w:t>
      </w:r>
      <w:r w:rsidRPr="00893380">
        <w:rPr>
          <w:rFonts w:eastAsiaTheme="minorEastAsia"/>
        </w:rPr>
        <w:t>)</w:t>
      </w:r>
      <w:r w:rsidRPr="5CADDBDB">
        <w:rPr>
          <w:rFonts w:eastAsiaTheme="minorEastAsia"/>
          <w:lang w:val="en-GB"/>
        </w:rPr>
        <w:t xml:space="preserve">, </w:t>
      </w:r>
      <w:r>
        <w:rPr>
          <w:rFonts w:eastAsiaTheme="minorEastAsia"/>
          <w:lang w:val="en-GB"/>
        </w:rPr>
        <w:t>VP</w:t>
      </w:r>
      <w:r w:rsidRPr="5CADDBDB">
        <w:rPr>
          <w:rFonts w:eastAsiaTheme="minorEastAsia"/>
          <w:lang w:val="en-GB"/>
        </w:rPr>
        <w:t xml:space="preserve">, </w:t>
      </w:r>
      <w:r>
        <w:rPr>
          <w:rFonts w:eastAsiaTheme="minorEastAsia"/>
          <w:lang w:val="en-GB"/>
        </w:rPr>
        <w:t>WS</w:t>
      </w:r>
      <w:r w:rsidRPr="5CADDBDB">
        <w:rPr>
          <w:rFonts w:eastAsiaTheme="minorEastAsia"/>
          <w:lang w:val="en-GB"/>
        </w:rPr>
        <w:t xml:space="preserve">, </w:t>
      </w:r>
      <w:r>
        <w:rPr>
          <w:rFonts w:eastAsiaTheme="minorEastAsia"/>
          <w:lang w:val="en-GB"/>
        </w:rPr>
        <w:t xml:space="preserve">and HLC </w:t>
      </w:r>
      <w:r>
        <w:t>along with confidence levels and their global and local applicability domain</w:t>
      </w:r>
      <w:r w:rsidR="00922BF2">
        <w:t xml:space="preserve"> (attached spreadsheet)</w:t>
      </w:r>
      <w:r>
        <w:t>.</w:t>
      </w:r>
    </w:p>
    <w:p w14:paraId="09B6613C" w14:textId="5A23C24E" w:rsidR="00694D9A" w:rsidRDefault="00694D9A" w:rsidP="00694D9A">
      <w:pPr>
        <w:spacing w:after="0"/>
      </w:pPr>
      <w:r>
        <w:t xml:space="preserve">Table S3. </w:t>
      </w:r>
      <w:r w:rsidRPr="00694D9A">
        <w:t>Physicochemical property units given by each of the seven sources where applicable.</w:t>
      </w:r>
    </w:p>
    <w:tbl>
      <w:tblPr>
        <w:tblW w:w="8870" w:type="dxa"/>
        <w:jc w:val="center"/>
        <w:tblLook w:val="04A0" w:firstRow="1" w:lastRow="0" w:firstColumn="1" w:lastColumn="0" w:noHBand="0" w:noVBand="1"/>
      </w:tblPr>
      <w:tblGrid>
        <w:gridCol w:w="2160"/>
        <w:gridCol w:w="1050"/>
        <w:gridCol w:w="1354"/>
        <w:gridCol w:w="1282"/>
        <w:gridCol w:w="1860"/>
        <w:gridCol w:w="1164"/>
      </w:tblGrid>
      <w:tr w:rsidR="00694D9A" w:rsidRPr="00A97000" w14:paraId="056FE0D6" w14:textId="77777777" w:rsidTr="00140AA3">
        <w:trPr>
          <w:trHeight w:val="315"/>
          <w:jc w:val="center"/>
        </w:trPr>
        <w:tc>
          <w:tcPr>
            <w:tcW w:w="2160" w:type="dxa"/>
            <w:tcBorders>
              <w:top w:val="nil"/>
              <w:left w:val="nil"/>
              <w:bottom w:val="single" w:sz="8" w:space="0" w:color="auto"/>
              <w:right w:val="nil"/>
            </w:tcBorders>
            <w:shd w:val="clear" w:color="auto" w:fill="FFFFFF"/>
            <w:noWrap/>
            <w:vAlign w:val="bottom"/>
            <w:hideMark/>
          </w:tcPr>
          <w:p w14:paraId="59BF3E45" w14:textId="3B3B1BBA" w:rsidR="00694D9A" w:rsidRPr="00A97000" w:rsidRDefault="00694D9A" w:rsidP="00140AA3">
            <w:pPr>
              <w:spacing w:after="0" w:line="240" w:lineRule="auto"/>
              <w:rPr>
                <w:rFonts w:ascii="Calibri" w:eastAsia="Times New Roman" w:hAnsi="Calibri" w:cs="Calibri"/>
                <w:color w:val="000000"/>
              </w:rPr>
            </w:pPr>
          </w:p>
        </w:tc>
        <w:tc>
          <w:tcPr>
            <w:tcW w:w="1050" w:type="dxa"/>
            <w:tcBorders>
              <w:top w:val="nil"/>
              <w:left w:val="nil"/>
              <w:bottom w:val="single" w:sz="8" w:space="0" w:color="auto"/>
              <w:right w:val="nil"/>
            </w:tcBorders>
            <w:shd w:val="clear" w:color="auto" w:fill="FFFFFF"/>
            <w:noWrap/>
            <w:vAlign w:val="bottom"/>
            <w:hideMark/>
          </w:tcPr>
          <w:p w14:paraId="18C4BD47" w14:textId="77777777" w:rsidR="00694D9A" w:rsidRPr="00A97000" w:rsidRDefault="00694D9A" w:rsidP="00140AA3">
            <w:pPr>
              <w:spacing w:after="0" w:line="240" w:lineRule="auto"/>
              <w:rPr>
                <w:rFonts w:ascii="Calibri" w:eastAsia="Times New Roman" w:hAnsi="Calibri" w:cs="Calibri"/>
                <w:color w:val="000000"/>
              </w:rPr>
            </w:pPr>
            <w:r w:rsidRPr="00A97000">
              <w:rPr>
                <w:rFonts w:ascii="Calibri" w:eastAsia="Times New Roman" w:hAnsi="Calibri" w:cs="Calibri"/>
                <w:color w:val="000000"/>
              </w:rPr>
              <w:t> </w:t>
            </w:r>
          </w:p>
        </w:tc>
        <w:tc>
          <w:tcPr>
            <w:tcW w:w="1354" w:type="dxa"/>
            <w:tcBorders>
              <w:top w:val="nil"/>
              <w:left w:val="nil"/>
              <w:bottom w:val="single" w:sz="8" w:space="0" w:color="auto"/>
              <w:right w:val="nil"/>
            </w:tcBorders>
            <w:shd w:val="clear" w:color="auto" w:fill="FFFFFF"/>
            <w:noWrap/>
            <w:vAlign w:val="bottom"/>
            <w:hideMark/>
          </w:tcPr>
          <w:p w14:paraId="4E9E08F6" w14:textId="77777777" w:rsidR="00694D9A" w:rsidRPr="00A97000" w:rsidRDefault="00694D9A" w:rsidP="00140AA3">
            <w:pPr>
              <w:spacing w:after="0" w:line="240" w:lineRule="auto"/>
              <w:rPr>
                <w:rFonts w:ascii="Calibri" w:eastAsia="Times New Roman" w:hAnsi="Calibri" w:cs="Calibri"/>
                <w:color w:val="000000"/>
              </w:rPr>
            </w:pPr>
            <w:r w:rsidRPr="00A97000">
              <w:rPr>
                <w:rFonts w:ascii="Calibri" w:eastAsia="Times New Roman" w:hAnsi="Calibri" w:cs="Calibri"/>
                <w:color w:val="000000"/>
              </w:rPr>
              <w:t> </w:t>
            </w:r>
          </w:p>
        </w:tc>
        <w:tc>
          <w:tcPr>
            <w:tcW w:w="1282" w:type="dxa"/>
            <w:tcBorders>
              <w:top w:val="nil"/>
              <w:left w:val="nil"/>
              <w:bottom w:val="single" w:sz="8" w:space="0" w:color="auto"/>
              <w:right w:val="nil"/>
            </w:tcBorders>
            <w:shd w:val="clear" w:color="auto" w:fill="FFFFFF"/>
            <w:noWrap/>
            <w:vAlign w:val="bottom"/>
            <w:hideMark/>
          </w:tcPr>
          <w:p w14:paraId="1FCA99BD" w14:textId="77777777" w:rsidR="00694D9A" w:rsidRPr="00A97000" w:rsidRDefault="00694D9A" w:rsidP="00140AA3">
            <w:pPr>
              <w:spacing w:after="0" w:line="240" w:lineRule="auto"/>
              <w:rPr>
                <w:rFonts w:ascii="Calibri" w:eastAsia="Times New Roman" w:hAnsi="Calibri" w:cs="Calibri"/>
                <w:color w:val="000000"/>
              </w:rPr>
            </w:pPr>
            <w:r w:rsidRPr="00A97000">
              <w:rPr>
                <w:rFonts w:ascii="Calibri" w:eastAsia="Times New Roman" w:hAnsi="Calibri" w:cs="Calibri"/>
                <w:color w:val="000000"/>
              </w:rPr>
              <w:t> </w:t>
            </w:r>
          </w:p>
        </w:tc>
        <w:tc>
          <w:tcPr>
            <w:tcW w:w="1860" w:type="dxa"/>
            <w:tcBorders>
              <w:top w:val="nil"/>
              <w:left w:val="nil"/>
              <w:bottom w:val="single" w:sz="8" w:space="0" w:color="auto"/>
              <w:right w:val="nil"/>
            </w:tcBorders>
            <w:shd w:val="clear" w:color="auto" w:fill="FFFFFF"/>
            <w:noWrap/>
            <w:vAlign w:val="bottom"/>
            <w:hideMark/>
          </w:tcPr>
          <w:p w14:paraId="3A78AF5E" w14:textId="77777777" w:rsidR="00694D9A" w:rsidRPr="00A97000" w:rsidRDefault="00694D9A" w:rsidP="00140AA3">
            <w:pPr>
              <w:spacing w:after="0" w:line="240" w:lineRule="auto"/>
              <w:rPr>
                <w:rFonts w:ascii="Calibri" w:eastAsia="Times New Roman" w:hAnsi="Calibri" w:cs="Calibri"/>
                <w:color w:val="000000"/>
              </w:rPr>
            </w:pPr>
            <w:r w:rsidRPr="00A97000">
              <w:rPr>
                <w:rFonts w:ascii="Calibri" w:eastAsia="Times New Roman" w:hAnsi="Calibri" w:cs="Calibri"/>
                <w:color w:val="000000"/>
              </w:rPr>
              <w:t> </w:t>
            </w:r>
          </w:p>
        </w:tc>
        <w:tc>
          <w:tcPr>
            <w:tcW w:w="1164" w:type="dxa"/>
            <w:tcBorders>
              <w:top w:val="nil"/>
              <w:left w:val="nil"/>
              <w:bottom w:val="single" w:sz="8" w:space="0" w:color="auto"/>
              <w:right w:val="nil"/>
            </w:tcBorders>
            <w:shd w:val="clear" w:color="auto" w:fill="FFFFFF"/>
            <w:noWrap/>
            <w:vAlign w:val="center"/>
            <w:hideMark/>
          </w:tcPr>
          <w:p w14:paraId="42EC7C78"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 </w:t>
            </w:r>
          </w:p>
        </w:tc>
      </w:tr>
      <w:tr w:rsidR="00694D9A" w:rsidRPr="00A97000" w14:paraId="78B18520" w14:textId="77777777" w:rsidTr="00140AA3">
        <w:trPr>
          <w:trHeight w:val="375"/>
          <w:jc w:val="center"/>
        </w:trPr>
        <w:tc>
          <w:tcPr>
            <w:tcW w:w="2160" w:type="dxa"/>
            <w:tcBorders>
              <w:top w:val="nil"/>
              <w:left w:val="nil"/>
              <w:bottom w:val="single" w:sz="8" w:space="0" w:color="auto"/>
              <w:right w:val="nil"/>
            </w:tcBorders>
            <w:shd w:val="clear" w:color="auto" w:fill="FFFFFF"/>
            <w:noWrap/>
            <w:vAlign w:val="center"/>
            <w:hideMark/>
          </w:tcPr>
          <w:p w14:paraId="30113208"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 xml:space="preserve">Data Source </w:t>
            </w:r>
          </w:p>
        </w:tc>
        <w:tc>
          <w:tcPr>
            <w:tcW w:w="1050" w:type="dxa"/>
            <w:tcBorders>
              <w:top w:val="nil"/>
              <w:left w:val="nil"/>
              <w:bottom w:val="single" w:sz="8" w:space="0" w:color="auto"/>
              <w:right w:val="nil"/>
            </w:tcBorders>
            <w:shd w:val="clear" w:color="auto" w:fill="FFFFFF"/>
            <w:noWrap/>
            <w:vAlign w:val="center"/>
            <w:hideMark/>
          </w:tcPr>
          <w:p w14:paraId="1EB930E7" w14:textId="77777777" w:rsidR="00694D9A" w:rsidRPr="00A97000" w:rsidRDefault="00694D9A" w:rsidP="00140AA3">
            <w:pPr>
              <w:spacing w:after="0" w:line="240" w:lineRule="auto"/>
              <w:jc w:val="center"/>
              <w:rPr>
                <w:rFonts w:ascii="Calibri" w:eastAsia="Times New Roman" w:hAnsi="Calibri" w:cs="Calibri"/>
                <w:b/>
                <w:bCs/>
                <w:color w:val="000000"/>
              </w:rPr>
            </w:pPr>
            <w:r w:rsidRPr="00A97000">
              <w:rPr>
                <w:rFonts w:ascii="Calibri" w:eastAsia="Times New Roman" w:hAnsi="Calibri" w:cs="Calibri"/>
                <w:b/>
                <w:bCs/>
                <w:color w:val="000000"/>
              </w:rPr>
              <w:t>K</w:t>
            </w:r>
            <w:r w:rsidRPr="00A97000">
              <w:rPr>
                <w:rFonts w:ascii="Calibri" w:eastAsia="Times New Roman" w:hAnsi="Calibri" w:cs="Calibri"/>
                <w:b/>
                <w:bCs/>
                <w:color w:val="000000"/>
                <w:vertAlign w:val="subscript"/>
              </w:rPr>
              <w:t xml:space="preserve">ow </w:t>
            </w:r>
            <w:r w:rsidRPr="00A97000">
              <w:rPr>
                <w:rFonts w:ascii="Calibri" w:eastAsia="Times New Roman" w:hAnsi="Calibri" w:cs="Calibri"/>
                <w:b/>
                <w:bCs/>
                <w:color w:val="000000"/>
              </w:rPr>
              <w:t>Units</w:t>
            </w:r>
          </w:p>
        </w:tc>
        <w:tc>
          <w:tcPr>
            <w:tcW w:w="1354" w:type="dxa"/>
            <w:tcBorders>
              <w:top w:val="nil"/>
              <w:left w:val="nil"/>
              <w:bottom w:val="single" w:sz="8" w:space="0" w:color="auto"/>
              <w:right w:val="nil"/>
            </w:tcBorders>
            <w:shd w:val="clear" w:color="auto" w:fill="FFFFFF"/>
            <w:noWrap/>
            <w:vAlign w:val="center"/>
            <w:hideMark/>
          </w:tcPr>
          <w:p w14:paraId="4195D925" w14:textId="77777777" w:rsidR="00694D9A" w:rsidRPr="00A97000" w:rsidRDefault="00694D9A" w:rsidP="00140AA3">
            <w:pPr>
              <w:spacing w:after="0" w:line="240" w:lineRule="auto"/>
              <w:jc w:val="center"/>
              <w:rPr>
                <w:rFonts w:ascii="Calibri" w:eastAsia="Times New Roman" w:hAnsi="Calibri" w:cs="Calibri"/>
                <w:b/>
                <w:bCs/>
                <w:color w:val="000000"/>
              </w:rPr>
            </w:pPr>
            <w:r w:rsidRPr="00A97000">
              <w:rPr>
                <w:rFonts w:ascii="Calibri" w:eastAsia="Times New Roman" w:hAnsi="Calibri" w:cs="Calibri"/>
                <w:b/>
                <w:bCs/>
                <w:color w:val="000000"/>
              </w:rPr>
              <w:t>VP Units</w:t>
            </w:r>
          </w:p>
        </w:tc>
        <w:tc>
          <w:tcPr>
            <w:tcW w:w="1282" w:type="dxa"/>
            <w:tcBorders>
              <w:top w:val="nil"/>
              <w:left w:val="nil"/>
              <w:bottom w:val="single" w:sz="8" w:space="0" w:color="auto"/>
              <w:right w:val="nil"/>
            </w:tcBorders>
            <w:shd w:val="clear" w:color="auto" w:fill="FFFFFF"/>
            <w:noWrap/>
            <w:vAlign w:val="center"/>
            <w:hideMark/>
          </w:tcPr>
          <w:p w14:paraId="2CB8485E" w14:textId="77777777" w:rsidR="00694D9A" w:rsidRPr="00A97000" w:rsidRDefault="00694D9A" w:rsidP="00140AA3">
            <w:pPr>
              <w:spacing w:after="0" w:line="240" w:lineRule="auto"/>
              <w:jc w:val="center"/>
              <w:rPr>
                <w:rFonts w:ascii="Calibri" w:eastAsia="Times New Roman" w:hAnsi="Calibri" w:cs="Calibri"/>
                <w:b/>
                <w:bCs/>
                <w:color w:val="000000"/>
              </w:rPr>
            </w:pPr>
            <w:r w:rsidRPr="00A97000">
              <w:rPr>
                <w:rFonts w:ascii="Calibri" w:eastAsia="Times New Roman" w:hAnsi="Calibri" w:cs="Calibri"/>
                <w:b/>
                <w:bCs/>
                <w:color w:val="000000"/>
              </w:rPr>
              <w:t>WS Units</w:t>
            </w:r>
          </w:p>
        </w:tc>
        <w:tc>
          <w:tcPr>
            <w:tcW w:w="1860" w:type="dxa"/>
            <w:tcBorders>
              <w:top w:val="nil"/>
              <w:left w:val="nil"/>
              <w:bottom w:val="single" w:sz="8" w:space="0" w:color="auto"/>
              <w:right w:val="nil"/>
            </w:tcBorders>
            <w:shd w:val="clear" w:color="auto" w:fill="FFFFFF"/>
            <w:noWrap/>
            <w:vAlign w:val="center"/>
            <w:hideMark/>
          </w:tcPr>
          <w:p w14:paraId="34BD1584" w14:textId="77777777" w:rsidR="00694D9A" w:rsidRPr="00A97000" w:rsidRDefault="00694D9A" w:rsidP="00140AA3">
            <w:pPr>
              <w:spacing w:after="0" w:line="240" w:lineRule="auto"/>
              <w:jc w:val="center"/>
              <w:rPr>
                <w:rFonts w:ascii="Calibri" w:eastAsia="Times New Roman" w:hAnsi="Calibri" w:cs="Calibri"/>
                <w:b/>
                <w:bCs/>
                <w:color w:val="000000"/>
              </w:rPr>
            </w:pPr>
            <w:r w:rsidRPr="00A97000">
              <w:rPr>
                <w:rFonts w:ascii="Calibri" w:eastAsia="Times New Roman" w:hAnsi="Calibri" w:cs="Calibri"/>
                <w:b/>
                <w:bCs/>
                <w:color w:val="000000"/>
              </w:rPr>
              <w:t>HLC Units</w:t>
            </w:r>
          </w:p>
        </w:tc>
        <w:tc>
          <w:tcPr>
            <w:tcW w:w="1164" w:type="dxa"/>
            <w:tcBorders>
              <w:top w:val="nil"/>
              <w:left w:val="nil"/>
              <w:bottom w:val="single" w:sz="8" w:space="0" w:color="auto"/>
              <w:right w:val="nil"/>
            </w:tcBorders>
            <w:shd w:val="clear" w:color="auto" w:fill="FFFFFF"/>
            <w:noWrap/>
            <w:vAlign w:val="center"/>
            <w:hideMark/>
          </w:tcPr>
          <w:p w14:paraId="54EF3AD9" w14:textId="77777777" w:rsidR="00694D9A" w:rsidRPr="00A97000" w:rsidRDefault="00694D9A" w:rsidP="00140AA3">
            <w:pPr>
              <w:spacing w:after="0" w:line="240" w:lineRule="auto"/>
              <w:jc w:val="center"/>
              <w:rPr>
                <w:rFonts w:ascii="Calibri" w:eastAsia="Times New Roman" w:hAnsi="Calibri" w:cs="Calibri"/>
                <w:b/>
                <w:bCs/>
                <w:color w:val="000000"/>
              </w:rPr>
            </w:pPr>
            <w:r w:rsidRPr="00A97000">
              <w:rPr>
                <w:rFonts w:ascii="Calibri" w:eastAsia="Times New Roman" w:hAnsi="Calibri" w:cs="Calibri"/>
                <w:b/>
                <w:bCs/>
                <w:color w:val="000000"/>
              </w:rPr>
              <w:t>pKa Units</w:t>
            </w:r>
          </w:p>
        </w:tc>
      </w:tr>
      <w:tr w:rsidR="00694D9A" w:rsidRPr="00A97000" w14:paraId="38612A6E"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4D4D04DA"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ACD/Labs</w:t>
            </w:r>
          </w:p>
        </w:tc>
        <w:tc>
          <w:tcPr>
            <w:tcW w:w="1050" w:type="dxa"/>
            <w:tcBorders>
              <w:top w:val="nil"/>
              <w:left w:val="nil"/>
              <w:bottom w:val="nil"/>
              <w:right w:val="nil"/>
            </w:tcBorders>
            <w:shd w:val="clear" w:color="auto" w:fill="FFFFFF"/>
            <w:noWrap/>
            <w:vAlign w:val="center"/>
            <w:hideMark/>
          </w:tcPr>
          <w:p w14:paraId="1EBFEC26"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43D3362F"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282" w:type="dxa"/>
            <w:tcBorders>
              <w:top w:val="nil"/>
              <w:left w:val="nil"/>
              <w:bottom w:val="nil"/>
              <w:right w:val="nil"/>
            </w:tcBorders>
            <w:shd w:val="clear" w:color="auto" w:fill="FFFFFF"/>
            <w:noWrap/>
            <w:vAlign w:val="center"/>
            <w:hideMark/>
          </w:tcPr>
          <w:p w14:paraId="18D294C0"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860" w:type="dxa"/>
            <w:tcBorders>
              <w:top w:val="nil"/>
              <w:left w:val="nil"/>
              <w:bottom w:val="nil"/>
              <w:right w:val="nil"/>
            </w:tcBorders>
            <w:shd w:val="clear" w:color="auto" w:fill="FFFFFF"/>
            <w:noWrap/>
            <w:vAlign w:val="center"/>
            <w:hideMark/>
          </w:tcPr>
          <w:p w14:paraId="61A13DE6"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164" w:type="dxa"/>
            <w:tcBorders>
              <w:top w:val="nil"/>
              <w:left w:val="nil"/>
              <w:bottom w:val="nil"/>
              <w:right w:val="nil"/>
            </w:tcBorders>
            <w:shd w:val="clear" w:color="auto" w:fill="FFFFFF"/>
            <w:noWrap/>
            <w:vAlign w:val="center"/>
            <w:hideMark/>
          </w:tcPr>
          <w:p w14:paraId="01D08A9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vertAlign w:val="superscript"/>
              </w:rPr>
              <w:t>†</w:t>
            </w:r>
          </w:p>
        </w:tc>
      </w:tr>
      <w:tr w:rsidR="00694D9A" w:rsidRPr="00A97000" w14:paraId="171244CE"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02A58F90"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ChemProp</w:t>
            </w:r>
          </w:p>
        </w:tc>
        <w:tc>
          <w:tcPr>
            <w:tcW w:w="1050" w:type="dxa"/>
            <w:tcBorders>
              <w:top w:val="nil"/>
              <w:left w:val="nil"/>
              <w:bottom w:val="nil"/>
              <w:right w:val="nil"/>
            </w:tcBorders>
            <w:shd w:val="clear" w:color="auto" w:fill="FFFFFF"/>
            <w:noWrap/>
            <w:vAlign w:val="center"/>
            <w:hideMark/>
          </w:tcPr>
          <w:p w14:paraId="24814A60"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0F0F0E29"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log(Pa)</w:t>
            </w:r>
          </w:p>
        </w:tc>
        <w:tc>
          <w:tcPr>
            <w:tcW w:w="1282" w:type="dxa"/>
            <w:tcBorders>
              <w:top w:val="nil"/>
              <w:left w:val="nil"/>
              <w:bottom w:val="nil"/>
              <w:right w:val="nil"/>
            </w:tcBorders>
            <w:shd w:val="clear" w:color="auto" w:fill="FFFFFF"/>
            <w:noWrap/>
            <w:vAlign w:val="center"/>
            <w:hideMark/>
          </w:tcPr>
          <w:p w14:paraId="4F9EF7BC"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log(mol/L)</w:t>
            </w:r>
          </w:p>
        </w:tc>
        <w:tc>
          <w:tcPr>
            <w:tcW w:w="1860" w:type="dxa"/>
            <w:tcBorders>
              <w:top w:val="nil"/>
              <w:left w:val="nil"/>
              <w:bottom w:val="nil"/>
              <w:right w:val="nil"/>
            </w:tcBorders>
            <w:shd w:val="clear" w:color="auto" w:fill="FFFFFF"/>
            <w:noWrap/>
            <w:vAlign w:val="center"/>
            <w:hideMark/>
          </w:tcPr>
          <w:p w14:paraId="2092D40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164" w:type="dxa"/>
            <w:tcBorders>
              <w:top w:val="nil"/>
              <w:left w:val="nil"/>
              <w:bottom w:val="nil"/>
              <w:right w:val="nil"/>
            </w:tcBorders>
            <w:shd w:val="clear" w:color="auto" w:fill="FFFFFF"/>
            <w:noWrap/>
            <w:vAlign w:val="center"/>
            <w:hideMark/>
          </w:tcPr>
          <w:p w14:paraId="3BDC8CCC"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r>
      <w:tr w:rsidR="00694D9A" w:rsidRPr="00A97000" w14:paraId="7691B291"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32E64C62"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EPI Suite</w:t>
            </w:r>
          </w:p>
        </w:tc>
        <w:tc>
          <w:tcPr>
            <w:tcW w:w="1050" w:type="dxa"/>
            <w:tcBorders>
              <w:top w:val="nil"/>
              <w:left w:val="nil"/>
              <w:bottom w:val="nil"/>
              <w:right w:val="nil"/>
            </w:tcBorders>
            <w:shd w:val="clear" w:color="auto" w:fill="FFFFFF"/>
            <w:noWrap/>
            <w:vAlign w:val="center"/>
            <w:hideMark/>
          </w:tcPr>
          <w:p w14:paraId="480D1242"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388252D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mmHg</w:t>
            </w:r>
          </w:p>
        </w:tc>
        <w:tc>
          <w:tcPr>
            <w:tcW w:w="1282" w:type="dxa"/>
            <w:tcBorders>
              <w:top w:val="nil"/>
              <w:left w:val="nil"/>
              <w:bottom w:val="nil"/>
              <w:right w:val="nil"/>
            </w:tcBorders>
            <w:shd w:val="clear" w:color="auto" w:fill="FFFFFF"/>
            <w:noWrap/>
            <w:vAlign w:val="center"/>
            <w:hideMark/>
          </w:tcPr>
          <w:p w14:paraId="7AB07B9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mol/L</w:t>
            </w:r>
          </w:p>
        </w:tc>
        <w:tc>
          <w:tcPr>
            <w:tcW w:w="1860" w:type="dxa"/>
            <w:tcBorders>
              <w:top w:val="nil"/>
              <w:left w:val="nil"/>
              <w:bottom w:val="nil"/>
              <w:right w:val="nil"/>
            </w:tcBorders>
            <w:shd w:val="clear" w:color="auto" w:fill="auto"/>
            <w:noWrap/>
            <w:vAlign w:val="center"/>
            <w:hideMark/>
          </w:tcPr>
          <w:p w14:paraId="5F820AE6"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atm-m</w:t>
            </w:r>
            <w:r w:rsidRPr="00A97000">
              <w:rPr>
                <w:rFonts w:ascii="Calibri" w:eastAsia="Times New Roman" w:hAnsi="Calibri" w:cs="Calibri"/>
                <w:color w:val="000000"/>
                <w:vertAlign w:val="superscript"/>
              </w:rPr>
              <w:t>3</w:t>
            </w:r>
            <w:r w:rsidRPr="00A97000">
              <w:rPr>
                <w:rFonts w:ascii="Calibri" w:eastAsia="Times New Roman" w:hAnsi="Calibri" w:cs="Calibri"/>
                <w:color w:val="000000"/>
              </w:rPr>
              <w:t>/mol</w:t>
            </w:r>
          </w:p>
        </w:tc>
        <w:tc>
          <w:tcPr>
            <w:tcW w:w="1164" w:type="dxa"/>
            <w:tcBorders>
              <w:top w:val="nil"/>
              <w:left w:val="nil"/>
              <w:bottom w:val="nil"/>
              <w:right w:val="nil"/>
            </w:tcBorders>
            <w:shd w:val="clear" w:color="auto" w:fill="FFFFFF"/>
            <w:noWrap/>
            <w:vAlign w:val="center"/>
            <w:hideMark/>
          </w:tcPr>
          <w:p w14:paraId="1AE8F87E"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r>
      <w:tr w:rsidR="00694D9A" w:rsidRPr="00A97000" w14:paraId="02195C1B"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4E7C58BD"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New Measurements</w:t>
            </w:r>
          </w:p>
        </w:tc>
        <w:tc>
          <w:tcPr>
            <w:tcW w:w="1050" w:type="dxa"/>
            <w:tcBorders>
              <w:top w:val="nil"/>
              <w:left w:val="nil"/>
              <w:bottom w:val="nil"/>
              <w:right w:val="nil"/>
            </w:tcBorders>
            <w:shd w:val="clear" w:color="auto" w:fill="FFFFFF"/>
            <w:noWrap/>
            <w:vAlign w:val="center"/>
            <w:hideMark/>
          </w:tcPr>
          <w:p w14:paraId="13653270"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2C4CBC1E"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Pa</w:t>
            </w:r>
          </w:p>
        </w:tc>
        <w:tc>
          <w:tcPr>
            <w:tcW w:w="1282" w:type="dxa"/>
            <w:tcBorders>
              <w:top w:val="nil"/>
              <w:left w:val="nil"/>
              <w:bottom w:val="nil"/>
              <w:right w:val="nil"/>
            </w:tcBorders>
            <w:shd w:val="clear" w:color="auto" w:fill="FFFFFF"/>
            <w:noWrap/>
            <w:vAlign w:val="center"/>
            <w:hideMark/>
          </w:tcPr>
          <w:p w14:paraId="16D9A50A"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Symbol" w:eastAsia="Times New Roman" w:hAnsi="Symbol" w:cs="Calibri"/>
                <w:color w:val="000000"/>
              </w:rPr>
              <w:t></w:t>
            </w:r>
            <w:r w:rsidRPr="00A97000">
              <w:rPr>
                <w:rFonts w:ascii="Calibri" w:eastAsia="Times New Roman" w:hAnsi="Calibri" w:cs="Calibri"/>
                <w:color w:val="000000"/>
              </w:rPr>
              <w:t>g/mL</w:t>
            </w:r>
          </w:p>
        </w:tc>
        <w:tc>
          <w:tcPr>
            <w:tcW w:w="1860" w:type="dxa"/>
            <w:tcBorders>
              <w:top w:val="nil"/>
              <w:left w:val="nil"/>
              <w:bottom w:val="nil"/>
              <w:right w:val="nil"/>
            </w:tcBorders>
            <w:shd w:val="clear" w:color="auto" w:fill="FFFFFF"/>
            <w:noWrap/>
            <w:vAlign w:val="center"/>
            <w:hideMark/>
          </w:tcPr>
          <w:p w14:paraId="369D37D1"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atm-m</w:t>
            </w:r>
            <w:r w:rsidRPr="00A97000">
              <w:rPr>
                <w:rFonts w:ascii="Calibri" w:eastAsia="Times New Roman" w:hAnsi="Calibri" w:cs="Calibri"/>
                <w:color w:val="000000"/>
                <w:vertAlign w:val="superscript"/>
              </w:rPr>
              <w:t>3</w:t>
            </w:r>
            <w:r w:rsidRPr="00A97000">
              <w:rPr>
                <w:rFonts w:ascii="Calibri" w:eastAsia="Times New Roman" w:hAnsi="Calibri" w:cs="Calibri"/>
                <w:color w:val="000000"/>
              </w:rPr>
              <w:t>/mol</w:t>
            </w:r>
          </w:p>
        </w:tc>
        <w:tc>
          <w:tcPr>
            <w:tcW w:w="1164" w:type="dxa"/>
            <w:tcBorders>
              <w:top w:val="nil"/>
              <w:left w:val="nil"/>
              <w:bottom w:val="nil"/>
              <w:right w:val="nil"/>
            </w:tcBorders>
            <w:shd w:val="clear" w:color="auto" w:fill="FFFFFF"/>
            <w:noWrap/>
            <w:vAlign w:val="center"/>
            <w:hideMark/>
          </w:tcPr>
          <w:p w14:paraId="487315D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vertAlign w:val="superscript"/>
              </w:rPr>
              <w:t>†</w:t>
            </w:r>
          </w:p>
        </w:tc>
      </w:tr>
      <w:tr w:rsidR="00694D9A" w:rsidRPr="00A97000" w14:paraId="4E2EEDA9"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21EF357A"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NICEATM</w:t>
            </w:r>
          </w:p>
        </w:tc>
        <w:tc>
          <w:tcPr>
            <w:tcW w:w="1050" w:type="dxa"/>
            <w:tcBorders>
              <w:top w:val="nil"/>
              <w:left w:val="nil"/>
              <w:bottom w:val="nil"/>
              <w:right w:val="nil"/>
            </w:tcBorders>
            <w:shd w:val="clear" w:color="auto" w:fill="FFFFFF"/>
            <w:noWrap/>
            <w:vAlign w:val="center"/>
            <w:hideMark/>
          </w:tcPr>
          <w:p w14:paraId="70E34F9A"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5B71C652"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282" w:type="dxa"/>
            <w:tcBorders>
              <w:top w:val="nil"/>
              <w:left w:val="nil"/>
              <w:bottom w:val="nil"/>
              <w:right w:val="nil"/>
            </w:tcBorders>
            <w:shd w:val="clear" w:color="auto" w:fill="FFFFFF"/>
            <w:noWrap/>
            <w:vAlign w:val="center"/>
            <w:hideMark/>
          </w:tcPr>
          <w:p w14:paraId="36D22FE6"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mol/L</w:t>
            </w:r>
          </w:p>
        </w:tc>
        <w:tc>
          <w:tcPr>
            <w:tcW w:w="1860" w:type="dxa"/>
            <w:tcBorders>
              <w:top w:val="nil"/>
              <w:left w:val="nil"/>
              <w:bottom w:val="nil"/>
              <w:right w:val="nil"/>
            </w:tcBorders>
            <w:shd w:val="clear" w:color="auto" w:fill="FFFFFF"/>
            <w:noWrap/>
            <w:vAlign w:val="center"/>
            <w:hideMark/>
          </w:tcPr>
          <w:p w14:paraId="38846AEA"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c>
          <w:tcPr>
            <w:tcW w:w="1164" w:type="dxa"/>
            <w:tcBorders>
              <w:top w:val="nil"/>
              <w:left w:val="nil"/>
              <w:bottom w:val="nil"/>
              <w:right w:val="nil"/>
            </w:tcBorders>
            <w:shd w:val="clear" w:color="auto" w:fill="FFFFFF"/>
            <w:noWrap/>
            <w:vAlign w:val="center"/>
            <w:hideMark/>
          </w:tcPr>
          <w:p w14:paraId="4B065D1D"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r>
      <w:tr w:rsidR="00694D9A" w:rsidRPr="00A97000" w14:paraId="207FC75D" w14:textId="77777777" w:rsidTr="00140AA3">
        <w:trPr>
          <w:trHeight w:val="360"/>
          <w:jc w:val="center"/>
        </w:trPr>
        <w:tc>
          <w:tcPr>
            <w:tcW w:w="2160" w:type="dxa"/>
            <w:tcBorders>
              <w:top w:val="nil"/>
              <w:left w:val="nil"/>
              <w:bottom w:val="nil"/>
              <w:right w:val="nil"/>
            </w:tcBorders>
            <w:shd w:val="clear" w:color="auto" w:fill="FFFFFF"/>
            <w:noWrap/>
            <w:vAlign w:val="center"/>
            <w:hideMark/>
          </w:tcPr>
          <w:p w14:paraId="79605B36"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OPERA</w:t>
            </w:r>
          </w:p>
        </w:tc>
        <w:tc>
          <w:tcPr>
            <w:tcW w:w="1050" w:type="dxa"/>
            <w:tcBorders>
              <w:top w:val="nil"/>
              <w:left w:val="nil"/>
              <w:bottom w:val="nil"/>
              <w:right w:val="nil"/>
            </w:tcBorders>
            <w:shd w:val="clear" w:color="auto" w:fill="FFFFFF"/>
            <w:noWrap/>
            <w:vAlign w:val="center"/>
            <w:hideMark/>
          </w:tcPr>
          <w:p w14:paraId="00981943"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nil"/>
              <w:right w:val="nil"/>
            </w:tcBorders>
            <w:shd w:val="clear" w:color="auto" w:fill="FFFFFF"/>
            <w:noWrap/>
            <w:vAlign w:val="center"/>
            <w:hideMark/>
          </w:tcPr>
          <w:p w14:paraId="660DCF84"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log(mmHg)</w:t>
            </w:r>
          </w:p>
        </w:tc>
        <w:tc>
          <w:tcPr>
            <w:tcW w:w="1282" w:type="dxa"/>
            <w:tcBorders>
              <w:top w:val="nil"/>
              <w:left w:val="nil"/>
              <w:bottom w:val="nil"/>
              <w:right w:val="nil"/>
            </w:tcBorders>
            <w:shd w:val="clear" w:color="auto" w:fill="FFFFFF"/>
            <w:noWrap/>
            <w:vAlign w:val="center"/>
            <w:hideMark/>
          </w:tcPr>
          <w:p w14:paraId="3ADEF34A"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log(mol/L)</w:t>
            </w:r>
          </w:p>
        </w:tc>
        <w:tc>
          <w:tcPr>
            <w:tcW w:w="1860" w:type="dxa"/>
            <w:tcBorders>
              <w:top w:val="nil"/>
              <w:left w:val="nil"/>
              <w:bottom w:val="nil"/>
              <w:right w:val="nil"/>
            </w:tcBorders>
            <w:shd w:val="clear" w:color="auto" w:fill="FFFFFF"/>
            <w:noWrap/>
            <w:vAlign w:val="center"/>
            <w:hideMark/>
          </w:tcPr>
          <w:p w14:paraId="16283840"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log(atm-m</w:t>
            </w:r>
            <w:r w:rsidRPr="00A97000">
              <w:rPr>
                <w:rFonts w:ascii="Calibri" w:eastAsia="Times New Roman" w:hAnsi="Calibri" w:cs="Calibri"/>
                <w:color w:val="000000"/>
                <w:vertAlign w:val="superscript"/>
              </w:rPr>
              <w:t>3</w:t>
            </w:r>
            <w:r w:rsidRPr="00A97000">
              <w:rPr>
                <w:rFonts w:ascii="Calibri" w:eastAsia="Times New Roman" w:hAnsi="Calibri" w:cs="Calibri"/>
                <w:color w:val="000000"/>
              </w:rPr>
              <w:t>/mol)</w:t>
            </w:r>
          </w:p>
        </w:tc>
        <w:tc>
          <w:tcPr>
            <w:tcW w:w="1164" w:type="dxa"/>
            <w:tcBorders>
              <w:top w:val="nil"/>
              <w:left w:val="nil"/>
              <w:bottom w:val="nil"/>
              <w:right w:val="nil"/>
            </w:tcBorders>
            <w:shd w:val="clear" w:color="auto" w:fill="FFFFFF"/>
            <w:noWrap/>
            <w:vAlign w:val="center"/>
            <w:hideMark/>
          </w:tcPr>
          <w:p w14:paraId="2002A4FA"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r>
      <w:tr w:rsidR="00694D9A" w:rsidRPr="00A97000" w14:paraId="3C8CF956" w14:textId="77777777" w:rsidTr="00140AA3">
        <w:trPr>
          <w:trHeight w:val="375"/>
          <w:jc w:val="center"/>
        </w:trPr>
        <w:tc>
          <w:tcPr>
            <w:tcW w:w="2160" w:type="dxa"/>
            <w:tcBorders>
              <w:top w:val="nil"/>
              <w:left w:val="nil"/>
              <w:bottom w:val="single" w:sz="8" w:space="0" w:color="auto"/>
              <w:right w:val="nil"/>
            </w:tcBorders>
            <w:shd w:val="clear" w:color="auto" w:fill="FFFFFF"/>
            <w:noWrap/>
            <w:vAlign w:val="center"/>
            <w:hideMark/>
          </w:tcPr>
          <w:p w14:paraId="61100BA2" w14:textId="77777777" w:rsidR="00694D9A" w:rsidRPr="00A97000" w:rsidRDefault="00694D9A" w:rsidP="00140AA3">
            <w:pPr>
              <w:spacing w:after="0" w:line="240" w:lineRule="auto"/>
              <w:rPr>
                <w:rFonts w:ascii="Calibri" w:eastAsia="Times New Roman" w:hAnsi="Calibri" w:cs="Calibri"/>
                <w:b/>
                <w:bCs/>
                <w:color w:val="000000"/>
              </w:rPr>
            </w:pPr>
            <w:r w:rsidRPr="00A97000">
              <w:rPr>
                <w:rFonts w:ascii="Calibri" w:eastAsia="Times New Roman" w:hAnsi="Calibri" w:cs="Calibri"/>
                <w:b/>
                <w:bCs/>
                <w:color w:val="000000"/>
              </w:rPr>
              <w:t>PHYSPROP</w:t>
            </w:r>
          </w:p>
        </w:tc>
        <w:tc>
          <w:tcPr>
            <w:tcW w:w="1050" w:type="dxa"/>
            <w:tcBorders>
              <w:top w:val="nil"/>
              <w:left w:val="nil"/>
              <w:bottom w:val="single" w:sz="8" w:space="0" w:color="auto"/>
              <w:right w:val="nil"/>
            </w:tcBorders>
            <w:shd w:val="clear" w:color="auto" w:fill="FFFFFF"/>
            <w:noWrap/>
            <w:vAlign w:val="center"/>
            <w:hideMark/>
          </w:tcPr>
          <w:p w14:paraId="3F9B1F51"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log(K</w:t>
            </w:r>
            <w:r w:rsidRPr="00A97000">
              <w:rPr>
                <w:rFonts w:ascii="Calibri" w:eastAsia="Times New Roman" w:hAnsi="Calibri" w:cs="Calibri"/>
                <w:color w:val="000000"/>
                <w:vertAlign w:val="subscript"/>
              </w:rPr>
              <w:t>ow</w:t>
            </w:r>
            <w:r w:rsidRPr="00A97000">
              <w:rPr>
                <w:rFonts w:ascii="Calibri" w:eastAsia="Times New Roman" w:hAnsi="Calibri" w:cs="Calibri"/>
                <w:color w:val="000000"/>
              </w:rPr>
              <w:t>)</w:t>
            </w:r>
          </w:p>
        </w:tc>
        <w:tc>
          <w:tcPr>
            <w:tcW w:w="1354" w:type="dxa"/>
            <w:tcBorders>
              <w:top w:val="nil"/>
              <w:left w:val="nil"/>
              <w:bottom w:val="single" w:sz="8" w:space="0" w:color="auto"/>
              <w:right w:val="nil"/>
            </w:tcBorders>
            <w:shd w:val="clear" w:color="auto" w:fill="FFFFFF"/>
            <w:noWrap/>
            <w:vAlign w:val="center"/>
            <w:hideMark/>
          </w:tcPr>
          <w:p w14:paraId="3D0D3B9F"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log(mmHg)</w:t>
            </w:r>
          </w:p>
        </w:tc>
        <w:tc>
          <w:tcPr>
            <w:tcW w:w="1282" w:type="dxa"/>
            <w:tcBorders>
              <w:top w:val="nil"/>
              <w:left w:val="nil"/>
              <w:bottom w:val="single" w:sz="8" w:space="0" w:color="auto"/>
              <w:right w:val="nil"/>
            </w:tcBorders>
            <w:shd w:val="clear" w:color="auto" w:fill="FFFFFF"/>
            <w:noWrap/>
            <w:vAlign w:val="center"/>
            <w:hideMark/>
          </w:tcPr>
          <w:p w14:paraId="3FB50A65"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mol/L</w:t>
            </w:r>
          </w:p>
        </w:tc>
        <w:tc>
          <w:tcPr>
            <w:tcW w:w="1860" w:type="dxa"/>
            <w:tcBorders>
              <w:top w:val="nil"/>
              <w:left w:val="nil"/>
              <w:bottom w:val="single" w:sz="8" w:space="0" w:color="auto"/>
              <w:right w:val="nil"/>
            </w:tcBorders>
            <w:shd w:val="clear" w:color="auto" w:fill="FFFFFF"/>
            <w:noWrap/>
            <w:vAlign w:val="center"/>
            <w:hideMark/>
          </w:tcPr>
          <w:p w14:paraId="1F5C910C"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atm-m</w:t>
            </w:r>
            <w:r w:rsidRPr="00A97000">
              <w:rPr>
                <w:rFonts w:ascii="Calibri" w:eastAsia="Times New Roman" w:hAnsi="Calibri" w:cs="Calibri"/>
                <w:color w:val="000000"/>
                <w:vertAlign w:val="superscript"/>
              </w:rPr>
              <w:t>3</w:t>
            </w:r>
            <w:r w:rsidRPr="00A97000">
              <w:rPr>
                <w:rFonts w:ascii="Calibri" w:eastAsia="Times New Roman" w:hAnsi="Calibri" w:cs="Calibri"/>
                <w:color w:val="000000"/>
              </w:rPr>
              <w:t>/mol</w:t>
            </w:r>
          </w:p>
        </w:tc>
        <w:tc>
          <w:tcPr>
            <w:tcW w:w="1164" w:type="dxa"/>
            <w:tcBorders>
              <w:top w:val="nil"/>
              <w:left w:val="nil"/>
              <w:bottom w:val="single" w:sz="8" w:space="0" w:color="auto"/>
              <w:right w:val="nil"/>
            </w:tcBorders>
            <w:shd w:val="clear" w:color="auto" w:fill="FFFFFF"/>
            <w:noWrap/>
            <w:vAlign w:val="center"/>
            <w:hideMark/>
          </w:tcPr>
          <w:p w14:paraId="3D35305B" w14:textId="77777777" w:rsidR="00694D9A" w:rsidRPr="00A97000" w:rsidRDefault="00694D9A" w:rsidP="00140AA3">
            <w:pPr>
              <w:spacing w:after="0" w:line="240" w:lineRule="auto"/>
              <w:jc w:val="center"/>
              <w:rPr>
                <w:rFonts w:ascii="Calibri" w:eastAsia="Times New Roman" w:hAnsi="Calibri" w:cs="Calibri"/>
                <w:color w:val="000000"/>
              </w:rPr>
            </w:pPr>
            <w:r w:rsidRPr="00A97000">
              <w:rPr>
                <w:rFonts w:ascii="Calibri" w:eastAsia="Times New Roman" w:hAnsi="Calibri" w:cs="Calibri"/>
                <w:color w:val="000000"/>
              </w:rPr>
              <w:t>-</w:t>
            </w:r>
          </w:p>
        </w:tc>
      </w:tr>
      <w:tr w:rsidR="00694D9A" w:rsidRPr="00A97000" w14:paraId="2AA30550" w14:textId="77777777" w:rsidTr="00140AA3">
        <w:trPr>
          <w:trHeight w:val="345"/>
          <w:jc w:val="center"/>
        </w:trPr>
        <w:tc>
          <w:tcPr>
            <w:tcW w:w="8870" w:type="dxa"/>
            <w:gridSpan w:val="6"/>
            <w:tcBorders>
              <w:top w:val="nil"/>
              <w:left w:val="nil"/>
              <w:bottom w:val="nil"/>
              <w:right w:val="nil"/>
            </w:tcBorders>
            <w:shd w:val="clear" w:color="auto" w:fill="FFFFFF"/>
            <w:noWrap/>
            <w:vAlign w:val="bottom"/>
            <w:hideMark/>
          </w:tcPr>
          <w:p w14:paraId="07462FC3" w14:textId="77777777" w:rsidR="00694D9A" w:rsidRPr="00A97000" w:rsidRDefault="00694D9A" w:rsidP="00140AA3">
            <w:pPr>
              <w:spacing w:after="0" w:line="240" w:lineRule="auto"/>
              <w:rPr>
                <w:rFonts w:ascii="Calibri" w:eastAsia="Times New Roman" w:hAnsi="Calibri" w:cs="Calibri"/>
                <w:color w:val="000000"/>
              </w:rPr>
            </w:pPr>
            <w:r w:rsidRPr="00A97000">
              <w:rPr>
                <w:rFonts w:ascii="Calibri" w:eastAsia="Times New Roman" w:hAnsi="Calibri" w:cs="Calibri"/>
                <w:color w:val="000000"/>
                <w:vertAlign w:val="superscript"/>
              </w:rPr>
              <w:t>†</w:t>
            </w:r>
            <w:r w:rsidRPr="00A97000">
              <w:rPr>
                <w:rFonts w:ascii="Calibri" w:eastAsia="Times New Roman" w:hAnsi="Calibri" w:cs="Calibri"/>
                <w:color w:val="000000"/>
                <w:sz w:val="16"/>
                <w:szCs w:val="16"/>
              </w:rPr>
              <w:t>pKa</w:t>
            </w:r>
            <w:r w:rsidRPr="00A97000">
              <w:rPr>
                <w:rFonts w:ascii="Calibri" w:eastAsia="Times New Roman" w:hAnsi="Calibri" w:cs="Calibri"/>
                <w:color w:val="000000"/>
                <w:sz w:val="16"/>
                <w:szCs w:val="16"/>
                <w:vertAlign w:val="superscript"/>
              </w:rPr>
              <w:t xml:space="preserve"> </w:t>
            </w:r>
            <w:r w:rsidRPr="00A97000">
              <w:rPr>
                <w:rFonts w:ascii="Calibri" w:eastAsia="Times New Roman" w:hAnsi="Calibri" w:cs="Calibri"/>
                <w:color w:val="000000"/>
                <w:sz w:val="16"/>
                <w:szCs w:val="16"/>
              </w:rPr>
              <w:t>values were derived indirectly from reported pH absorbance measurements and are always in logarithmic form.</w:t>
            </w:r>
          </w:p>
        </w:tc>
      </w:tr>
    </w:tbl>
    <w:p w14:paraId="48C38926" w14:textId="77777777" w:rsidR="00694D9A" w:rsidRDefault="00694D9A" w:rsidP="00117F9F"/>
    <w:p w14:paraId="3B6DBA3B" w14:textId="1FA5D466" w:rsidR="00117F9F" w:rsidRDefault="00117F9F" w:rsidP="00117F9F">
      <w:r>
        <w:t>Table S</w:t>
      </w:r>
      <w:r w:rsidR="00263E97">
        <w:t>4</w:t>
      </w:r>
      <w:r>
        <w:t xml:space="preserve">. Summary of compounds that have previously measured values as per PHYSPROP along with their respective predictions for </w:t>
      </w:r>
      <w:r w:rsidRPr="00893380">
        <w:rPr>
          <w:rFonts w:eastAsiaTheme="minorEastAsia"/>
        </w:rPr>
        <w:t>log</w:t>
      </w:r>
      <w:r w:rsidRPr="00893380">
        <w:rPr>
          <w:rFonts w:eastAsiaTheme="minorEastAsia"/>
          <w:vertAlign w:val="subscript"/>
        </w:rPr>
        <w:t>10</w:t>
      </w:r>
      <w:r w:rsidRPr="00893380">
        <w:rPr>
          <w:rFonts w:eastAsiaTheme="minorEastAsia"/>
        </w:rPr>
        <w:t>(K</w:t>
      </w:r>
      <w:r w:rsidRPr="00893380">
        <w:rPr>
          <w:rFonts w:eastAsiaTheme="minorEastAsia"/>
          <w:vertAlign w:val="subscript"/>
        </w:rPr>
        <w:t>ow</w:t>
      </w:r>
      <w:r w:rsidRPr="00893380">
        <w:rPr>
          <w:rFonts w:eastAsiaTheme="minorEastAsia"/>
        </w:rPr>
        <w:t>)</w:t>
      </w:r>
      <w:r>
        <w:t xml:space="preserve"> in ACD/Labs, ChemProp, EPI Suite, NICEATM, and OPERA. (Attached Spreadsheet)</w:t>
      </w:r>
    </w:p>
    <w:p w14:paraId="187A7CD1" w14:textId="0F4B68FE" w:rsidR="00117F9F" w:rsidRDefault="00117F9F" w:rsidP="00117F9F">
      <w:r>
        <w:t>Table S</w:t>
      </w:r>
      <w:r w:rsidR="00263E97">
        <w:t>5</w:t>
      </w:r>
      <w:r>
        <w:t>. Summary of compounds that have previously measured values as per PHYSPROP along with their respective predictions for VP in ChemProp, EPI Suite, and OPERA. (Attached Spreadsheet)</w:t>
      </w:r>
    </w:p>
    <w:p w14:paraId="2E1329C1" w14:textId="4F09EE12" w:rsidR="00117F9F" w:rsidRDefault="00117F9F" w:rsidP="00117F9F">
      <w:r>
        <w:t>Table S</w:t>
      </w:r>
      <w:r w:rsidR="00263E97">
        <w:t>6</w:t>
      </w:r>
      <w:r>
        <w:t>. Summary of compounds that have previously measured values as per PHYSPROP along with their respective predictions for HLC in EPI Suite, and OPERA. (Attached Spreadsheet)</w:t>
      </w:r>
    </w:p>
    <w:p w14:paraId="3035A40F" w14:textId="36C2B59D" w:rsidR="00117F9F" w:rsidRDefault="00117F9F" w:rsidP="00117F9F">
      <w:r>
        <w:t>Table S</w:t>
      </w:r>
      <w:r w:rsidR="00263E97">
        <w:t>7</w:t>
      </w:r>
      <w:r>
        <w:t>. Summary of compounds that have previously measured values as per PHYSPROP along with their respective predictions for WS in ACD/Labs, ChemProp, EPI Suite, NICEATM, and OPERA. (Attached Spreadsheet)</w:t>
      </w:r>
    </w:p>
    <w:p w14:paraId="77410571" w14:textId="44D227EA" w:rsidR="00263E97" w:rsidRDefault="00117F9F" w:rsidP="00263E97">
      <w:r>
        <w:t>Table S</w:t>
      </w:r>
      <w:r w:rsidR="00263E97">
        <w:t>8</w:t>
      </w:r>
      <w:r>
        <w:t>. Summary of compounds that have values derived from new absorbance measurements along with their predicted pK</w:t>
      </w:r>
      <w:r w:rsidRPr="00263E97">
        <w:rPr>
          <w:vertAlign w:val="subscript"/>
        </w:rPr>
        <w:t>a</w:t>
      </w:r>
      <w:r>
        <w:t xml:space="preserve"> values in ACD/Labs. (Attached Spreadsheet)</w:t>
      </w:r>
      <w:r w:rsidR="00263E97" w:rsidRPr="00263E97">
        <w:t xml:space="preserve"> </w:t>
      </w:r>
    </w:p>
    <w:p w14:paraId="14E3B037" w14:textId="2BF64EDD" w:rsidR="00117F9F" w:rsidRDefault="00263E97" w:rsidP="00117F9F">
      <w:r>
        <w:t>Table</w:t>
      </w:r>
      <w:r w:rsidRPr="00DD1F2D">
        <w:t xml:space="preserve"> </w:t>
      </w:r>
      <w:r>
        <w:t>S9</w:t>
      </w:r>
      <w:r w:rsidRPr="00DD1F2D">
        <w:t>.</w:t>
      </w:r>
      <w:r>
        <w:t xml:space="preserve"> Acid/base determinations for the 200 pilot chemicals using ACD/Labs predictions.</w:t>
      </w:r>
      <w:r w:rsidR="00CB5857">
        <w:t xml:space="preserve"> (Attached Spreadsheet)</w:t>
      </w:r>
    </w:p>
    <w:p w14:paraId="7DEBDC82" w14:textId="77777777" w:rsidR="00117F9F" w:rsidRDefault="00117F9F" w:rsidP="00117F9F">
      <w:r>
        <w:t>Table S10. Absorbance measurements for pK</w:t>
      </w:r>
      <w:r w:rsidRPr="00263E97">
        <w:rPr>
          <w:vertAlign w:val="subscript"/>
        </w:rPr>
        <w:t>a</w:t>
      </w:r>
      <w:r>
        <w:t xml:space="preserve"> determination. (Attached Spreadsheet)</w:t>
      </w:r>
    </w:p>
    <w:p w14:paraId="6E96D34D" w14:textId="612F91A2" w:rsidR="00117F9F" w:rsidRDefault="00117F9F" w:rsidP="00263E97">
      <w:r w:rsidRPr="00592404">
        <w:t>Table S1</w:t>
      </w:r>
      <w:r>
        <w:t>1</w:t>
      </w:r>
      <w:r w:rsidRPr="00592404">
        <w:t xml:space="preserve">. </w:t>
      </w:r>
      <w:r>
        <w:t xml:space="preserve">ToxPrint </w:t>
      </w:r>
      <w:r w:rsidR="00263E97">
        <w:t>fingerprints</w:t>
      </w:r>
      <w:r>
        <w:t xml:space="preserve"> utilized for the 200 pilot chemicals based on their QSAR-ready SMILES.</w:t>
      </w:r>
    </w:p>
    <w:p w14:paraId="44916272" w14:textId="2CAB5DD1" w:rsidR="00117F9F" w:rsidRDefault="00117F9F" w:rsidP="00117F9F">
      <w:r>
        <w:lastRenderedPageBreak/>
        <w:t>Table S1</w:t>
      </w:r>
      <w:r w:rsidR="00263E97">
        <w:t>2</w:t>
      </w:r>
      <w:r>
        <w:t xml:space="preserve">. Odds ratios for experimental failures based on ToxPrint </w:t>
      </w:r>
      <w:r w:rsidR="00263E97">
        <w:t xml:space="preserve">fingerprints </w:t>
      </w:r>
      <w:r>
        <w:t>(attached spreadsheet).</w:t>
      </w:r>
    </w:p>
    <w:p w14:paraId="69819944" w14:textId="77777777" w:rsidR="008853A6" w:rsidRDefault="008853A6">
      <w:pPr>
        <w:rPr>
          <w:rFonts w:eastAsia="Times New Roman" w:cs="Times New Roman"/>
          <w:sz w:val="16"/>
          <w:szCs w:val="16"/>
        </w:rPr>
      </w:pPr>
      <w:r>
        <w:rPr>
          <w:rFonts w:eastAsia="Times New Roman" w:cs="Times New Roman"/>
          <w:sz w:val="16"/>
          <w:szCs w:val="16"/>
        </w:rPr>
        <w:br w:type="page"/>
      </w:r>
    </w:p>
    <w:p w14:paraId="0145B25B" w14:textId="4D60FC0C" w:rsidR="00712447" w:rsidRDefault="00712447" w:rsidP="00712447">
      <w:pPr>
        <w:pStyle w:val="Heading1"/>
      </w:pPr>
      <w:r>
        <w:lastRenderedPageBreak/>
        <w:t>SI REFERENCES</w:t>
      </w:r>
    </w:p>
    <w:p w14:paraId="69D80FE4" w14:textId="77777777" w:rsidR="00712447" w:rsidRPr="00660EA7" w:rsidRDefault="00712447" w:rsidP="00712447">
      <w:pPr>
        <w:pStyle w:val="EndNoteBibliography"/>
        <w:spacing w:after="0"/>
        <w:ind w:left="720" w:hanging="720"/>
      </w:pPr>
      <w:r>
        <w:fldChar w:fldCharType="begin"/>
      </w:r>
      <w:r>
        <w:instrText xml:space="preserve"> ADDIN EN.REFLIST </w:instrText>
      </w:r>
      <w:r>
        <w:fldChar w:fldCharType="separate"/>
      </w:r>
      <w:r w:rsidRPr="00660EA7">
        <w:t>1.</w:t>
      </w:r>
      <w:r w:rsidRPr="00660EA7">
        <w:tab/>
        <w:t xml:space="preserve">Martínez, C. H. R.; Dardonville, C., Rapid Determination of Ionization Constants (p K a) by UV Spectroscopy Using 96-Well Microtiter Plates. </w:t>
      </w:r>
      <w:r w:rsidRPr="00660EA7">
        <w:rPr>
          <w:i/>
        </w:rPr>
        <w:t xml:space="preserve">ACS medicinal chemistry letters </w:t>
      </w:r>
      <w:r w:rsidRPr="00660EA7">
        <w:rPr>
          <w:b/>
        </w:rPr>
        <w:t>2012,</w:t>
      </w:r>
      <w:r w:rsidRPr="00660EA7">
        <w:t xml:space="preserve"> </w:t>
      </w:r>
      <w:r w:rsidRPr="00660EA7">
        <w:rPr>
          <w:i/>
        </w:rPr>
        <w:t>4</w:t>
      </w:r>
      <w:r w:rsidRPr="00660EA7">
        <w:t>, (1), 142-145.</w:t>
      </w:r>
    </w:p>
    <w:p w14:paraId="20E69EEF" w14:textId="77777777" w:rsidR="00712447" w:rsidRPr="00660EA7" w:rsidRDefault="00712447" w:rsidP="00712447">
      <w:pPr>
        <w:pStyle w:val="EndNoteBibliography"/>
        <w:spacing w:after="0"/>
        <w:ind w:left="720" w:hanging="720"/>
      </w:pPr>
      <w:r w:rsidRPr="00660EA7">
        <w:t>2.</w:t>
      </w:r>
      <w:r w:rsidRPr="00660EA7">
        <w:tab/>
        <w:t xml:space="preserve">Tomsho, J. W.; Pal, A.; Hall, D. G.; Benkovic, S. J., Ring Structure and Aromatic Substituent Effects on the p K a of the Benzoxaborole Pharmacophore. </w:t>
      </w:r>
      <w:r w:rsidRPr="00660EA7">
        <w:rPr>
          <w:i/>
        </w:rPr>
        <w:t xml:space="preserve">ACS medicinal chemistry letters </w:t>
      </w:r>
      <w:r w:rsidRPr="00660EA7">
        <w:rPr>
          <w:b/>
        </w:rPr>
        <w:t>2011,</w:t>
      </w:r>
      <w:r w:rsidRPr="00660EA7">
        <w:t xml:space="preserve"> </w:t>
      </w:r>
      <w:r w:rsidRPr="00660EA7">
        <w:rPr>
          <w:i/>
        </w:rPr>
        <w:t>3</w:t>
      </w:r>
      <w:r w:rsidRPr="00660EA7">
        <w:t>, (1), 48-52.</w:t>
      </w:r>
    </w:p>
    <w:p w14:paraId="4A6BF47D" w14:textId="77777777" w:rsidR="00712447" w:rsidRPr="00660EA7" w:rsidRDefault="00712447" w:rsidP="00712447">
      <w:pPr>
        <w:pStyle w:val="EndNoteBibliography"/>
        <w:spacing w:after="0"/>
        <w:ind w:left="720" w:hanging="720"/>
      </w:pPr>
      <w:r w:rsidRPr="00660EA7">
        <w:t>3.</w:t>
      </w:r>
      <w:r w:rsidRPr="00660EA7">
        <w:tab/>
        <w:t xml:space="preserve">Patterson, G. S., A simplified method for finding the pKa of an acid-base indicator by spectrophotometry. </w:t>
      </w:r>
      <w:r w:rsidRPr="00660EA7">
        <w:rPr>
          <w:i/>
        </w:rPr>
        <w:t xml:space="preserve">J. Chem. Educ </w:t>
      </w:r>
      <w:r w:rsidRPr="00660EA7">
        <w:rPr>
          <w:b/>
        </w:rPr>
        <w:t>1999,</w:t>
      </w:r>
      <w:r w:rsidRPr="00660EA7">
        <w:t xml:space="preserve"> </w:t>
      </w:r>
      <w:r w:rsidRPr="00660EA7">
        <w:rPr>
          <w:i/>
        </w:rPr>
        <w:t>76</w:t>
      </w:r>
      <w:r w:rsidRPr="00660EA7">
        <w:t>, (3), 395.</w:t>
      </w:r>
    </w:p>
    <w:p w14:paraId="2A8F4C0F" w14:textId="77777777" w:rsidR="00712447" w:rsidRPr="00660EA7" w:rsidRDefault="00712447" w:rsidP="00712447">
      <w:pPr>
        <w:pStyle w:val="EndNoteBibliography"/>
        <w:spacing w:after="0"/>
        <w:ind w:left="720" w:hanging="720"/>
      </w:pPr>
      <w:r w:rsidRPr="00660EA7">
        <w:t>4.</w:t>
      </w:r>
      <w:r w:rsidRPr="00660EA7">
        <w:tab/>
        <w:t xml:space="preserve">Salgado, L. V.; Vargas-Hernández, C., Spectrophotometric determination of the pKa, isosbestic point and equation of absorbance vs. pH for a universal pH indicator. </w:t>
      </w:r>
      <w:r w:rsidRPr="00660EA7">
        <w:rPr>
          <w:i/>
        </w:rPr>
        <w:t xml:space="preserve">American Journal of Analytical Chemistry </w:t>
      </w:r>
      <w:r w:rsidRPr="00660EA7">
        <w:rPr>
          <w:b/>
        </w:rPr>
        <w:t>2014,</w:t>
      </w:r>
      <w:r w:rsidRPr="00660EA7">
        <w:t xml:space="preserve"> </w:t>
      </w:r>
      <w:r w:rsidRPr="00660EA7">
        <w:rPr>
          <w:i/>
        </w:rPr>
        <w:t>5</w:t>
      </w:r>
      <w:r w:rsidRPr="00660EA7">
        <w:t>, (17), 1290.</w:t>
      </w:r>
    </w:p>
    <w:p w14:paraId="56659D76" w14:textId="77777777" w:rsidR="00712447" w:rsidRPr="00660EA7" w:rsidRDefault="00712447" w:rsidP="00712447">
      <w:pPr>
        <w:pStyle w:val="EndNoteBibliography"/>
        <w:spacing w:after="0"/>
        <w:ind w:left="720" w:hanging="720"/>
      </w:pPr>
      <w:r w:rsidRPr="00660EA7">
        <w:t>5.</w:t>
      </w:r>
      <w:r w:rsidRPr="00660EA7">
        <w:tab/>
        <w:t xml:space="preserve">Tanimoto, T. T., Elementary mathematical theory of classification and prediction. </w:t>
      </w:r>
      <w:r w:rsidRPr="00660EA7">
        <w:rPr>
          <w:b/>
        </w:rPr>
        <w:t>1958</w:t>
      </w:r>
      <w:r w:rsidRPr="00660EA7">
        <w:t>.</w:t>
      </w:r>
    </w:p>
    <w:p w14:paraId="135692AF" w14:textId="77777777" w:rsidR="00712447" w:rsidRPr="00660EA7" w:rsidRDefault="00712447" w:rsidP="00712447">
      <w:pPr>
        <w:pStyle w:val="EndNoteBibliography"/>
        <w:spacing w:after="0"/>
        <w:ind w:left="720" w:hanging="720"/>
      </w:pPr>
      <w:r w:rsidRPr="00660EA7">
        <w:t>6.</w:t>
      </w:r>
      <w:r w:rsidRPr="00660EA7">
        <w:tab/>
        <w:t xml:space="preserve">Yang, C.; Arvidson, K.; Richard, A.; Worth, A.; Tarkhov, A.; Ringeissen, S.; Marusczyk, J.; Gasteiger, J.; Rathman, J.; Schwab, C. In </w:t>
      </w:r>
      <w:r w:rsidRPr="00660EA7">
        <w:rPr>
          <w:i/>
        </w:rPr>
        <w:t>CHEMOTYPES AND CHEMOTYPER: A new structure representation standard to include atomic/bond properties into structural alerts for toxicity effects and mechanisms</w:t>
      </w:r>
      <w:r w:rsidRPr="00660EA7">
        <w:t>, 52nd Annual Meeting of the Society of Toxicology, 2013; 2013; pp 10-14.</w:t>
      </w:r>
    </w:p>
    <w:p w14:paraId="7B45FCBE" w14:textId="77777777" w:rsidR="00712447" w:rsidRPr="00660EA7" w:rsidRDefault="00712447" w:rsidP="00712447">
      <w:pPr>
        <w:pStyle w:val="EndNoteBibliography"/>
        <w:spacing w:after="0"/>
        <w:ind w:left="720" w:hanging="720"/>
      </w:pPr>
      <w:r w:rsidRPr="00660EA7">
        <w:t>7.</w:t>
      </w:r>
      <w:r w:rsidRPr="00660EA7">
        <w:tab/>
        <w:t xml:space="preserve">Schmitt, W., General approach for the calculation of tissue to plasma partition coefficients. </w:t>
      </w:r>
      <w:r w:rsidRPr="00660EA7">
        <w:rPr>
          <w:i/>
        </w:rPr>
        <w:t xml:space="preserve">Toxicology in Vitro </w:t>
      </w:r>
      <w:r w:rsidRPr="00660EA7">
        <w:rPr>
          <w:b/>
        </w:rPr>
        <w:t>2008,</w:t>
      </w:r>
      <w:r w:rsidRPr="00660EA7">
        <w:t xml:space="preserve"> </w:t>
      </w:r>
      <w:r w:rsidRPr="00660EA7">
        <w:rPr>
          <w:i/>
        </w:rPr>
        <w:t>22</w:t>
      </w:r>
      <w:r w:rsidRPr="00660EA7">
        <w:t>, (2), 457-467.</w:t>
      </w:r>
    </w:p>
    <w:p w14:paraId="46FDF591" w14:textId="77777777" w:rsidR="00712447" w:rsidRPr="00660EA7" w:rsidRDefault="00712447" w:rsidP="00712447">
      <w:pPr>
        <w:pStyle w:val="EndNoteBibliography"/>
        <w:spacing w:after="0"/>
        <w:ind w:left="720" w:hanging="720"/>
      </w:pPr>
      <w:r w:rsidRPr="00660EA7">
        <w:t>8.</w:t>
      </w:r>
      <w:r w:rsidRPr="00660EA7">
        <w:tab/>
        <w:t xml:space="preserve">Archer, K. J. K., R. V., , Empirical characterization of random forest variable importance measures. </w:t>
      </w:r>
      <w:r w:rsidRPr="00660EA7">
        <w:rPr>
          <w:i/>
        </w:rPr>
        <w:t xml:space="preserve">Computational Statistics &amp; Data Analysis </w:t>
      </w:r>
      <w:r w:rsidRPr="00660EA7">
        <w:rPr>
          <w:b/>
        </w:rPr>
        <w:t>2008,</w:t>
      </w:r>
      <w:r w:rsidRPr="00660EA7">
        <w:t xml:space="preserve"> </w:t>
      </w:r>
      <w:r w:rsidRPr="00660EA7">
        <w:rPr>
          <w:i/>
        </w:rPr>
        <w:t>52</w:t>
      </w:r>
      <w:r w:rsidRPr="00660EA7">
        <w:t>, (4), 2249-2260.</w:t>
      </w:r>
    </w:p>
    <w:p w14:paraId="17C28EED" w14:textId="77777777" w:rsidR="00712447" w:rsidRPr="00660EA7" w:rsidRDefault="00712447" w:rsidP="00712447">
      <w:pPr>
        <w:pStyle w:val="EndNoteBibliography"/>
        <w:spacing w:after="0"/>
        <w:ind w:left="720" w:hanging="720"/>
      </w:pPr>
      <w:r w:rsidRPr="00660EA7">
        <w:t>9.</w:t>
      </w:r>
      <w:r w:rsidRPr="00660EA7">
        <w:tab/>
        <w:t xml:space="preserve">Advanced Chemistry Development Inc. (ACD/Labs) </w:t>
      </w:r>
      <w:hyperlink r:id="rId17" w:history="1">
        <w:r w:rsidRPr="00660EA7">
          <w:rPr>
            <w:rStyle w:val="Hyperlink"/>
          </w:rPr>
          <w:t>www.acdlabs.com</w:t>
        </w:r>
      </w:hyperlink>
      <w:r w:rsidRPr="00660EA7">
        <w:t xml:space="preserve"> (August 11), </w:t>
      </w:r>
    </w:p>
    <w:p w14:paraId="1DF1C602" w14:textId="77777777" w:rsidR="00712447" w:rsidRPr="00660EA7" w:rsidRDefault="00712447" w:rsidP="00712447">
      <w:pPr>
        <w:pStyle w:val="EndNoteBibliography"/>
        <w:spacing w:after="0"/>
        <w:ind w:left="720" w:hanging="720"/>
      </w:pPr>
      <w:r w:rsidRPr="00660EA7">
        <w:t>10.</w:t>
      </w:r>
      <w:r w:rsidRPr="00660EA7">
        <w:tab/>
        <w:t xml:space="preserve">Pearce, R. G.; Setzer, R. W.; Strope, C. L.; Sipes, N. S.; Wambaugh, J. F., httk: R Package for High-Throughput Toxicokinetics. </w:t>
      </w:r>
      <w:r w:rsidRPr="00660EA7">
        <w:rPr>
          <w:i/>
        </w:rPr>
        <w:t xml:space="preserve">2017 </w:t>
      </w:r>
      <w:r w:rsidRPr="00660EA7">
        <w:rPr>
          <w:b/>
        </w:rPr>
        <w:t>2017,</w:t>
      </w:r>
      <w:r w:rsidRPr="00660EA7">
        <w:t xml:space="preserve"> </w:t>
      </w:r>
      <w:r w:rsidRPr="00660EA7">
        <w:rPr>
          <w:i/>
        </w:rPr>
        <w:t>79</w:t>
      </w:r>
      <w:r w:rsidRPr="00660EA7">
        <w:t>, (4), 26.</w:t>
      </w:r>
    </w:p>
    <w:p w14:paraId="5F45FF22" w14:textId="77777777" w:rsidR="00712447" w:rsidRPr="00660EA7" w:rsidRDefault="00712447" w:rsidP="00712447">
      <w:pPr>
        <w:pStyle w:val="EndNoteBibliography"/>
        <w:spacing w:after="0"/>
        <w:ind w:left="720" w:hanging="720"/>
      </w:pPr>
      <w:r w:rsidRPr="00660EA7">
        <w:t>11.</w:t>
      </w:r>
      <w:r w:rsidRPr="00660EA7">
        <w:tab/>
        <w:t xml:space="preserve">Wambaugh, J.; Pearce, R.; Davis, J.; Setzer, R. W.; Sipes, N., httk: High-Throughput Toxicokinetics. R package version 1.3. </w:t>
      </w:r>
      <w:r w:rsidRPr="00660EA7">
        <w:rPr>
          <w:b/>
        </w:rPr>
        <w:t>2015</w:t>
      </w:r>
      <w:r w:rsidRPr="00660EA7">
        <w:t>.</w:t>
      </w:r>
    </w:p>
    <w:p w14:paraId="1B59B556" w14:textId="77777777" w:rsidR="00712447" w:rsidRPr="00660EA7" w:rsidRDefault="00712447" w:rsidP="00712447">
      <w:pPr>
        <w:pStyle w:val="EndNoteBibliography"/>
        <w:spacing w:after="0"/>
        <w:ind w:left="720" w:hanging="720"/>
      </w:pPr>
      <w:r w:rsidRPr="00660EA7">
        <w:t>12.</w:t>
      </w:r>
      <w:r w:rsidRPr="00660EA7">
        <w:tab/>
        <w:t xml:space="preserve">Ingle, B. L.; Veber, B. C.; Nichols, J. W.; Tornero-Velez, R., Informing the Human Plasma Protein Binding of Environmental Chemicals by Machine Learning in the Pharmaceutical Space: Applicability Domain and Limits of Predictability. </w:t>
      </w:r>
      <w:r w:rsidRPr="00660EA7">
        <w:rPr>
          <w:i/>
        </w:rPr>
        <w:t xml:space="preserve">Journal of Chemical Information and Modeling </w:t>
      </w:r>
      <w:r w:rsidRPr="00660EA7">
        <w:rPr>
          <w:b/>
        </w:rPr>
        <w:t>2016,</w:t>
      </w:r>
      <w:r w:rsidRPr="00660EA7">
        <w:t xml:space="preserve"> </w:t>
      </w:r>
      <w:r w:rsidRPr="00660EA7">
        <w:rPr>
          <w:i/>
        </w:rPr>
        <w:t>56</w:t>
      </w:r>
      <w:r w:rsidRPr="00660EA7">
        <w:t>, (11), 2243-2252.</w:t>
      </w:r>
    </w:p>
    <w:p w14:paraId="5B8E72FE" w14:textId="77777777" w:rsidR="00712447" w:rsidRPr="00660EA7" w:rsidRDefault="00712447" w:rsidP="00712447">
      <w:pPr>
        <w:pStyle w:val="EndNoteBibliography"/>
        <w:spacing w:after="0"/>
        <w:ind w:left="720" w:hanging="720"/>
      </w:pPr>
      <w:r w:rsidRPr="00660EA7">
        <w:t>13.</w:t>
      </w:r>
      <w:r w:rsidRPr="00660EA7">
        <w:tab/>
        <w:t xml:space="preserve">USEPA Chemistry Dashboard. </w:t>
      </w:r>
      <w:hyperlink r:id="rId18" w:history="1">
        <w:r w:rsidRPr="00660EA7">
          <w:rPr>
            <w:rStyle w:val="Hyperlink"/>
          </w:rPr>
          <w:t>https://comptox.epa.gov/dashboard/</w:t>
        </w:r>
      </w:hyperlink>
      <w:r w:rsidRPr="00660EA7">
        <w:t xml:space="preserve"> (August 10), </w:t>
      </w:r>
    </w:p>
    <w:p w14:paraId="02DE5072" w14:textId="77777777" w:rsidR="00712447" w:rsidRPr="00660EA7" w:rsidRDefault="00712447" w:rsidP="00712447">
      <w:pPr>
        <w:pStyle w:val="EndNoteBibliography"/>
        <w:ind w:left="720" w:hanging="720"/>
      </w:pPr>
      <w:r w:rsidRPr="00660EA7">
        <w:t>14.</w:t>
      </w:r>
      <w:r w:rsidRPr="00660EA7">
        <w:tab/>
        <w:t xml:space="preserve">Pearce, R.; Setzer, W.; Davis, J.; Wambaugh, J., Evaluation and Calibration of High-Throughput Predictions of Chemical Distribution to Tissues. </w:t>
      </w:r>
      <w:r w:rsidRPr="00660EA7">
        <w:rPr>
          <w:i/>
        </w:rPr>
        <w:t xml:space="preserve">in preparation </w:t>
      </w:r>
      <w:r w:rsidRPr="00660EA7">
        <w:rPr>
          <w:b/>
        </w:rPr>
        <w:t>2017</w:t>
      </w:r>
      <w:r w:rsidRPr="00660EA7">
        <w:t>.</w:t>
      </w:r>
    </w:p>
    <w:p w14:paraId="25C0D48C" w14:textId="77777777" w:rsidR="00712447" w:rsidRDefault="00712447" w:rsidP="00712447">
      <w:pPr>
        <w:ind w:left="720" w:hanging="720"/>
      </w:pPr>
      <w:r>
        <w:fldChar w:fldCharType="end"/>
      </w:r>
    </w:p>
    <w:p w14:paraId="727DAD88" w14:textId="77777777" w:rsidR="00712447" w:rsidRDefault="00712447"/>
    <w:sectPr w:rsidR="0071244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59253" w14:textId="77777777" w:rsidR="00B819A2" w:rsidRDefault="00B819A2" w:rsidP="00920073">
      <w:pPr>
        <w:spacing w:after="0" w:line="240" w:lineRule="auto"/>
      </w:pPr>
      <w:r>
        <w:separator/>
      </w:r>
    </w:p>
  </w:endnote>
  <w:endnote w:type="continuationSeparator" w:id="0">
    <w:p w14:paraId="61B04840" w14:textId="77777777" w:rsidR="00B819A2" w:rsidRDefault="00B819A2" w:rsidP="00920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2620879"/>
      <w:docPartObj>
        <w:docPartGallery w:val="Page Numbers (Bottom of Page)"/>
        <w:docPartUnique/>
      </w:docPartObj>
    </w:sdtPr>
    <w:sdtEndPr>
      <w:rPr>
        <w:noProof/>
      </w:rPr>
    </w:sdtEndPr>
    <w:sdtContent>
      <w:p w14:paraId="5CDCB09A" w14:textId="3ABF718F" w:rsidR="00CD316A" w:rsidRDefault="00CD316A">
        <w:pPr>
          <w:pStyle w:val="Footer"/>
          <w:jc w:val="center"/>
        </w:pPr>
        <w:r>
          <w:fldChar w:fldCharType="begin"/>
        </w:r>
        <w:r>
          <w:instrText xml:space="preserve"> PAGE   \* MERGEFORMAT </w:instrText>
        </w:r>
        <w:r>
          <w:fldChar w:fldCharType="separate"/>
        </w:r>
        <w:r w:rsidR="002E40C2">
          <w:rPr>
            <w:noProof/>
          </w:rPr>
          <w:t>2</w:t>
        </w:r>
        <w:r>
          <w:rPr>
            <w:noProof/>
          </w:rPr>
          <w:fldChar w:fldCharType="end"/>
        </w:r>
      </w:p>
    </w:sdtContent>
  </w:sdt>
  <w:p w14:paraId="4F4063FE" w14:textId="764F5780" w:rsidR="00CD316A" w:rsidRPr="00920073" w:rsidRDefault="00CD316A">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E3B94" w14:textId="77777777" w:rsidR="00B819A2" w:rsidRDefault="00B819A2" w:rsidP="00920073">
      <w:pPr>
        <w:spacing w:after="0" w:line="240" w:lineRule="auto"/>
      </w:pPr>
      <w:r>
        <w:separator/>
      </w:r>
    </w:p>
  </w:footnote>
  <w:footnote w:type="continuationSeparator" w:id="0">
    <w:p w14:paraId="26F42F5C" w14:textId="77777777" w:rsidR="00B819A2" w:rsidRDefault="00B819A2" w:rsidP="009200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nviron Science Te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r02avv21zrfe2evas9xxe5pvsvrwrdtptrx&quot;&gt;PhysChem_Library&lt;record-ids&gt;&lt;item&gt;8&lt;/item&gt;&lt;item&gt;37&lt;/item&gt;&lt;item&gt;39&lt;/item&gt;&lt;item&gt;47&lt;/item&gt;&lt;item&gt;49&lt;/item&gt;&lt;item&gt;50&lt;/item&gt;&lt;item&gt;51&lt;/item&gt;&lt;item&gt;52&lt;/item&gt;&lt;item&gt;55&lt;/item&gt;&lt;item&gt;63&lt;/item&gt;&lt;item&gt;70&lt;/item&gt;&lt;item&gt;72&lt;/item&gt;&lt;item&gt;79&lt;/item&gt;&lt;item&gt;82&lt;/item&gt;&lt;/record-ids&gt;&lt;/item&gt;&lt;/Libraries&gt;"/>
  </w:docVars>
  <w:rsids>
    <w:rsidRoot w:val="0054718A"/>
    <w:rsid w:val="0004701C"/>
    <w:rsid w:val="00077D36"/>
    <w:rsid w:val="000D6920"/>
    <w:rsid w:val="00117F9F"/>
    <w:rsid w:val="00124579"/>
    <w:rsid w:val="0013611F"/>
    <w:rsid w:val="001F3649"/>
    <w:rsid w:val="00263E97"/>
    <w:rsid w:val="002B4205"/>
    <w:rsid w:val="002C111A"/>
    <w:rsid w:val="002E40C2"/>
    <w:rsid w:val="00313C23"/>
    <w:rsid w:val="003472F9"/>
    <w:rsid w:val="00443966"/>
    <w:rsid w:val="00465F33"/>
    <w:rsid w:val="005350FD"/>
    <w:rsid w:val="00542FC5"/>
    <w:rsid w:val="0054718A"/>
    <w:rsid w:val="00547C94"/>
    <w:rsid w:val="005736C7"/>
    <w:rsid w:val="00592404"/>
    <w:rsid w:val="005B134D"/>
    <w:rsid w:val="005B4FF8"/>
    <w:rsid w:val="005C1244"/>
    <w:rsid w:val="005D26CE"/>
    <w:rsid w:val="005D5E61"/>
    <w:rsid w:val="00635E9F"/>
    <w:rsid w:val="00641810"/>
    <w:rsid w:val="00641CEA"/>
    <w:rsid w:val="00656FA3"/>
    <w:rsid w:val="00660EA7"/>
    <w:rsid w:val="00694D9A"/>
    <w:rsid w:val="006968F5"/>
    <w:rsid w:val="00712447"/>
    <w:rsid w:val="007170D7"/>
    <w:rsid w:val="00721909"/>
    <w:rsid w:val="00721A88"/>
    <w:rsid w:val="0073525A"/>
    <w:rsid w:val="00751B14"/>
    <w:rsid w:val="007A2030"/>
    <w:rsid w:val="007C183E"/>
    <w:rsid w:val="007D65EC"/>
    <w:rsid w:val="00807463"/>
    <w:rsid w:val="00811D82"/>
    <w:rsid w:val="00882C62"/>
    <w:rsid w:val="008853A6"/>
    <w:rsid w:val="008934B5"/>
    <w:rsid w:val="008B3AA3"/>
    <w:rsid w:val="008E41A8"/>
    <w:rsid w:val="008F380A"/>
    <w:rsid w:val="008F3B09"/>
    <w:rsid w:val="00920073"/>
    <w:rsid w:val="009223E5"/>
    <w:rsid w:val="00922BF2"/>
    <w:rsid w:val="009677E8"/>
    <w:rsid w:val="009A3C06"/>
    <w:rsid w:val="009F5419"/>
    <w:rsid w:val="00A1560F"/>
    <w:rsid w:val="00A25483"/>
    <w:rsid w:val="00A3447B"/>
    <w:rsid w:val="00A70D98"/>
    <w:rsid w:val="00AD2D36"/>
    <w:rsid w:val="00B2267F"/>
    <w:rsid w:val="00B5668C"/>
    <w:rsid w:val="00B819A2"/>
    <w:rsid w:val="00BA583A"/>
    <w:rsid w:val="00BA7600"/>
    <w:rsid w:val="00C119C7"/>
    <w:rsid w:val="00C628DB"/>
    <w:rsid w:val="00CB5857"/>
    <w:rsid w:val="00CD316A"/>
    <w:rsid w:val="00CF2E21"/>
    <w:rsid w:val="00DE638E"/>
    <w:rsid w:val="00DF5BC0"/>
    <w:rsid w:val="00E406A7"/>
    <w:rsid w:val="00E431C0"/>
    <w:rsid w:val="00E558B5"/>
    <w:rsid w:val="00F23C9C"/>
    <w:rsid w:val="00F53F02"/>
    <w:rsid w:val="00F558CC"/>
    <w:rsid w:val="00F56714"/>
    <w:rsid w:val="00F81734"/>
    <w:rsid w:val="00FD24C0"/>
    <w:rsid w:val="00FF7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C5AB64"/>
  <w15:chartTrackingRefBased/>
  <w15:docId w15:val="{60E27D51-FA4E-4ACD-85BE-0CC3EBC28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3C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A3C0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4718A"/>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54718A"/>
    <w:rPr>
      <w:sz w:val="16"/>
      <w:szCs w:val="16"/>
    </w:rPr>
  </w:style>
  <w:style w:type="paragraph" w:styleId="CommentText">
    <w:name w:val="annotation text"/>
    <w:basedOn w:val="Normal"/>
    <w:link w:val="CommentTextChar"/>
    <w:uiPriority w:val="99"/>
    <w:semiHidden/>
    <w:unhideWhenUsed/>
    <w:rsid w:val="0054718A"/>
    <w:pPr>
      <w:spacing w:line="240" w:lineRule="auto"/>
    </w:pPr>
    <w:rPr>
      <w:sz w:val="20"/>
      <w:szCs w:val="20"/>
    </w:rPr>
  </w:style>
  <w:style w:type="character" w:customStyle="1" w:styleId="CommentTextChar">
    <w:name w:val="Comment Text Char"/>
    <w:basedOn w:val="DefaultParagraphFont"/>
    <w:link w:val="CommentText"/>
    <w:uiPriority w:val="99"/>
    <w:semiHidden/>
    <w:rsid w:val="0054718A"/>
    <w:rPr>
      <w:sz w:val="20"/>
      <w:szCs w:val="20"/>
    </w:rPr>
  </w:style>
  <w:style w:type="paragraph" w:styleId="CommentSubject">
    <w:name w:val="annotation subject"/>
    <w:basedOn w:val="CommentText"/>
    <w:next w:val="CommentText"/>
    <w:link w:val="CommentSubjectChar"/>
    <w:uiPriority w:val="99"/>
    <w:semiHidden/>
    <w:unhideWhenUsed/>
    <w:rsid w:val="0054718A"/>
    <w:rPr>
      <w:b/>
      <w:bCs/>
    </w:rPr>
  </w:style>
  <w:style w:type="character" w:customStyle="1" w:styleId="CommentSubjectChar">
    <w:name w:val="Comment Subject Char"/>
    <w:basedOn w:val="CommentTextChar"/>
    <w:link w:val="CommentSubject"/>
    <w:uiPriority w:val="99"/>
    <w:semiHidden/>
    <w:rsid w:val="0054718A"/>
    <w:rPr>
      <w:b/>
      <w:bCs/>
      <w:sz w:val="20"/>
      <w:szCs w:val="20"/>
    </w:rPr>
  </w:style>
  <w:style w:type="paragraph" w:styleId="BalloonText">
    <w:name w:val="Balloon Text"/>
    <w:basedOn w:val="Normal"/>
    <w:link w:val="BalloonTextChar"/>
    <w:uiPriority w:val="99"/>
    <w:semiHidden/>
    <w:unhideWhenUsed/>
    <w:rsid w:val="00547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18A"/>
    <w:rPr>
      <w:rFonts w:ascii="Segoe UI" w:hAnsi="Segoe UI" w:cs="Segoe UI"/>
      <w:sz w:val="18"/>
      <w:szCs w:val="18"/>
    </w:rPr>
  </w:style>
  <w:style w:type="character" w:customStyle="1" w:styleId="Heading1Char">
    <w:name w:val="Heading 1 Char"/>
    <w:basedOn w:val="DefaultParagraphFont"/>
    <w:link w:val="Heading1"/>
    <w:uiPriority w:val="9"/>
    <w:rsid w:val="009A3C0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A3C06"/>
    <w:rPr>
      <w:rFonts w:asciiTheme="majorHAnsi" w:eastAsiaTheme="majorEastAsia" w:hAnsiTheme="majorHAnsi" w:cstheme="majorBidi"/>
      <w:color w:val="2F5496" w:themeColor="accent1" w:themeShade="BF"/>
      <w:sz w:val="26"/>
      <w:szCs w:val="26"/>
    </w:rPr>
  </w:style>
  <w:style w:type="paragraph" w:customStyle="1" w:styleId="EndNoteBibliographyTitle">
    <w:name w:val="EndNote Bibliography Title"/>
    <w:basedOn w:val="Normal"/>
    <w:link w:val="EndNoteBibliographyTitleChar"/>
    <w:rsid w:val="00465F3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65F33"/>
    <w:rPr>
      <w:rFonts w:ascii="Calibri" w:hAnsi="Calibri" w:cs="Calibri"/>
      <w:noProof/>
    </w:rPr>
  </w:style>
  <w:style w:type="paragraph" w:customStyle="1" w:styleId="EndNoteBibliography">
    <w:name w:val="EndNote Bibliography"/>
    <w:basedOn w:val="Normal"/>
    <w:link w:val="EndNoteBibliographyChar"/>
    <w:rsid w:val="00465F3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65F33"/>
    <w:rPr>
      <w:rFonts w:ascii="Calibri" w:hAnsi="Calibri" w:cs="Calibri"/>
      <w:noProof/>
    </w:rPr>
  </w:style>
  <w:style w:type="character" w:styleId="Hyperlink">
    <w:name w:val="Hyperlink"/>
    <w:basedOn w:val="DefaultParagraphFont"/>
    <w:uiPriority w:val="99"/>
    <w:unhideWhenUsed/>
    <w:rsid w:val="00465F33"/>
    <w:rPr>
      <w:color w:val="0563C1" w:themeColor="hyperlink"/>
      <w:u w:val="single"/>
    </w:rPr>
  </w:style>
  <w:style w:type="character" w:styleId="PlaceholderText">
    <w:name w:val="Placeholder Text"/>
    <w:basedOn w:val="DefaultParagraphFont"/>
    <w:uiPriority w:val="99"/>
    <w:semiHidden/>
    <w:rsid w:val="008934B5"/>
    <w:rPr>
      <w:color w:val="808080"/>
    </w:rPr>
  </w:style>
  <w:style w:type="paragraph" w:styleId="Header">
    <w:name w:val="header"/>
    <w:basedOn w:val="Normal"/>
    <w:link w:val="HeaderChar"/>
    <w:uiPriority w:val="99"/>
    <w:unhideWhenUsed/>
    <w:rsid w:val="009200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0073"/>
  </w:style>
  <w:style w:type="paragraph" w:styleId="Footer">
    <w:name w:val="footer"/>
    <w:basedOn w:val="Normal"/>
    <w:link w:val="FooterChar"/>
    <w:uiPriority w:val="99"/>
    <w:unhideWhenUsed/>
    <w:rsid w:val="009200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0073"/>
  </w:style>
  <w:style w:type="character" w:styleId="Mention">
    <w:name w:val="Mention"/>
    <w:basedOn w:val="DefaultParagraphFont"/>
    <w:uiPriority w:val="99"/>
    <w:semiHidden/>
    <w:unhideWhenUsed/>
    <w:rsid w:val="00B5668C"/>
    <w:rPr>
      <w:color w:val="2B579A"/>
      <w:shd w:val="clear" w:color="auto" w:fill="E6E6E6"/>
    </w:rPr>
  </w:style>
  <w:style w:type="paragraph" w:styleId="Title">
    <w:name w:val="Title"/>
    <w:basedOn w:val="Normal"/>
    <w:next w:val="Normal"/>
    <w:link w:val="TitleChar"/>
    <w:uiPriority w:val="10"/>
    <w:qFormat/>
    <w:rsid w:val="0071244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447"/>
    <w:rPr>
      <w:rFonts w:asciiTheme="majorHAnsi" w:eastAsiaTheme="majorEastAsia" w:hAnsiTheme="majorHAnsi" w:cstheme="majorBidi"/>
      <w:spacing w:val="-10"/>
      <w:kern w:val="28"/>
      <w:sz w:val="56"/>
      <w:szCs w:val="56"/>
    </w:rPr>
  </w:style>
  <w:style w:type="character" w:styleId="IntenseReference">
    <w:name w:val="Intense Reference"/>
    <w:basedOn w:val="DefaultParagraphFont"/>
    <w:uiPriority w:val="32"/>
    <w:qFormat/>
    <w:rsid w:val="00712447"/>
    <w:rPr>
      <w:b/>
      <w:bCs/>
      <w:smallCaps/>
      <w:color w:val="4472C4" w:themeColor="accent1"/>
      <w:spacing w:val="5"/>
    </w:rPr>
  </w:style>
  <w:style w:type="paragraph" w:styleId="Subtitle">
    <w:name w:val="Subtitle"/>
    <w:basedOn w:val="Normal"/>
    <w:next w:val="Normal"/>
    <w:link w:val="SubtitleChar"/>
    <w:uiPriority w:val="11"/>
    <w:qFormat/>
    <w:rsid w:val="0071244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2447"/>
    <w:rPr>
      <w:rFonts w:eastAsiaTheme="minorEastAsia"/>
      <w:color w:val="5A5A5A" w:themeColor="text1" w:themeTint="A5"/>
      <w:spacing w:val="15"/>
    </w:rPr>
  </w:style>
  <w:style w:type="paragraph" w:styleId="NormalWeb">
    <w:name w:val="Normal (Web)"/>
    <w:basedOn w:val="Normal"/>
    <w:uiPriority w:val="99"/>
    <w:unhideWhenUsed/>
    <w:rsid w:val="00F56714"/>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hyperlink" Target="https://comptox.epa.gov/dashboard/"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hyperlink" Target="http://www.acdlabs.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4E646-DF18-4EAD-8187-FABABC16E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2888</Words>
  <Characters>16464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 Nicolas</dc:creator>
  <cp:keywords/>
  <dc:description/>
  <cp:lastModifiedBy>Coutros, Katherine</cp:lastModifiedBy>
  <cp:revision>2</cp:revision>
  <cp:lastPrinted>2018-02-01T22:15:00Z</cp:lastPrinted>
  <dcterms:created xsi:type="dcterms:W3CDTF">2018-07-13T17:48:00Z</dcterms:created>
  <dcterms:modified xsi:type="dcterms:W3CDTF">2018-07-13T17:48:00Z</dcterms:modified>
</cp:coreProperties>
</file>