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1E" w:rsidRPr="008E7D0A" w:rsidRDefault="00FC0E1E" w:rsidP="00FC0E1E">
      <w:pPr>
        <w:pStyle w:val="Caption"/>
      </w:pPr>
      <w:bookmarkStart w:id="0" w:name="_Ref394665510"/>
      <w:bookmarkStart w:id="1" w:name="_Ref264201504"/>
      <w:r w:rsidRPr="00E65F40">
        <w:t xml:space="preserve">Table </w:t>
      </w:r>
      <w:r>
        <w:t>1</w:t>
      </w:r>
      <w:r w:rsidRPr="00E65F40">
        <w:t>. Published deposition values for the rabbit using direct measurement approaches</w:t>
      </w:r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2101"/>
        <w:gridCol w:w="3284"/>
        <w:gridCol w:w="2345"/>
      </w:tblGrid>
      <w:tr w:rsidR="00FC0E1E" w:rsidRPr="00643426" w:rsidTr="00436797">
        <w:tc>
          <w:tcPr>
            <w:tcW w:w="1638" w:type="dxa"/>
          </w:tcPr>
          <w:p w:rsidR="00FC0E1E" w:rsidRPr="008D1FDA" w:rsidRDefault="00FC0E1E" w:rsidP="0043679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D1FDA">
              <w:rPr>
                <w:b/>
                <w:sz w:val="18"/>
                <w:szCs w:val="18"/>
              </w:rPr>
              <w:t>Study</w:t>
            </w:r>
          </w:p>
        </w:tc>
        <w:tc>
          <w:tcPr>
            <w:tcW w:w="2160" w:type="dxa"/>
          </w:tcPr>
          <w:p w:rsidR="00FC0E1E" w:rsidRPr="008D1FDA" w:rsidRDefault="00FC0E1E" w:rsidP="0043679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D1FDA">
              <w:rPr>
                <w:b/>
                <w:sz w:val="18"/>
                <w:szCs w:val="18"/>
              </w:rPr>
              <w:t>Reported Value</w:t>
            </w:r>
          </w:p>
        </w:tc>
        <w:tc>
          <w:tcPr>
            <w:tcW w:w="3384" w:type="dxa"/>
          </w:tcPr>
          <w:p w:rsidR="00FC0E1E" w:rsidRPr="008D1FDA" w:rsidRDefault="00FC0E1E" w:rsidP="0043679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D1FDA">
              <w:rPr>
                <w:b/>
                <w:sz w:val="18"/>
                <w:szCs w:val="18"/>
              </w:rPr>
              <w:t>Measurement Approach and Material</w:t>
            </w:r>
          </w:p>
        </w:tc>
        <w:tc>
          <w:tcPr>
            <w:tcW w:w="2394" w:type="dxa"/>
          </w:tcPr>
          <w:p w:rsidR="00FC0E1E" w:rsidRPr="008D1FDA" w:rsidRDefault="00FC0E1E" w:rsidP="0043679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D1FDA">
              <w:rPr>
                <w:b/>
                <w:sz w:val="18"/>
                <w:szCs w:val="18"/>
              </w:rPr>
              <w:t>Potential Bias in Outputs</w:t>
            </w:r>
          </w:p>
        </w:tc>
      </w:tr>
      <w:tr w:rsidR="00FC0E1E" w:rsidRPr="00643426" w:rsidTr="00436797">
        <w:tc>
          <w:tcPr>
            <w:tcW w:w="1638" w:type="dxa"/>
          </w:tcPr>
          <w:p w:rsidR="00FC0E1E" w:rsidRDefault="00FC0E1E" w:rsidP="00436797">
            <w:pPr>
              <w:contextualSpacing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Gutting, et al. (2013)</w:t>
            </w:r>
          </w:p>
          <w:p w:rsidR="00FC0E1E" w:rsidRDefault="00FC0E1E" w:rsidP="00436797">
            <w:pPr>
              <w:contextualSpacing/>
              <w:rPr>
                <w:sz w:val="18"/>
                <w:szCs w:val="18"/>
              </w:rPr>
            </w:pPr>
          </w:p>
          <w:p w:rsidR="00FC0E1E" w:rsidRPr="008D1FDA" w:rsidRDefault="00FC0E1E" w:rsidP="0043679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C0E1E" w:rsidRPr="008D1FDA" w:rsidRDefault="00FC0E1E" w:rsidP="00436797">
            <w:pPr>
              <w:contextualSpacing/>
              <w:rPr>
                <w:sz w:val="18"/>
                <w:szCs w:val="18"/>
              </w:rPr>
            </w:pPr>
            <w:r w:rsidRPr="008D1FDA">
              <w:rPr>
                <w:sz w:val="18"/>
                <w:szCs w:val="18"/>
              </w:rPr>
              <w:t>Pooled value of 4.63% from two data set values: 4.33% (</w:t>
            </w:r>
            <w:r w:rsidRPr="008D1FDA">
              <w:rPr>
                <w:sz w:val="18"/>
                <w:szCs w:val="18"/>
              </w:rPr>
              <w:sym w:font="Symbol" w:char="F0B1"/>
            </w:r>
            <w:r w:rsidRPr="008D1FDA">
              <w:rPr>
                <w:sz w:val="18"/>
                <w:szCs w:val="18"/>
              </w:rPr>
              <w:t>2.2%) and 4.93 % (</w:t>
            </w:r>
            <w:r w:rsidRPr="008D1FDA">
              <w:rPr>
                <w:sz w:val="18"/>
                <w:szCs w:val="18"/>
              </w:rPr>
              <w:sym w:font="Symbol" w:char="F0B1"/>
            </w:r>
            <w:r w:rsidRPr="008D1FDA">
              <w:rPr>
                <w:sz w:val="18"/>
                <w:szCs w:val="18"/>
              </w:rPr>
              <w:t>0.8%)</w:t>
            </w:r>
            <w:r>
              <w:rPr>
                <w:sz w:val="18"/>
                <w:szCs w:val="18"/>
              </w:rPr>
              <w:t>, represents whole lung deposition</w:t>
            </w:r>
          </w:p>
        </w:tc>
        <w:tc>
          <w:tcPr>
            <w:tcW w:w="3384" w:type="dxa"/>
          </w:tcPr>
          <w:p w:rsidR="00FC0E1E" w:rsidRPr="008D1FDA" w:rsidRDefault="00FC0E1E" w:rsidP="00436797">
            <w:pPr>
              <w:contextualSpacing/>
              <w:rPr>
                <w:sz w:val="18"/>
                <w:szCs w:val="18"/>
              </w:rPr>
            </w:pPr>
            <w:r w:rsidRPr="008D1FDA">
              <w:rPr>
                <w:sz w:val="18"/>
                <w:szCs w:val="18"/>
              </w:rPr>
              <w:t xml:space="preserve">Homogenization of New Zealand white rabbit lung tissue and extrapolation to the whole lung after inhalation exposure to </w:t>
            </w:r>
            <w:r w:rsidRPr="008D1FDA">
              <w:rPr>
                <w:i/>
                <w:sz w:val="18"/>
                <w:szCs w:val="18"/>
              </w:rPr>
              <w:t>B. anthracis</w:t>
            </w:r>
            <w:r w:rsidRPr="008D1FDA">
              <w:rPr>
                <w:sz w:val="18"/>
                <w:szCs w:val="18"/>
              </w:rPr>
              <w:t xml:space="preserve"> spores, particle size MMAD of 1.0 µm </w:t>
            </w:r>
            <w:r w:rsidRPr="008D1FDA">
              <w:rPr>
                <w:sz w:val="18"/>
                <w:szCs w:val="18"/>
              </w:rPr>
              <w:sym w:font="Symbol" w:char="F0B1"/>
            </w:r>
            <w:r w:rsidRPr="008D1FDA">
              <w:rPr>
                <w:sz w:val="18"/>
                <w:szCs w:val="18"/>
              </w:rPr>
              <w:t xml:space="preserve"> 0.3 µm</w:t>
            </w:r>
          </w:p>
        </w:tc>
        <w:tc>
          <w:tcPr>
            <w:tcW w:w="2394" w:type="dxa"/>
          </w:tcPr>
          <w:p w:rsidR="00FC0E1E" w:rsidRPr="008D1FDA" w:rsidRDefault="00FC0E1E" w:rsidP="00436797">
            <w:pPr>
              <w:contextualSpacing/>
              <w:rPr>
                <w:sz w:val="18"/>
                <w:szCs w:val="18"/>
              </w:rPr>
            </w:pPr>
            <w:r w:rsidRPr="008D1FDA">
              <w:rPr>
                <w:sz w:val="18"/>
                <w:szCs w:val="18"/>
              </w:rPr>
              <w:t xml:space="preserve">Potential for underestimation of deposition if epithelial cell internalization of deposited particles is rapid (e.g., see </w:t>
            </w:r>
            <w:r>
              <w:rPr>
                <w:noProof/>
                <w:sz w:val="18"/>
                <w:szCs w:val="18"/>
              </w:rPr>
              <w:t>Jenkins and Xu (2013)</w:t>
            </w:r>
            <w:r>
              <w:rPr>
                <w:sz w:val="18"/>
                <w:szCs w:val="18"/>
              </w:rPr>
              <w:t xml:space="preserve"> data in mouse animal </w:t>
            </w:r>
            <w:r w:rsidRPr="008D1FDA">
              <w:rPr>
                <w:sz w:val="18"/>
                <w:szCs w:val="18"/>
              </w:rPr>
              <w:t>model)</w:t>
            </w:r>
          </w:p>
        </w:tc>
      </w:tr>
      <w:tr w:rsidR="00FC0E1E" w:rsidRPr="00643426" w:rsidTr="00436797">
        <w:tc>
          <w:tcPr>
            <w:tcW w:w="1638" w:type="dxa"/>
          </w:tcPr>
          <w:p w:rsidR="00FC0E1E" w:rsidRDefault="00FC0E1E" w:rsidP="00436797">
            <w:pPr>
              <w:contextualSpacing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Gutting, et al. (2012)</w:t>
            </w:r>
            <w:r>
              <w:rPr>
                <w:sz w:val="18"/>
                <w:szCs w:val="18"/>
              </w:rPr>
              <w:t xml:space="preserve"> </w:t>
            </w:r>
          </w:p>
          <w:p w:rsidR="00FC0E1E" w:rsidRDefault="00FC0E1E" w:rsidP="00436797">
            <w:pPr>
              <w:contextualSpacing/>
              <w:rPr>
                <w:sz w:val="18"/>
                <w:szCs w:val="18"/>
              </w:rPr>
            </w:pPr>
          </w:p>
          <w:p w:rsidR="00FC0E1E" w:rsidRPr="008D1FDA" w:rsidRDefault="00FC0E1E" w:rsidP="0043679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C0E1E" w:rsidRPr="008D1FDA" w:rsidRDefault="00FC0E1E" w:rsidP="00436797">
            <w:pPr>
              <w:contextualSpacing/>
              <w:rPr>
                <w:sz w:val="18"/>
                <w:szCs w:val="18"/>
                <w:vertAlign w:val="superscript"/>
              </w:rPr>
            </w:pPr>
            <w:r w:rsidRPr="008D1FDA">
              <w:rPr>
                <w:sz w:val="18"/>
                <w:szCs w:val="18"/>
              </w:rPr>
              <w:t xml:space="preserve">3.07% </w:t>
            </w:r>
            <w:r w:rsidRPr="008D1FDA">
              <w:rPr>
                <w:sz w:val="18"/>
                <w:szCs w:val="18"/>
              </w:rPr>
              <w:sym w:font="Symbol" w:char="F0B1"/>
            </w:r>
            <w:r w:rsidRPr="008D1FDA">
              <w:rPr>
                <w:sz w:val="18"/>
                <w:szCs w:val="18"/>
              </w:rPr>
              <w:t xml:space="preserve"> 0.9% and 1.33% </w:t>
            </w:r>
            <w:r w:rsidRPr="008D1FDA">
              <w:rPr>
                <w:sz w:val="18"/>
                <w:szCs w:val="18"/>
              </w:rPr>
              <w:sym w:font="Symbol" w:char="F0B1"/>
            </w:r>
            <w:r w:rsidRPr="008D1FDA">
              <w:rPr>
                <w:sz w:val="18"/>
                <w:szCs w:val="18"/>
              </w:rPr>
              <w:t xml:space="preserve"> 0.2%</w:t>
            </w:r>
            <w:r>
              <w:rPr>
                <w:sz w:val="18"/>
                <w:szCs w:val="18"/>
              </w:rPr>
              <w:t>, represents whole lung deposition</w:t>
            </w:r>
            <w:r w:rsidRPr="008D1F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84" w:type="dxa"/>
          </w:tcPr>
          <w:p w:rsidR="00FC0E1E" w:rsidRPr="008D1FDA" w:rsidRDefault="00FC0E1E" w:rsidP="00436797">
            <w:pPr>
              <w:contextualSpacing/>
              <w:rPr>
                <w:sz w:val="18"/>
                <w:szCs w:val="18"/>
              </w:rPr>
            </w:pPr>
            <w:r w:rsidRPr="008D1FDA">
              <w:rPr>
                <w:sz w:val="18"/>
                <w:szCs w:val="18"/>
              </w:rPr>
              <w:t>Bronchoalveolar lavage</w:t>
            </w:r>
            <w:r>
              <w:rPr>
                <w:sz w:val="18"/>
                <w:szCs w:val="18"/>
              </w:rPr>
              <w:t xml:space="preserve"> to wash out deposited </w:t>
            </w:r>
            <w:r w:rsidRPr="008D1FDA">
              <w:rPr>
                <w:i/>
                <w:sz w:val="18"/>
                <w:szCs w:val="18"/>
              </w:rPr>
              <w:t>B</w:t>
            </w:r>
            <w:r>
              <w:rPr>
                <w:i/>
                <w:sz w:val="18"/>
                <w:szCs w:val="18"/>
              </w:rPr>
              <w:t>.</w:t>
            </w:r>
            <w:r w:rsidRPr="008D1FDA">
              <w:rPr>
                <w:i/>
                <w:sz w:val="18"/>
                <w:szCs w:val="18"/>
              </w:rPr>
              <w:t xml:space="preserve"> anthracis</w:t>
            </w:r>
            <w:r w:rsidRPr="008D1FDA">
              <w:rPr>
                <w:sz w:val="18"/>
                <w:szCs w:val="18"/>
              </w:rPr>
              <w:t xml:space="preserve"> spores in New Zealand white rabbit, particle size MMAD of 1.0 µm </w:t>
            </w:r>
            <w:r w:rsidRPr="008D1FDA">
              <w:rPr>
                <w:sz w:val="18"/>
                <w:szCs w:val="18"/>
              </w:rPr>
              <w:sym w:font="Symbol" w:char="F0B1"/>
            </w:r>
            <w:r w:rsidRPr="008D1FDA">
              <w:rPr>
                <w:sz w:val="18"/>
                <w:szCs w:val="18"/>
              </w:rPr>
              <w:t xml:space="preserve"> 0.3 µm</w:t>
            </w:r>
          </w:p>
        </w:tc>
        <w:tc>
          <w:tcPr>
            <w:tcW w:w="2394" w:type="dxa"/>
          </w:tcPr>
          <w:p w:rsidR="00FC0E1E" w:rsidRPr="008D1FDA" w:rsidRDefault="00FC0E1E" w:rsidP="0043679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8D1FDA">
              <w:rPr>
                <w:sz w:val="18"/>
                <w:szCs w:val="18"/>
              </w:rPr>
              <w:t xml:space="preserve">eposited doses </w:t>
            </w:r>
            <w:r>
              <w:rPr>
                <w:sz w:val="18"/>
                <w:szCs w:val="18"/>
              </w:rPr>
              <w:t xml:space="preserve">reported </w:t>
            </w:r>
            <w:r w:rsidRPr="008D1FDA">
              <w:rPr>
                <w:sz w:val="18"/>
                <w:szCs w:val="18"/>
              </w:rPr>
              <w:t xml:space="preserve">from bronchoalveolar lavage may </w:t>
            </w:r>
            <w:r>
              <w:rPr>
                <w:sz w:val="18"/>
                <w:szCs w:val="18"/>
              </w:rPr>
              <w:t xml:space="preserve">be biased low if </w:t>
            </w:r>
            <w:r w:rsidRPr="008D1FDA">
              <w:rPr>
                <w:sz w:val="18"/>
                <w:szCs w:val="18"/>
              </w:rPr>
              <w:t xml:space="preserve">inability to wash out all deposited spores or </w:t>
            </w:r>
            <w:r>
              <w:rPr>
                <w:sz w:val="18"/>
                <w:szCs w:val="18"/>
              </w:rPr>
              <w:t xml:space="preserve">rapid </w:t>
            </w:r>
            <w:r w:rsidRPr="008D1FDA">
              <w:rPr>
                <w:sz w:val="18"/>
                <w:szCs w:val="18"/>
              </w:rPr>
              <w:t>transpor</w:t>
            </w:r>
            <w:r>
              <w:rPr>
                <w:sz w:val="18"/>
                <w:szCs w:val="18"/>
              </w:rPr>
              <w:t xml:space="preserve">t across epithelial cell lining takes place </w:t>
            </w:r>
            <w:r>
              <w:rPr>
                <w:noProof/>
                <w:sz w:val="18"/>
                <w:szCs w:val="18"/>
              </w:rPr>
              <w:t>(Gutting, et al., 2012)</w:t>
            </w:r>
          </w:p>
        </w:tc>
      </w:tr>
      <w:tr w:rsidR="00FC0E1E" w:rsidRPr="00643426" w:rsidTr="00436797">
        <w:tc>
          <w:tcPr>
            <w:tcW w:w="1638" w:type="dxa"/>
          </w:tcPr>
          <w:p w:rsidR="00FC0E1E" w:rsidRPr="008D1FDA" w:rsidRDefault="00FC0E1E" w:rsidP="00436797">
            <w:pPr>
              <w:contextualSpacing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Raabe, et al. (1988)</w:t>
            </w:r>
          </w:p>
          <w:p w:rsidR="00FC0E1E" w:rsidRPr="008D1FDA" w:rsidRDefault="00FC0E1E" w:rsidP="00436797">
            <w:pPr>
              <w:contextualSpacing/>
              <w:rPr>
                <w:sz w:val="18"/>
                <w:szCs w:val="18"/>
              </w:rPr>
            </w:pPr>
          </w:p>
          <w:p w:rsidR="00FC0E1E" w:rsidRPr="008D1FDA" w:rsidRDefault="00FC0E1E" w:rsidP="00436797">
            <w:pPr>
              <w:contextualSpacing/>
              <w:rPr>
                <w:sz w:val="18"/>
                <w:szCs w:val="18"/>
              </w:rPr>
            </w:pPr>
            <w:r w:rsidRPr="008D1FDA">
              <w:rPr>
                <w:sz w:val="18"/>
                <w:szCs w:val="18"/>
              </w:rPr>
              <w:t>Note</w:t>
            </w:r>
            <w:proofErr w:type="gramStart"/>
            <w:r w:rsidRPr="008D1FD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Raabe, et al. (1988)</w:t>
            </w:r>
            <w:r>
              <w:rPr>
                <w:sz w:val="18"/>
                <w:szCs w:val="18"/>
              </w:rPr>
              <w:t xml:space="preserve"> data were the basis for U.S. EPA’s RDDR model as described in </w:t>
            </w:r>
            <w:r>
              <w:rPr>
                <w:noProof/>
                <w:sz w:val="18"/>
                <w:szCs w:val="18"/>
              </w:rPr>
              <w:t>U.S. Environmental Protection Agency (1994)</w:t>
            </w:r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160" w:type="dxa"/>
          </w:tcPr>
          <w:p w:rsidR="00FC0E1E" w:rsidRPr="00974368" w:rsidRDefault="00FC0E1E" w:rsidP="00436797">
            <w:pPr>
              <w:contextualSpacing/>
              <w:rPr>
                <w:sz w:val="18"/>
                <w:szCs w:val="18"/>
              </w:rPr>
            </w:pPr>
            <w:r w:rsidRPr="008D1FDA">
              <w:rPr>
                <w:sz w:val="18"/>
                <w:szCs w:val="18"/>
              </w:rPr>
              <w:t>Ranging from 6.6 ± 0.6 % at 0.97 µm to 1.1 ± 0.2 % at 4.86 µm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sz w:val="18"/>
                <w:szCs w:val="18"/>
              </w:rPr>
              <w:t xml:space="preserve"> pulmonary deposition only</w:t>
            </w:r>
          </w:p>
        </w:tc>
        <w:tc>
          <w:tcPr>
            <w:tcW w:w="3384" w:type="dxa"/>
          </w:tcPr>
          <w:p w:rsidR="00FC0E1E" w:rsidRPr="008D1FDA" w:rsidRDefault="00FC0E1E" w:rsidP="0043679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Measurement of deposition to pulmonary region of the rabbit after inhalation of m</w:t>
            </w:r>
            <w:r w:rsidRPr="008D1FDA">
              <w:rPr>
                <w:sz w:val="18"/>
                <w:szCs w:val="18"/>
              </w:rPr>
              <w:t xml:space="preserve">onodisperse </w:t>
            </w:r>
            <w:r w:rsidRPr="008D1FDA">
              <w:rPr>
                <w:sz w:val="18"/>
                <w:szCs w:val="18"/>
                <w:vertAlign w:val="superscript"/>
              </w:rPr>
              <w:t>169</w:t>
            </w:r>
            <w:r w:rsidRPr="008D1FDA">
              <w:rPr>
                <w:sz w:val="18"/>
                <w:szCs w:val="18"/>
              </w:rPr>
              <w:t>Yb aluminosilicate aerosol</w:t>
            </w:r>
            <w:r>
              <w:rPr>
                <w:sz w:val="18"/>
                <w:szCs w:val="18"/>
              </w:rPr>
              <w:t xml:space="preserve"> with </w:t>
            </w:r>
            <w:r w:rsidRPr="008D1FDA">
              <w:rPr>
                <w:sz w:val="18"/>
                <w:szCs w:val="18"/>
              </w:rPr>
              <w:t xml:space="preserve">aerodynamic resistance diameters </w:t>
            </w:r>
            <w:r>
              <w:rPr>
                <w:sz w:val="18"/>
                <w:szCs w:val="18"/>
              </w:rPr>
              <w:t xml:space="preserve">of particles </w:t>
            </w:r>
            <w:r w:rsidRPr="008D1FDA">
              <w:rPr>
                <w:sz w:val="18"/>
                <w:szCs w:val="18"/>
              </w:rPr>
              <w:t xml:space="preserve">ranging from 0.18 to 8.65 µm </w:t>
            </w:r>
            <w:r w:rsidRPr="008D1FDA">
              <w:rPr>
                <w:sz w:val="18"/>
                <w:szCs w:val="18"/>
              </w:rPr>
              <w:tab/>
            </w:r>
          </w:p>
        </w:tc>
        <w:tc>
          <w:tcPr>
            <w:tcW w:w="2394" w:type="dxa"/>
          </w:tcPr>
          <w:p w:rsidR="00FC0E1E" w:rsidRPr="008D1FDA" w:rsidRDefault="00FC0E1E" w:rsidP="00436797">
            <w:pPr>
              <w:contextualSpacing/>
              <w:rPr>
                <w:sz w:val="18"/>
                <w:szCs w:val="18"/>
              </w:rPr>
            </w:pPr>
            <w:r w:rsidRPr="008D1FDA">
              <w:rPr>
                <w:sz w:val="18"/>
                <w:szCs w:val="18"/>
              </w:rPr>
              <w:t>Use of Guyton’s formula to estimate minute volume for calculation of deposition would bias results if actual anima</w:t>
            </w:r>
            <w:r>
              <w:rPr>
                <w:sz w:val="18"/>
                <w:szCs w:val="18"/>
              </w:rPr>
              <w:t xml:space="preserve">l inhalation rate differed </w:t>
            </w:r>
            <w:r>
              <w:rPr>
                <w:noProof/>
                <w:sz w:val="18"/>
                <w:szCs w:val="18"/>
              </w:rPr>
              <w:t>(Raabe, et al., 1988)</w:t>
            </w:r>
          </w:p>
        </w:tc>
      </w:tr>
    </w:tbl>
    <w:p w:rsidR="00FC0E1E" w:rsidRDefault="00FC0E1E" w:rsidP="00FC0E1E">
      <w:pPr>
        <w:pStyle w:val="Caption"/>
        <w:spacing w:after="0"/>
        <w:rPr>
          <w:b w:val="0"/>
          <w:sz w:val="20"/>
          <w:szCs w:val="20"/>
        </w:rPr>
      </w:pPr>
      <w:proofErr w:type="spellStart"/>
      <w:proofErr w:type="gramStart"/>
      <w:r w:rsidRPr="00895983">
        <w:rPr>
          <w:b w:val="0"/>
          <w:sz w:val="20"/>
          <w:szCs w:val="20"/>
          <w:vertAlign w:val="superscript"/>
        </w:rPr>
        <w:t>a</w:t>
      </w:r>
      <w:proofErr w:type="spellEnd"/>
      <w:proofErr w:type="gramEnd"/>
      <w:r w:rsidRPr="00217126">
        <w:rPr>
          <w:b w:val="0"/>
          <w:sz w:val="20"/>
          <w:szCs w:val="20"/>
        </w:rPr>
        <w:t xml:space="preserve"> Aerodynamic resistance diameter measurement</w:t>
      </w:r>
    </w:p>
    <w:p w:rsidR="00FC0E1E" w:rsidRPr="00D60824" w:rsidRDefault="00FC0E1E" w:rsidP="00FC0E1E"/>
    <w:p w:rsidR="00FC0E1E" w:rsidRPr="00217126" w:rsidRDefault="00FC0E1E" w:rsidP="00FC0E1E">
      <w:pPr>
        <w:pStyle w:val="Caption"/>
        <w:spacing w:after="0"/>
        <w:rPr>
          <w:b w:val="0"/>
          <w:sz w:val="20"/>
          <w:szCs w:val="20"/>
        </w:rPr>
      </w:pPr>
      <w:r w:rsidRPr="00217126">
        <w:rPr>
          <w:b w:val="0"/>
          <w:sz w:val="20"/>
          <w:szCs w:val="20"/>
        </w:rPr>
        <w:t>MMAD - mass median aerodynamic diameter</w:t>
      </w:r>
    </w:p>
    <w:p w:rsidR="00FC0E1E" w:rsidRDefault="00FC0E1E" w:rsidP="00FC0E1E">
      <w:pPr>
        <w:rPr>
          <w:bCs/>
          <w:sz w:val="20"/>
          <w:szCs w:val="20"/>
        </w:rPr>
      </w:pPr>
      <w:r w:rsidRPr="00217126">
        <w:rPr>
          <w:bCs/>
          <w:sz w:val="20"/>
          <w:szCs w:val="20"/>
        </w:rPr>
        <w:t>RDDR – Regional Deposited Dose Ratio</w:t>
      </w:r>
    </w:p>
    <w:p w:rsidR="00FC0E1E" w:rsidRDefault="00FC0E1E" w:rsidP="00FC0E1E">
      <w:pPr>
        <w:pStyle w:val="Caption"/>
        <w:spacing w:after="180"/>
        <w:ind w:left="720" w:hanging="720"/>
        <w:jc w:val="both"/>
      </w:pPr>
    </w:p>
    <w:p w:rsidR="00FC0E1E" w:rsidRPr="008D1FDA" w:rsidRDefault="00FC0E1E" w:rsidP="00FC0E1E">
      <w:pPr>
        <w:pStyle w:val="Caption"/>
        <w:spacing w:after="180"/>
        <w:ind w:left="720" w:hanging="720"/>
        <w:jc w:val="both"/>
      </w:pPr>
      <w:r w:rsidRPr="008D1FDA">
        <w:t xml:space="preserve">Table </w:t>
      </w:r>
      <w:r w:rsidRPr="008D1FDA">
        <w:fldChar w:fldCharType="begin"/>
      </w:r>
      <w:r w:rsidRPr="008D1FDA">
        <w:instrText xml:space="preserve"> SEQ Table \* ARABIC </w:instrText>
      </w:r>
      <w:r w:rsidRPr="008D1FDA">
        <w:fldChar w:fldCharType="separate"/>
      </w:r>
      <w:r>
        <w:rPr>
          <w:noProof/>
        </w:rPr>
        <w:t>2</w:t>
      </w:r>
      <w:r w:rsidRPr="008D1FDA">
        <w:rPr>
          <w:noProof/>
        </w:rPr>
        <w:fldChar w:fldCharType="end"/>
      </w:r>
      <w:bookmarkEnd w:id="1"/>
      <w:r>
        <w:t>.</w:t>
      </w:r>
      <w:r w:rsidRPr="008D1FDA">
        <w:t xml:space="preserve"> Deposition efficiencies for different annotated regions in the rabbit and the human nasal model. </w:t>
      </w:r>
    </w:p>
    <w:tbl>
      <w:tblPr>
        <w:tblW w:w="7791" w:type="dxa"/>
        <w:jc w:val="center"/>
        <w:tblLayout w:type="fixed"/>
        <w:tblLook w:val="04A0" w:firstRow="1" w:lastRow="0" w:firstColumn="1" w:lastColumn="0" w:noHBand="0" w:noVBand="1"/>
      </w:tblPr>
      <w:tblGrid>
        <w:gridCol w:w="746"/>
        <w:gridCol w:w="990"/>
        <w:gridCol w:w="1710"/>
        <w:gridCol w:w="2070"/>
        <w:gridCol w:w="1080"/>
        <w:gridCol w:w="1195"/>
      </w:tblGrid>
      <w:tr w:rsidR="00FC0E1E" w:rsidRPr="006D6126" w:rsidTr="00436797">
        <w:trPr>
          <w:trHeight w:val="145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7049C1" w:rsidRDefault="00FC0E1E" w:rsidP="004367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049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Case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C0E1E" w:rsidRPr="007049C1" w:rsidRDefault="00FC0E1E" w:rsidP="00436797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49C1">
              <w:rPr>
                <w:rFonts w:ascii="Calibri" w:hAnsi="Calibri"/>
                <w:b/>
                <w:sz w:val="20"/>
              </w:rPr>
              <w:t xml:space="preserve">MMAD </w:t>
            </w:r>
            <w:r w:rsidRPr="007049C1">
              <w:rPr>
                <w:rFonts w:ascii="Calibri" w:hAnsi="Calibri"/>
                <w:sz w:val="20"/>
              </w:rPr>
              <w:t>(</w:t>
            </w:r>
            <w:proofErr w:type="spellStart"/>
            <w:r w:rsidRPr="007049C1">
              <w:rPr>
                <w:rFonts w:ascii="Calibri" w:hAnsi="Calibri" w:cs="Lucida Grande"/>
                <w:color w:val="000000"/>
                <w:sz w:val="20"/>
              </w:rPr>
              <w:t>μm</w:t>
            </w:r>
            <w:proofErr w:type="spellEnd"/>
            <w:r w:rsidRPr="007049C1">
              <w:rPr>
                <w:rFonts w:ascii="Calibri" w:hAnsi="Calibri" w:cs="Lucida Grande"/>
                <w:color w:val="000000"/>
                <w:sz w:val="20"/>
              </w:rPr>
              <w:t>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C0E1E" w:rsidRPr="007049C1" w:rsidRDefault="00FC0E1E" w:rsidP="00436797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49C1">
              <w:rPr>
                <w:rFonts w:ascii="Calibri" w:hAnsi="Calibri"/>
                <w:b/>
                <w:sz w:val="20"/>
              </w:rPr>
              <w:t>Concentration</w:t>
            </w:r>
          </w:p>
          <w:p w:rsidR="00FC0E1E" w:rsidRPr="007049C1" w:rsidRDefault="00FC0E1E" w:rsidP="00436797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49C1">
              <w:rPr>
                <w:rFonts w:ascii="Calibri" w:hAnsi="Calibri"/>
                <w:sz w:val="20"/>
              </w:rPr>
              <w:t>(Spores/m</w:t>
            </w:r>
            <w:r w:rsidRPr="007049C1">
              <w:rPr>
                <w:rFonts w:ascii="Calibri" w:hAnsi="Calibri"/>
                <w:sz w:val="20"/>
                <w:vertAlign w:val="superscript"/>
              </w:rPr>
              <w:t>3</w:t>
            </w:r>
            <w:r w:rsidRPr="007049C1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7049C1" w:rsidRDefault="00FC0E1E" w:rsidP="004367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049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Location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7049C1" w:rsidRDefault="00FC0E1E" w:rsidP="004367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049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Relative </w:t>
            </w:r>
            <w:r w:rsidRPr="007049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Deposition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* </w:t>
            </w:r>
          </w:p>
        </w:tc>
      </w:tr>
      <w:tr w:rsidR="00FC0E1E" w:rsidRPr="006D6126" w:rsidTr="00436797">
        <w:trPr>
          <w:trHeight w:val="145"/>
          <w:jc w:val="center"/>
        </w:trPr>
        <w:tc>
          <w:tcPr>
            <w:tcW w:w="74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0E1E" w:rsidRPr="007049C1" w:rsidRDefault="00FC0E1E" w:rsidP="004367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0E1E" w:rsidRPr="007049C1" w:rsidRDefault="00FC0E1E" w:rsidP="0043679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E1E" w:rsidRPr="007049C1" w:rsidRDefault="00FC0E1E" w:rsidP="0043679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0E1E" w:rsidRPr="007049C1" w:rsidRDefault="00FC0E1E" w:rsidP="004367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0E1E" w:rsidRPr="007049C1" w:rsidRDefault="00FC0E1E" w:rsidP="004367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049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Rabbit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0E1E" w:rsidRPr="007049C1" w:rsidRDefault="00FC0E1E" w:rsidP="004367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049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Human</w:t>
            </w:r>
          </w:p>
        </w:tc>
      </w:tr>
      <w:tr w:rsidR="00FC0E1E" w:rsidRPr="009A2392" w:rsidTr="00436797">
        <w:trPr>
          <w:trHeight w:val="301"/>
          <w:jc w:val="center"/>
        </w:trPr>
        <w:tc>
          <w:tcPr>
            <w:tcW w:w="7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0E1E" w:rsidRPr="009A2392" w:rsidRDefault="00FC0E1E" w:rsidP="004367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A2392">
              <w:rPr>
                <w:rFonts w:ascii="Calibri" w:eastAsia="Times New Roman" w:hAnsi="Calibri" w:cs="Times New Roman"/>
                <w:color w:val="000000"/>
                <w:sz w:val="20"/>
              </w:rPr>
              <w:t>Case 4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0E1E" w:rsidRPr="009A2392" w:rsidRDefault="00FC0E1E" w:rsidP="004367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A2392">
              <w:rPr>
                <w:rFonts w:ascii="Calibri" w:hAnsi="Calibri"/>
                <w:sz w:val="20"/>
              </w:rPr>
              <w:t>1.12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0E1E" w:rsidRPr="009A2392" w:rsidRDefault="00FC0E1E" w:rsidP="004367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A2392">
              <w:rPr>
                <w:rFonts w:ascii="Calibri" w:hAnsi="Calibri"/>
                <w:sz w:val="20"/>
              </w:rPr>
              <w:t>3.97E+11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A2392">
              <w:rPr>
                <w:rFonts w:ascii="Calibri" w:eastAsia="Times New Roman" w:hAnsi="Calibri" w:cs="Times New Roman"/>
                <w:color w:val="000000"/>
                <w:sz w:val="20"/>
              </w:rPr>
              <w:t>Nose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6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22.29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E1E" w:rsidRPr="009A2392" w:rsidRDefault="00FC0E1E" w:rsidP="004367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6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41.32</w:t>
            </w:r>
          </w:p>
        </w:tc>
      </w:tr>
      <w:tr w:rsidR="00FC0E1E" w:rsidRPr="009A2392" w:rsidTr="00436797">
        <w:trPr>
          <w:trHeight w:val="301"/>
          <w:jc w:val="center"/>
        </w:trPr>
        <w:tc>
          <w:tcPr>
            <w:tcW w:w="7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A2392">
              <w:rPr>
                <w:rFonts w:ascii="Calibri" w:eastAsia="Times New Roman" w:hAnsi="Calibri" w:cs="Times New Roman"/>
                <w:color w:val="000000"/>
                <w:sz w:val="20"/>
              </w:rPr>
              <w:t>Pharynx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B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E1E" w:rsidRPr="009A2392" w:rsidRDefault="00FC0E1E" w:rsidP="004367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6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10.24</w:t>
            </w:r>
          </w:p>
        </w:tc>
      </w:tr>
      <w:tr w:rsidR="00FC0E1E" w:rsidRPr="009A2392" w:rsidTr="00436797">
        <w:trPr>
          <w:trHeight w:val="301"/>
          <w:jc w:val="center"/>
        </w:trPr>
        <w:tc>
          <w:tcPr>
            <w:tcW w:w="7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A2392">
              <w:rPr>
                <w:rFonts w:ascii="Calibri" w:eastAsia="Times New Roman" w:hAnsi="Calibri" w:cs="Times New Roman"/>
                <w:color w:val="000000"/>
                <w:sz w:val="20"/>
              </w:rPr>
              <w:t>Larynx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B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E1E" w:rsidRPr="009A2392" w:rsidRDefault="00FC0E1E" w:rsidP="004367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6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30.24</w:t>
            </w:r>
          </w:p>
        </w:tc>
      </w:tr>
      <w:tr w:rsidR="00FC0E1E" w:rsidRPr="009A2392" w:rsidTr="00436797">
        <w:trPr>
          <w:trHeight w:val="301"/>
          <w:jc w:val="center"/>
        </w:trPr>
        <w:tc>
          <w:tcPr>
            <w:tcW w:w="7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A2392">
              <w:rPr>
                <w:rFonts w:ascii="Calibri" w:eastAsia="Times New Roman" w:hAnsi="Calibri" w:cs="Times New Roman"/>
                <w:color w:val="000000"/>
                <w:sz w:val="20"/>
              </w:rPr>
              <w:t>Trachea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B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E1E" w:rsidRPr="009A2392" w:rsidRDefault="00FC0E1E" w:rsidP="004367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6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2.16</w:t>
            </w:r>
          </w:p>
        </w:tc>
      </w:tr>
      <w:tr w:rsidR="00FC0E1E" w:rsidRPr="009A2392" w:rsidTr="00436797">
        <w:trPr>
          <w:trHeight w:val="301"/>
          <w:jc w:val="center"/>
        </w:trPr>
        <w:tc>
          <w:tcPr>
            <w:tcW w:w="7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A2392">
              <w:rPr>
                <w:rFonts w:ascii="Calibri" w:eastAsia="Times New Roman" w:hAnsi="Calibri" w:cs="Times New Roman"/>
                <w:color w:val="000000"/>
                <w:sz w:val="20"/>
              </w:rPr>
              <w:t>Bronchi &amp; Bronchioles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B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18.50</w:t>
            </w:r>
            <w:r w:rsidRPr="009A2392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      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E1E" w:rsidRPr="009A2392" w:rsidRDefault="00FC0E1E" w:rsidP="004367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6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7.81</w:t>
            </w:r>
          </w:p>
        </w:tc>
      </w:tr>
      <w:tr w:rsidR="00FC0E1E" w:rsidRPr="009A2392" w:rsidTr="00436797">
        <w:trPr>
          <w:trHeight w:val="301"/>
          <w:jc w:val="center"/>
        </w:trPr>
        <w:tc>
          <w:tcPr>
            <w:tcW w:w="7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A2392">
              <w:rPr>
                <w:rFonts w:ascii="Calibri" w:eastAsia="Times New Roman" w:hAnsi="Calibri" w:cs="Times New Roman"/>
                <w:color w:val="000000"/>
                <w:sz w:val="20"/>
              </w:rPr>
              <w:t>Deep Lung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B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0E1E" w:rsidRPr="009A2392" w:rsidRDefault="00FC0E1E" w:rsidP="004367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6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8.22</w:t>
            </w:r>
          </w:p>
        </w:tc>
      </w:tr>
    </w:tbl>
    <w:p w:rsidR="00FC0E1E" w:rsidRPr="00094C2F" w:rsidRDefault="00FC0E1E" w:rsidP="00FC0E1E">
      <w:pPr>
        <w:spacing w:line="360" w:lineRule="auto"/>
      </w:pPr>
      <w:r>
        <w:rPr>
          <w:b/>
        </w:rPr>
        <w:tab/>
      </w:r>
      <w:r>
        <w:t>MMAD – mass median aerodynamic diameter</w:t>
      </w:r>
    </w:p>
    <w:p w:rsidR="00FC0E1E" w:rsidRDefault="00FC0E1E" w:rsidP="00FC0E1E">
      <w:pPr>
        <w:spacing w:line="360" w:lineRule="auto"/>
        <w:rPr>
          <w:b/>
        </w:rPr>
      </w:pPr>
      <w:r>
        <w:t xml:space="preserve">*The total particle deposition for the rabbit and the human was 69.23% and 83.77%, respectively.  </w:t>
      </w:r>
    </w:p>
    <w:p w:rsidR="00FC0E1E" w:rsidRDefault="00FC0E1E" w:rsidP="00FC0E1E">
      <w:pPr>
        <w:rPr>
          <w:b/>
        </w:rPr>
      </w:pPr>
      <w:bookmarkStart w:id="3" w:name="_Ref264103383"/>
    </w:p>
    <w:p w:rsidR="00FC0E1E" w:rsidRPr="00D3438F" w:rsidRDefault="00FC0E1E" w:rsidP="00FC0E1E">
      <w:r w:rsidRPr="008D1FDA">
        <w:rPr>
          <w:b/>
        </w:rPr>
        <w:lastRenderedPageBreak/>
        <w:t xml:space="preserve">Table </w:t>
      </w:r>
      <w:r w:rsidRPr="008D1FDA">
        <w:rPr>
          <w:b/>
        </w:rPr>
        <w:fldChar w:fldCharType="begin"/>
      </w:r>
      <w:r w:rsidRPr="008D1FDA">
        <w:rPr>
          <w:b/>
        </w:rPr>
        <w:instrText xml:space="preserve"> SEQ Table \* ARABIC </w:instrText>
      </w:r>
      <w:r w:rsidRPr="008D1FDA">
        <w:rPr>
          <w:b/>
        </w:rPr>
        <w:fldChar w:fldCharType="separate"/>
      </w:r>
      <w:r>
        <w:rPr>
          <w:b/>
          <w:noProof/>
        </w:rPr>
        <w:t>3</w:t>
      </w:r>
      <w:r w:rsidRPr="008D1FDA">
        <w:rPr>
          <w:b/>
          <w:noProof/>
        </w:rPr>
        <w:fldChar w:fldCharType="end"/>
      </w:r>
      <w:bookmarkEnd w:id="3"/>
      <w:r>
        <w:rPr>
          <w:b/>
        </w:rPr>
        <w:t>.</w:t>
      </w:r>
      <w:r w:rsidRPr="008D1FDA">
        <w:rPr>
          <w:b/>
        </w:rPr>
        <w:t xml:space="preserve"> Deposition efficiencies for the three different cases for the rabbit model. The spores that escaped through the outlets of the 3D geometry </w:t>
      </w:r>
      <w:proofErr w:type="gramStart"/>
      <w:r w:rsidRPr="008D1FDA">
        <w:rPr>
          <w:b/>
        </w:rPr>
        <w:t>were assumed</w:t>
      </w:r>
      <w:proofErr w:type="gramEnd"/>
      <w:r w:rsidRPr="008D1FDA">
        <w:rPr>
          <w:b/>
        </w:rPr>
        <w:t xml:space="preserve"> to have deposited in the distal lung.  The escaped spores </w:t>
      </w:r>
      <w:proofErr w:type="gramStart"/>
      <w:r w:rsidRPr="008D1FDA">
        <w:rPr>
          <w:b/>
        </w:rPr>
        <w:t>were not re-introduced</w:t>
      </w:r>
      <w:proofErr w:type="gramEnd"/>
      <w:r w:rsidRPr="008D1FDA">
        <w:rPr>
          <w:b/>
        </w:rPr>
        <w:t xml:space="preserve"> during the exhalation phase of the breathing cycle.</w:t>
      </w:r>
    </w:p>
    <w:p w:rsidR="00FC0E1E" w:rsidRPr="00EF0C3F" w:rsidRDefault="00FC0E1E" w:rsidP="00FC0E1E"/>
    <w:tbl>
      <w:tblPr>
        <w:tblW w:w="7802" w:type="dxa"/>
        <w:jc w:val="center"/>
        <w:tblLook w:val="04A0" w:firstRow="1" w:lastRow="0" w:firstColumn="1" w:lastColumn="0" w:noHBand="0" w:noVBand="1"/>
      </w:tblPr>
      <w:tblGrid>
        <w:gridCol w:w="1218"/>
        <w:gridCol w:w="933"/>
        <w:gridCol w:w="1638"/>
        <w:gridCol w:w="11"/>
        <w:gridCol w:w="2419"/>
        <w:gridCol w:w="11"/>
        <w:gridCol w:w="1572"/>
      </w:tblGrid>
      <w:tr w:rsidR="00FC0E1E" w:rsidRPr="006D6126" w:rsidTr="00436797">
        <w:trPr>
          <w:trHeight w:val="301"/>
          <w:jc w:val="center"/>
        </w:trPr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197578" w:rsidRDefault="00FC0E1E" w:rsidP="004367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7578">
              <w:rPr>
                <w:rFonts w:ascii="Calibri" w:eastAsia="Times New Roman" w:hAnsi="Calibri" w:cs="Times New Roman"/>
                <w:b/>
                <w:bCs/>
                <w:color w:val="000000"/>
              </w:rPr>
              <w:t>Case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0E1E" w:rsidRPr="00197578" w:rsidRDefault="00FC0E1E" w:rsidP="00436797">
            <w:pPr>
              <w:jc w:val="center"/>
              <w:rPr>
                <w:rFonts w:ascii="Calibri" w:hAnsi="Calibri"/>
                <w:b/>
              </w:rPr>
            </w:pPr>
            <w:r w:rsidRPr="00197578">
              <w:rPr>
                <w:rFonts w:ascii="Calibri" w:hAnsi="Calibri"/>
                <w:b/>
              </w:rPr>
              <w:t xml:space="preserve">MMAD </w:t>
            </w:r>
            <w:r w:rsidRPr="00197578">
              <w:rPr>
                <w:rFonts w:ascii="Calibri" w:hAnsi="Calibri"/>
                <w:sz w:val="22"/>
              </w:rPr>
              <w:t>(</w:t>
            </w:r>
            <w:proofErr w:type="spellStart"/>
            <w:r w:rsidRPr="00197578">
              <w:rPr>
                <w:rFonts w:ascii="Calibri" w:hAnsi="Calibri" w:cs="Lucida Grande"/>
                <w:color w:val="000000"/>
                <w:sz w:val="22"/>
              </w:rPr>
              <w:t>μm</w:t>
            </w:r>
            <w:proofErr w:type="spellEnd"/>
            <w:r w:rsidRPr="00197578">
              <w:rPr>
                <w:rFonts w:ascii="Calibri" w:hAnsi="Calibri" w:cs="Lucida Grande"/>
                <w:color w:val="000000"/>
                <w:sz w:val="22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E1E" w:rsidRPr="00197578" w:rsidRDefault="00FC0E1E" w:rsidP="00436797">
            <w:pPr>
              <w:jc w:val="center"/>
              <w:rPr>
                <w:rFonts w:ascii="Calibri" w:hAnsi="Calibri"/>
                <w:b/>
              </w:rPr>
            </w:pPr>
            <w:r w:rsidRPr="00197578">
              <w:rPr>
                <w:rFonts w:ascii="Calibri" w:hAnsi="Calibri"/>
                <w:b/>
              </w:rPr>
              <w:t>Concentration</w:t>
            </w:r>
          </w:p>
          <w:p w:rsidR="00FC0E1E" w:rsidRPr="00197578" w:rsidRDefault="00FC0E1E" w:rsidP="00436797">
            <w:pPr>
              <w:jc w:val="center"/>
              <w:rPr>
                <w:rFonts w:ascii="Calibri" w:hAnsi="Calibri"/>
                <w:b/>
              </w:rPr>
            </w:pPr>
            <w:r w:rsidRPr="00197578">
              <w:rPr>
                <w:rFonts w:ascii="Calibri" w:hAnsi="Calibri"/>
                <w:sz w:val="22"/>
              </w:rPr>
              <w:t>(Spores/m</w:t>
            </w:r>
            <w:r w:rsidRPr="00197578">
              <w:rPr>
                <w:rFonts w:ascii="Calibri" w:hAnsi="Calibri"/>
                <w:sz w:val="22"/>
                <w:vertAlign w:val="superscript"/>
              </w:rPr>
              <w:t>3</w:t>
            </w:r>
            <w:r w:rsidRPr="00197578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197578" w:rsidRDefault="00FC0E1E" w:rsidP="004367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7578">
              <w:rPr>
                <w:rFonts w:ascii="Calibri" w:eastAsia="Times New Roman" w:hAnsi="Calibri" w:cs="Times New Roman"/>
                <w:b/>
                <w:bCs/>
                <w:color w:val="000000"/>
              </w:rPr>
              <w:t>Location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197578" w:rsidRDefault="00FC0E1E" w:rsidP="004367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757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Relative </w:t>
            </w:r>
            <w:r w:rsidRPr="00197578">
              <w:rPr>
                <w:rFonts w:ascii="Calibri" w:eastAsia="Times New Roman" w:hAnsi="Calibri" w:cs="Times New Roman"/>
                <w:b/>
                <w:bCs/>
                <w:color w:val="000000"/>
              </w:rPr>
              <w:t>Deposition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</w:p>
        </w:tc>
      </w:tr>
      <w:tr w:rsidR="00FC0E1E" w:rsidRPr="009A2392" w:rsidTr="00436797">
        <w:trPr>
          <w:trHeight w:val="301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0E1E" w:rsidRPr="009A2392" w:rsidRDefault="00FC0E1E" w:rsidP="004367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2392">
              <w:rPr>
                <w:rFonts w:ascii="Calibri" w:eastAsia="Times New Roman" w:hAnsi="Calibri" w:cs="Times New Roman"/>
                <w:color w:val="000000"/>
                <w:sz w:val="22"/>
              </w:rPr>
              <w:t>Case 1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0E1E" w:rsidRPr="009A2392" w:rsidRDefault="00FC0E1E" w:rsidP="004367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2392">
              <w:rPr>
                <w:rFonts w:ascii="Calibri" w:hAnsi="Calibri"/>
                <w:sz w:val="22"/>
              </w:rPr>
              <w:t>0.92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0E1E" w:rsidRPr="009A2392" w:rsidRDefault="00FC0E1E" w:rsidP="004367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2392"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>1.18E+08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2392">
              <w:rPr>
                <w:rFonts w:ascii="Calibri" w:eastAsia="Times New Roman" w:hAnsi="Calibri" w:cs="Times New Roman"/>
                <w:color w:val="000000"/>
                <w:sz w:val="22"/>
              </w:rPr>
              <w:t>Nose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28.32</w:t>
            </w:r>
          </w:p>
        </w:tc>
      </w:tr>
      <w:tr w:rsidR="00FC0E1E" w:rsidRPr="009A2392" w:rsidTr="00436797">
        <w:trPr>
          <w:trHeight w:val="301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2392">
              <w:rPr>
                <w:rFonts w:ascii="Calibri" w:eastAsia="Times New Roman" w:hAnsi="Calibri" w:cs="Times New Roman"/>
                <w:color w:val="000000"/>
                <w:sz w:val="22"/>
              </w:rPr>
              <w:t>Pharynx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12.19</w:t>
            </w:r>
          </w:p>
        </w:tc>
      </w:tr>
      <w:tr w:rsidR="00FC0E1E" w:rsidRPr="009A2392" w:rsidTr="00436797">
        <w:trPr>
          <w:trHeight w:val="301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2392">
              <w:rPr>
                <w:rFonts w:ascii="Calibri" w:eastAsia="Times New Roman" w:hAnsi="Calibri" w:cs="Times New Roman"/>
                <w:color w:val="000000"/>
                <w:sz w:val="22"/>
              </w:rPr>
              <w:t>Larynx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11.56</w:t>
            </w:r>
          </w:p>
        </w:tc>
      </w:tr>
      <w:tr w:rsidR="00FC0E1E" w:rsidRPr="009A2392" w:rsidTr="00436797">
        <w:trPr>
          <w:trHeight w:val="301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2392">
              <w:rPr>
                <w:rFonts w:ascii="Calibri" w:eastAsia="Times New Roman" w:hAnsi="Calibri" w:cs="Times New Roman"/>
                <w:color w:val="000000"/>
                <w:sz w:val="22"/>
              </w:rPr>
              <w:t>Trachea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0.19</w:t>
            </w:r>
          </w:p>
        </w:tc>
      </w:tr>
      <w:tr w:rsidR="00FC0E1E" w:rsidRPr="009A2392" w:rsidTr="00436797">
        <w:trPr>
          <w:trHeight w:val="301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2392">
              <w:rPr>
                <w:rFonts w:ascii="Calibri" w:eastAsia="Times New Roman" w:hAnsi="Calibri" w:cs="Times New Roman"/>
                <w:color w:val="000000"/>
                <w:sz w:val="22"/>
              </w:rPr>
              <w:t>Bronchi &amp; Bronchioles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15.08</w:t>
            </w:r>
          </w:p>
        </w:tc>
      </w:tr>
      <w:tr w:rsidR="00FC0E1E" w:rsidRPr="009A2392" w:rsidTr="00436797">
        <w:trPr>
          <w:trHeight w:val="301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2392">
              <w:rPr>
                <w:rFonts w:ascii="Calibri" w:eastAsia="Times New Roman" w:hAnsi="Calibri" w:cs="Times New Roman"/>
                <w:color w:val="000000"/>
                <w:sz w:val="22"/>
              </w:rPr>
              <w:t>Deep Lung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32.66</w:t>
            </w:r>
          </w:p>
        </w:tc>
      </w:tr>
      <w:tr w:rsidR="00FC0E1E" w:rsidRPr="009A2392" w:rsidTr="00436797">
        <w:trPr>
          <w:trHeight w:val="301"/>
          <w:jc w:val="center"/>
        </w:trPr>
        <w:tc>
          <w:tcPr>
            <w:tcW w:w="12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0E1E" w:rsidRPr="009A2392" w:rsidRDefault="00FC0E1E" w:rsidP="004367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2392">
              <w:rPr>
                <w:rFonts w:ascii="Calibri" w:eastAsia="Times New Roman" w:hAnsi="Calibri" w:cs="Times New Roman"/>
                <w:color w:val="000000"/>
                <w:sz w:val="22"/>
              </w:rPr>
              <w:t>Case 2</w:t>
            </w:r>
          </w:p>
        </w:tc>
        <w:tc>
          <w:tcPr>
            <w:tcW w:w="9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0E1E" w:rsidRPr="009A2392" w:rsidRDefault="00FC0E1E" w:rsidP="004367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2392">
              <w:rPr>
                <w:rFonts w:ascii="Calibri" w:hAnsi="Calibri"/>
                <w:sz w:val="22"/>
              </w:rPr>
              <w:t>0.87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0E1E" w:rsidRPr="009A2392" w:rsidRDefault="00FC0E1E" w:rsidP="004367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2392">
              <w:rPr>
                <w:rFonts w:ascii="Calibri" w:hAnsi="Calibri"/>
                <w:sz w:val="22"/>
              </w:rPr>
              <w:t>1.23E+09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2392">
              <w:rPr>
                <w:rFonts w:ascii="Calibri" w:eastAsia="Times New Roman" w:hAnsi="Calibri" w:cs="Times New Roman"/>
                <w:color w:val="000000"/>
                <w:sz w:val="22"/>
              </w:rPr>
              <w:t>Nose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27.21</w:t>
            </w:r>
          </w:p>
        </w:tc>
      </w:tr>
      <w:tr w:rsidR="00FC0E1E" w:rsidRPr="009A2392" w:rsidTr="00436797">
        <w:trPr>
          <w:trHeight w:val="301"/>
          <w:jc w:val="center"/>
        </w:trPr>
        <w:tc>
          <w:tcPr>
            <w:tcW w:w="12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2392">
              <w:rPr>
                <w:rFonts w:ascii="Calibri" w:eastAsia="Times New Roman" w:hAnsi="Calibri" w:cs="Times New Roman"/>
                <w:color w:val="000000"/>
                <w:sz w:val="22"/>
              </w:rPr>
              <w:t>Pharynx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12.41</w:t>
            </w:r>
          </w:p>
        </w:tc>
      </w:tr>
      <w:tr w:rsidR="00FC0E1E" w:rsidRPr="009A2392" w:rsidTr="00436797">
        <w:trPr>
          <w:trHeight w:val="301"/>
          <w:jc w:val="center"/>
        </w:trPr>
        <w:tc>
          <w:tcPr>
            <w:tcW w:w="12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2392">
              <w:rPr>
                <w:rFonts w:ascii="Calibri" w:eastAsia="Times New Roman" w:hAnsi="Calibri" w:cs="Times New Roman"/>
                <w:color w:val="000000"/>
                <w:sz w:val="22"/>
              </w:rPr>
              <w:t>Larynx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12.89</w:t>
            </w:r>
          </w:p>
        </w:tc>
      </w:tr>
      <w:tr w:rsidR="00FC0E1E" w:rsidRPr="009A2392" w:rsidTr="00436797">
        <w:trPr>
          <w:trHeight w:val="301"/>
          <w:jc w:val="center"/>
        </w:trPr>
        <w:tc>
          <w:tcPr>
            <w:tcW w:w="12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2392">
              <w:rPr>
                <w:rFonts w:ascii="Calibri" w:eastAsia="Times New Roman" w:hAnsi="Calibri" w:cs="Times New Roman"/>
                <w:color w:val="000000"/>
                <w:sz w:val="22"/>
              </w:rPr>
              <w:t>Trachea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</w:tr>
      <w:tr w:rsidR="00FC0E1E" w:rsidRPr="009A2392" w:rsidTr="00436797">
        <w:trPr>
          <w:trHeight w:val="301"/>
          <w:jc w:val="center"/>
        </w:trPr>
        <w:tc>
          <w:tcPr>
            <w:tcW w:w="12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2392">
              <w:rPr>
                <w:rFonts w:ascii="Calibri" w:eastAsia="Times New Roman" w:hAnsi="Calibri" w:cs="Times New Roman"/>
                <w:color w:val="000000"/>
                <w:sz w:val="22"/>
              </w:rPr>
              <w:t>Bronchi &amp; Bronchioles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18.74</w:t>
            </w:r>
          </w:p>
        </w:tc>
      </w:tr>
      <w:tr w:rsidR="00FC0E1E" w:rsidRPr="009A2392" w:rsidTr="00436797">
        <w:trPr>
          <w:trHeight w:val="301"/>
          <w:jc w:val="center"/>
        </w:trPr>
        <w:tc>
          <w:tcPr>
            <w:tcW w:w="12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2392">
              <w:rPr>
                <w:rFonts w:ascii="Calibri" w:eastAsia="Times New Roman" w:hAnsi="Calibri" w:cs="Times New Roman"/>
                <w:color w:val="000000"/>
                <w:sz w:val="22"/>
              </w:rPr>
              <w:t>Deep Lung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28.61</w:t>
            </w:r>
          </w:p>
        </w:tc>
      </w:tr>
      <w:tr w:rsidR="00FC0E1E" w:rsidRPr="009A2392" w:rsidTr="00436797">
        <w:trPr>
          <w:trHeight w:val="301"/>
          <w:jc w:val="center"/>
        </w:trPr>
        <w:tc>
          <w:tcPr>
            <w:tcW w:w="12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0E1E" w:rsidRPr="009A2392" w:rsidRDefault="00FC0E1E" w:rsidP="004367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2392">
              <w:rPr>
                <w:rFonts w:ascii="Calibri" w:eastAsia="Times New Roman" w:hAnsi="Calibri" w:cs="Times New Roman"/>
                <w:color w:val="000000"/>
                <w:sz w:val="22"/>
              </w:rPr>
              <w:t>Case 3</w:t>
            </w:r>
          </w:p>
        </w:tc>
        <w:tc>
          <w:tcPr>
            <w:tcW w:w="9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0E1E" w:rsidRPr="009A2392" w:rsidRDefault="00FC0E1E" w:rsidP="004367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2392">
              <w:rPr>
                <w:rFonts w:ascii="Calibri" w:hAnsi="Calibri"/>
                <w:sz w:val="22"/>
              </w:rPr>
              <w:t>1.12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0E1E" w:rsidRPr="009A2392" w:rsidRDefault="00FC0E1E" w:rsidP="004367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2392">
              <w:rPr>
                <w:rFonts w:ascii="Calibri" w:hAnsi="Calibri"/>
                <w:sz w:val="22"/>
              </w:rPr>
              <w:t>1.00E+10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2392">
              <w:rPr>
                <w:rFonts w:ascii="Calibri" w:eastAsia="Times New Roman" w:hAnsi="Calibri" w:cs="Times New Roman"/>
                <w:color w:val="000000"/>
                <w:sz w:val="22"/>
              </w:rPr>
              <w:t>Nose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24.18</w:t>
            </w:r>
          </w:p>
        </w:tc>
      </w:tr>
      <w:tr w:rsidR="00FC0E1E" w:rsidRPr="009A2392" w:rsidTr="00436797">
        <w:trPr>
          <w:trHeight w:val="301"/>
          <w:jc w:val="center"/>
        </w:trPr>
        <w:tc>
          <w:tcPr>
            <w:tcW w:w="12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2392">
              <w:rPr>
                <w:rFonts w:ascii="Calibri" w:eastAsia="Times New Roman" w:hAnsi="Calibri" w:cs="Times New Roman"/>
                <w:color w:val="000000"/>
                <w:sz w:val="22"/>
              </w:rPr>
              <w:t>Pharynx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12.36</w:t>
            </w:r>
          </w:p>
        </w:tc>
      </w:tr>
      <w:tr w:rsidR="00FC0E1E" w:rsidRPr="009A2392" w:rsidTr="00436797">
        <w:trPr>
          <w:trHeight w:val="301"/>
          <w:jc w:val="center"/>
        </w:trPr>
        <w:tc>
          <w:tcPr>
            <w:tcW w:w="12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2392">
              <w:rPr>
                <w:rFonts w:ascii="Calibri" w:eastAsia="Times New Roman" w:hAnsi="Calibri" w:cs="Times New Roman"/>
                <w:color w:val="000000"/>
                <w:sz w:val="22"/>
              </w:rPr>
              <w:t>Larynx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16.18</w:t>
            </w:r>
          </w:p>
        </w:tc>
      </w:tr>
      <w:tr w:rsidR="00FC0E1E" w:rsidRPr="009A2392" w:rsidTr="00436797">
        <w:trPr>
          <w:trHeight w:val="301"/>
          <w:jc w:val="center"/>
        </w:trPr>
        <w:tc>
          <w:tcPr>
            <w:tcW w:w="12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2392">
              <w:rPr>
                <w:rFonts w:ascii="Calibri" w:eastAsia="Times New Roman" w:hAnsi="Calibri" w:cs="Times New Roman"/>
                <w:color w:val="000000"/>
                <w:sz w:val="22"/>
              </w:rPr>
              <w:t>Trachea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</w:tr>
      <w:tr w:rsidR="00FC0E1E" w:rsidRPr="009A2392" w:rsidTr="00436797">
        <w:trPr>
          <w:trHeight w:val="301"/>
          <w:jc w:val="center"/>
        </w:trPr>
        <w:tc>
          <w:tcPr>
            <w:tcW w:w="12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2392">
              <w:rPr>
                <w:rFonts w:ascii="Calibri" w:eastAsia="Times New Roman" w:hAnsi="Calibri" w:cs="Times New Roman"/>
                <w:color w:val="000000"/>
                <w:sz w:val="22"/>
              </w:rPr>
              <w:t>Bronchi &amp; Bronchioles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18.18</w:t>
            </w:r>
          </w:p>
        </w:tc>
      </w:tr>
      <w:tr w:rsidR="00FC0E1E" w:rsidRPr="009A2392" w:rsidTr="00436797">
        <w:trPr>
          <w:trHeight w:val="301"/>
          <w:jc w:val="center"/>
        </w:trPr>
        <w:tc>
          <w:tcPr>
            <w:tcW w:w="12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2392">
              <w:rPr>
                <w:rFonts w:ascii="Calibri" w:eastAsia="Times New Roman" w:hAnsi="Calibri" w:cs="Times New Roman"/>
                <w:color w:val="000000"/>
                <w:sz w:val="22"/>
              </w:rPr>
              <w:t>Deep Lung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E1E" w:rsidRPr="009A2392" w:rsidRDefault="00FC0E1E" w:rsidP="004367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28.93</w:t>
            </w:r>
          </w:p>
        </w:tc>
      </w:tr>
    </w:tbl>
    <w:p w:rsidR="00FC0E1E" w:rsidRDefault="00FC0E1E" w:rsidP="00FC0E1E">
      <w:pPr>
        <w:spacing w:line="360" w:lineRule="auto"/>
        <w:rPr>
          <w:b/>
        </w:rPr>
      </w:pPr>
      <w:r>
        <w:rPr>
          <w:b/>
        </w:rPr>
        <w:tab/>
      </w:r>
      <w:r>
        <w:t>MMAD – mass median aerodynamic diameter</w:t>
      </w:r>
    </w:p>
    <w:p w:rsidR="00FC0E1E" w:rsidRDefault="00FC0E1E" w:rsidP="00FC0E1E">
      <w:r>
        <w:t xml:space="preserve">*The total particle deposition for the rabbit was 69.23%. </w:t>
      </w:r>
    </w:p>
    <w:p w:rsidR="00FC0E1E" w:rsidRDefault="00FC0E1E" w:rsidP="001F1D4F">
      <w:pPr>
        <w:pStyle w:val="Caption"/>
      </w:pPr>
    </w:p>
    <w:p w:rsidR="00FC0E1E" w:rsidRDefault="00FC0E1E" w:rsidP="001F1D4F">
      <w:pPr>
        <w:pStyle w:val="Caption"/>
      </w:pPr>
    </w:p>
    <w:p w:rsidR="00FC0E1E" w:rsidRDefault="00FC0E1E" w:rsidP="001F1D4F">
      <w:pPr>
        <w:pStyle w:val="Caption"/>
      </w:pPr>
    </w:p>
    <w:p w:rsidR="00FC0E1E" w:rsidRDefault="00FC0E1E" w:rsidP="001F1D4F">
      <w:pPr>
        <w:pStyle w:val="Caption"/>
      </w:pPr>
    </w:p>
    <w:p w:rsidR="00FC0E1E" w:rsidRDefault="00FC0E1E" w:rsidP="001F1D4F">
      <w:pPr>
        <w:pStyle w:val="Caption"/>
      </w:pPr>
    </w:p>
    <w:p w:rsidR="00FC0E1E" w:rsidRDefault="00FC0E1E" w:rsidP="001F1D4F">
      <w:pPr>
        <w:pStyle w:val="Caption"/>
      </w:pPr>
    </w:p>
    <w:p w:rsidR="00FC0E1E" w:rsidRDefault="00FC0E1E" w:rsidP="001F1D4F">
      <w:pPr>
        <w:pStyle w:val="Caption"/>
      </w:pPr>
    </w:p>
    <w:p w:rsidR="00FC0E1E" w:rsidRDefault="00FC0E1E" w:rsidP="001F1D4F">
      <w:pPr>
        <w:pStyle w:val="Caption"/>
      </w:pPr>
    </w:p>
    <w:p w:rsidR="00FC0E1E" w:rsidRDefault="00FC0E1E" w:rsidP="001F1D4F">
      <w:pPr>
        <w:pStyle w:val="Caption"/>
      </w:pPr>
    </w:p>
    <w:p w:rsidR="00FC0E1E" w:rsidRDefault="00FC0E1E" w:rsidP="001F1D4F">
      <w:pPr>
        <w:pStyle w:val="Caption"/>
      </w:pPr>
    </w:p>
    <w:p w:rsidR="00FC0E1E" w:rsidRDefault="00FC0E1E" w:rsidP="001F1D4F">
      <w:pPr>
        <w:pStyle w:val="Caption"/>
      </w:pPr>
    </w:p>
    <w:bookmarkEnd w:id="0"/>
    <w:p w:rsidR="00895983" w:rsidRDefault="00895983" w:rsidP="001F1D4F">
      <w:pPr>
        <w:rPr>
          <w:bCs/>
          <w:sz w:val="20"/>
          <w:szCs w:val="20"/>
        </w:rPr>
      </w:pPr>
    </w:p>
    <w:p w:rsidR="00895983" w:rsidRDefault="00895983" w:rsidP="001F1D4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Table 3 </w:t>
      </w:r>
      <w:proofErr w:type="gramStart"/>
      <w:r>
        <w:rPr>
          <w:bCs/>
          <w:sz w:val="20"/>
          <w:szCs w:val="20"/>
        </w:rPr>
        <w:t>was generated</w:t>
      </w:r>
      <w:proofErr w:type="gramEnd"/>
      <w:r>
        <w:rPr>
          <w:bCs/>
          <w:sz w:val="20"/>
          <w:szCs w:val="20"/>
        </w:rPr>
        <w:t xml:space="preserve"> by mining published data from the </w:t>
      </w:r>
      <w:r w:rsidR="00D60824">
        <w:rPr>
          <w:bCs/>
          <w:sz w:val="20"/>
          <w:szCs w:val="20"/>
        </w:rPr>
        <w:t xml:space="preserve">following published sources identified below. There were no computations performed on the data presented from the table beyond identification of ranges as reported in the original citing documents. </w:t>
      </w:r>
    </w:p>
    <w:p w:rsidR="00895983" w:rsidRDefault="00895983" w:rsidP="001F1D4F">
      <w:pPr>
        <w:rPr>
          <w:bCs/>
          <w:sz w:val="20"/>
          <w:szCs w:val="20"/>
        </w:rPr>
      </w:pPr>
    </w:p>
    <w:p w:rsidR="00895983" w:rsidRPr="00895983" w:rsidRDefault="00895983" w:rsidP="00895983">
      <w:pPr>
        <w:rPr>
          <w:bCs/>
          <w:sz w:val="20"/>
          <w:szCs w:val="20"/>
        </w:rPr>
      </w:pPr>
      <w:bookmarkStart w:id="4" w:name="_ENREF_1"/>
      <w:r w:rsidRPr="00895983">
        <w:rPr>
          <w:bCs/>
          <w:sz w:val="20"/>
          <w:szCs w:val="20"/>
        </w:rPr>
        <w:t xml:space="preserve">Gutting, B. W., D. </w:t>
      </w:r>
      <w:proofErr w:type="spellStart"/>
      <w:r w:rsidRPr="00895983">
        <w:rPr>
          <w:bCs/>
          <w:sz w:val="20"/>
          <w:szCs w:val="20"/>
        </w:rPr>
        <w:t>Marchette</w:t>
      </w:r>
      <w:proofErr w:type="spellEnd"/>
      <w:r w:rsidRPr="00895983">
        <w:rPr>
          <w:bCs/>
          <w:sz w:val="20"/>
          <w:szCs w:val="20"/>
        </w:rPr>
        <w:t>, R. Sherwood, G. A. Andrews, A. Director-</w:t>
      </w:r>
      <w:proofErr w:type="spellStart"/>
      <w:r w:rsidRPr="00895983">
        <w:rPr>
          <w:bCs/>
          <w:sz w:val="20"/>
          <w:szCs w:val="20"/>
        </w:rPr>
        <w:t>Myska</w:t>
      </w:r>
      <w:proofErr w:type="spellEnd"/>
      <w:r w:rsidRPr="00895983">
        <w:rPr>
          <w:bCs/>
          <w:sz w:val="20"/>
          <w:szCs w:val="20"/>
        </w:rPr>
        <w:t xml:space="preserve">, S. R. Channel, D. Wolfe, A. E. Berger, R. S. Mackie, B. J. Watson and A. </w:t>
      </w:r>
      <w:proofErr w:type="spellStart"/>
      <w:r w:rsidRPr="00895983">
        <w:rPr>
          <w:bCs/>
          <w:sz w:val="20"/>
          <w:szCs w:val="20"/>
        </w:rPr>
        <w:t>Rukhin</w:t>
      </w:r>
      <w:proofErr w:type="spellEnd"/>
      <w:r w:rsidRPr="00895983">
        <w:rPr>
          <w:bCs/>
          <w:sz w:val="20"/>
          <w:szCs w:val="20"/>
        </w:rPr>
        <w:t xml:space="preserve"> (2013). Modeling Low-Dose Mortality and Disease Incubation Period of Inhalational Anthrax in the Rabbit. J </w:t>
      </w:r>
      <w:proofErr w:type="spellStart"/>
      <w:r w:rsidRPr="00895983">
        <w:rPr>
          <w:bCs/>
          <w:sz w:val="20"/>
          <w:szCs w:val="20"/>
        </w:rPr>
        <w:t>Theor</w:t>
      </w:r>
      <w:proofErr w:type="spellEnd"/>
      <w:r w:rsidRPr="00895983">
        <w:rPr>
          <w:bCs/>
          <w:sz w:val="20"/>
          <w:szCs w:val="20"/>
        </w:rPr>
        <w:t xml:space="preserve"> </w:t>
      </w:r>
      <w:proofErr w:type="spellStart"/>
      <w:r w:rsidRPr="00895983">
        <w:rPr>
          <w:bCs/>
          <w:sz w:val="20"/>
          <w:szCs w:val="20"/>
        </w:rPr>
        <w:t>Biol</w:t>
      </w:r>
      <w:proofErr w:type="spellEnd"/>
      <w:r w:rsidRPr="00895983">
        <w:rPr>
          <w:bCs/>
          <w:sz w:val="20"/>
          <w:szCs w:val="20"/>
        </w:rPr>
        <w:t xml:space="preserve"> 329: 20-31.</w:t>
      </w:r>
    </w:p>
    <w:bookmarkEnd w:id="4"/>
    <w:p w:rsidR="00895983" w:rsidRPr="00895983" w:rsidRDefault="00895983" w:rsidP="00895983">
      <w:pPr>
        <w:rPr>
          <w:bCs/>
          <w:sz w:val="20"/>
          <w:szCs w:val="20"/>
        </w:rPr>
      </w:pPr>
    </w:p>
    <w:p w:rsidR="00895983" w:rsidRPr="00895983" w:rsidRDefault="00895983" w:rsidP="00895983">
      <w:pPr>
        <w:rPr>
          <w:bCs/>
          <w:sz w:val="20"/>
          <w:szCs w:val="20"/>
        </w:rPr>
      </w:pPr>
      <w:bookmarkStart w:id="5" w:name="_ENREF_2"/>
      <w:r w:rsidRPr="00895983">
        <w:rPr>
          <w:bCs/>
          <w:sz w:val="20"/>
          <w:szCs w:val="20"/>
        </w:rPr>
        <w:t xml:space="preserve">Gutting, B. W., T. L. Nichols, S. R. Channel, J. M. Gearhart, G. A. Andrews, A. E. Berger, R. S. Mackie, B. J. Watson, S. C. Taft, K. A. </w:t>
      </w:r>
      <w:proofErr w:type="spellStart"/>
      <w:r w:rsidRPr="00895983">
        <w:rPr>
          <w:bCs/>
          <w:sz w:val="20"/>
          <w:szCs w:val="20"/>
        </w:rPr>
        <w:t>Overheim</w:t>
      </w:r>
      <w:proofErr w:type="spellEnd"/>
      <w:r w:rsidRPr="00895983">
        <w:rPr>
          <w:bCs/>
          <w:sz w:val="20"/>
          <w:szCs w:val="20"/>
        </w:rPr>
        <w:t xml:space="preserve"> and R. L. Sherwood (2012). Inhalational Anthrax (Ames Aerosol) in Naive and Vaccinated New Zealand Rabbits: Characterizing the Spread of Bacteria from Lung Deposition to Bacteremia. Front Cell Infect </w:t>
      </w:r>
      <w:proofErr w:type="spellStart"/>
      <w:r w:rsidRPr="00895983">
        <w:rPr>
          <w:bCs/>
          <w:sz w:val="20"/>
          <w:szCs w:val="20"/>
        </w:rPr>
        <w:t>Microbiol</w:t>
      </w:r>
      <w:proofErr w:type="spellEnd"/>
      <w:r w:rsidRPr="00895983">
        <w:rPr>
          <w:bCs/>
          <w:sz w:val="20"/>
          <w:szCs w:val="20"/>
        </w:rPr>
        <w:t xml:space="preserve"> 2: 87.</w:t>
      </w:r>
    </w:p>
    <w:bookmarkEnd w:id="5"/>
    <w:p w:rsidR="00895983" w:rsidRPr="00895983" w:rsidRDefault="00895983" w:rsidP="00895983">
      <w:pPr>
        <w:rPr>
          <w:bCs/>
          <w:sz w:val="20"/>
          <w:szCs w:val="20"/>
        </w:rPr>
      </w:pPr>
    </w:p>
    <w:p w:rsidR="00895983" w:rsidRPr="00895983" w:rsidRDefault="00895983" w:rsidP="00895983">
      <w:pPr>
        <w:rPr>
          <w:bCs/>
          <w:sz w:val="20"/>
          <w:szCs w:val="20"/>
        </w:rPr>
      </w:pPr>
      <w:bookmarkStart w:id="6" w:name="_ENREF_3"/>
      <w:r w:rsidRPr="00895983">
        <w:rPr>
          <w:bCs/>
          <w:sz w:val="20"/>
          <w:szCs w:val="20"/>
        </w:rPr>
        <w:t xml:space="preserve">Jenkins, S. A. and Y. Xu (2013). Characterization of </w:t>
      </w:r>
      <w:r w:rsidRPr="00895983">
        <w:rPr>
          <w:bCs/>
          <w:i/>
          <w:sz w:val="20"/>
          <w:szCs w:val="20"/>
        </w:rPr>
        <w:t>Bacillus anthracis</w:t>
      </w:r>
      <w:r w:rsidRPr="00895983">
        <w:rPr>
          <w:bCs/>
          <w:sz w:val="20"/>
          <w:szCs w:val="20"/>
        </w:rPr>
        <w:t xml:space="preserve"> Persistence </w:t>
      </w:r>
      <w:proofErr w:type="gramStart"/>
      <w:r w:rsidRPr="00895983">
        <w:rPr>
          <w:bCs/>
          <w:sz w:val="20"/>
          <w:szCs w:val="20"/>
        </w:rPr>
        <w:t>In</w:t>
      </w:r>
      <w:proofErr w:type="gramEnd"/>
      <w:r w:rsidRPr="00895983">
        <w:rPr>
          <w:bCs/>
          <w:sz w:val="20"/>
          <w:szCs w:val="20"/>
        </w:rPr>
        <w:t xml:space="preserve"> Vivo. </w:t>
      </w:r>
      <w:proofErr w:type="spellStart"/>
      <w:r w:rsidRPr="00895983">
        <w:rPr>
          <w:bCs/>
          <w:sz w:val="20"/>
          <w:szCs w:val="20"/>
        </w:rPr>
        <w:t>PLoS</w:t>
      </w:r>
      <w:proofErr w:type="spellEnd"/>
      <w:r w:rsidRPr="00895983">
        <w:rPr>
          <w:bCs/>
          <w:sz w:val="20"/>
          <w:szCs w:val="20"/>
        </w:rPr>
        <w:t xml:space="preserve"> One 8(6): e66177.</w:t>
      </w:r>
    </w:p>
    <w:bookmarkEnd w:id="6"/>
    <w:p w:rsidR="00895983" w:rsidRPr="00895983" w:rsidRDefault="00895983" w:rsidP="00895983">
      <w:pPr>
        <w:rPr>
          <w:bCs/>
          <w:sz w:val="20"/>
          <w:szCs w:val="20"/>
        </w:rPr>
      </w:pPr>
    </w:p>
    <w:p w:rsidR="00895983" w:rsidRPr="00895983" w:rsidRDefault="00895983" w:rsidP="00895983">
      <w:pPr>
        <w:rPr>
          <w:bCs/>
          <w:sz w:val="20"/>
          <w:szCs w:val="20"/>
        </w:rPr>
      </w:pPr>
      <w:bookmarkStart w:id="7" w:name="_ENREF_4"/>
      <w:proofErr w:type="spellStart"/>
      <w:r w:rsidRPr="00895983">
        <w:rPr>
          <w:bCs/>
          <w:sz w:val="20"/>
          <w:szCs w:val="20"/>
        </w:rPr>
        <w:t>Raabe</w:t>
      </w:r>
      <w:proofErr w:type="spellEnd"/>
      <w:r w:rsidRPr="00895983">
        <w:rPr>
          <w:bCs/>
          <w:sz w:val="20"/>
          <w:szCs w:val="20"/>
        </w:rPr>
        <w:t>, O. G., M. A. Al-</w:t>
      </w:r>
      <w:proofErr w:type="spellStart"/>
      <w:r w:rsidRPr="00895983">
        <w:rPr>
          <w:bCs/>
          <w:sz w:val="20"/>
          <w:szCs w:val="20"/>
        </w:rPr>
        <w:t>Bayati</w:t>
      </w:r>
      <w:proofErr w:type="spellEnd"/>
      <w:r w:rsidRPr="00895983">
        <w:rPr>
          <w:bCs/>
          <w:sz w:val="20"/>
          <w:szCs w:val="20"/>
        </w:rPr>
        <w:t xml:space="preserve">, S. V. Teague and A. </w:t>
      </w:r>
      <w:proofErr w:type="spellStart"/>
      <w:r w:rsidRPr="00895983">
        <w:rPr>
          <w:bCs/>
          <w:sz w:val="20"/>
          <w:szCs w:val="20"/>
        </w:rPr>
        <w:t>Rasolt</w:t>
      </w:r>
      <w:proofErr w:type="spellEnd"/>
      <w:r w:rsidRPr="00895983">
        <w:rPr>
          <w:bCs/>
          <w:sz w:val="20"/>
          <w:szCs w:val="20"/>
        </w:rPr>
        <w:t xml:space="preserve"> (1988). Regional Deposition of Inhaled Monodisperse Coarse and Fine Aerosol Particles in Small Laboratory Animals. Annuals of Occupational Hygiene 32: 53-63.</w:t>
      </w:r>
    </w:p>
    <w:bookmarkEnd w:id="7"/>
    <w:p w:rsidR="00895983" w:rsidRPr="00895983" w:rsidRDefault="00895983" w:rsidP="00895983">
      <w:pPr>
        <w:rPr>
          <w:bCs/>
          <w:sz w:val="20"/>
          <w:szCs w:val="20"/>
        </w:rPr>
      </w:pPr>
    </w:p>
    <w:p w:rsidR="00895983" w:rsidRPr="00895983" w:rsidRDefault="00895983" w:rsidP="00895983">
      <w:pPr>
        <w:rPr>
          <w:bCs/>
          <w:sz w:val="20"/>
          <w:szCs w:val="20"/>
        </w:rPr>
      </w:pPr>
      <w:bookmarkStart w:id="8" w:name="_ENREF_5"/>
      <w:r w:rsidRPr="00895983">
        <w:rPr>
          <w:bCs/>
          <w:sz w:val="20"/>
          <w:szCs w:val="20"/>
        </w:rPr>
        <w:t xml:space="preserve">U.S. Environmental Protection Agency (1994). </w:t>
      </w:r>
      <w:r w:rsidRPr="00895983">
        <w:rPr>
          <w:bCs/>
          <w:i/>
          <w:sz w:val="20"/>
          <w:szCs w:val="20"/>
        </w:rPr>
        <w:t>Methods for Derivation of Inhalation Reference Concentrations (</w:t>
      </w:r>
      <w:proofErr w:type="spellStart"/>
      <w:r w:rsidRPr="00895983">
        <w:rPr>
          <w:bCs/>
          <w:i/>
          <w:sz w:val="20"/>
          <w:szCs w:val="20"/>
        </w:rPr>
        <w:t>RfCs</w:t>
      </w:r>
      <w:proofErr w:type="spellEnd"/>
      <w:r w:rsidRPr="00895983">
        <w:rPr>
          <w:bCs/>
          <w:i/>
          <w:sz w:val="20"/>
          <w:szCs w:val="20"/>
        </w:rPr>
        <w:t>) and Application of Inhalation Dosimetry</w:t>
      </w:r>
      <w:r w:rsidRPr="00895983">
        <w:rPr>
          <w:bCs/>
          <w:sz w:val="20"/>
          <w:szCs w:val="20"/>
        </w:rPr>
        <w:t>. Washington, DC. EPA/600/8-90/066F.</w:t>
      </w:r>
    </w:p>
    <w:bookmarkEnd w:id="8"/>
    <w:p w:rsidR="00895983" w:rsidRPr="00217126" w:rsidRDefault="00895983" w:rsidP="001F1D4F">
      <w:pPr>
        <w:rPr>
          <w:bCs/>
          <w:sz w:val="20"/>
          <w:szCs w:val="20"/>
        </w:rPr>
      </w:pPr>
    </w:p>
    <w:p w:rsidR="00B206D8" w:rsidRPr="00FC0E1E" w:rsidRDefault="00FC0E1E">
      <w:pPr>
        <w:rPr>
          <w:bCs/>
          <w:sz w:val="18"/>
          <w:szCs w:val="18"/>
        </w:rPr>
      </w:pPr>
    </w:p>
    <w:sectPr w:rsidR="00B206D8" w:rsidRPr="00FC0E1E" w:rsidSect="00407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599"/>
    <w:multiLevelType w:val="multilevel"/>
    <w:tmpl w:val="BB5E7B1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866BC"/>
    <w:rsid w:val="00007C57"/>
    <w:rsid w:val="00012965"/>
    <w:rsid w:val="00012C3C"/>
    <w:rsid w:val="000433A6"/>
    <w:rsid w:val="0007575F"/>
    <w:rsid w:val="000E3E07"/>
    <w:rsid w:val="000F4728"/>
    <w:rsid w:val="00133C1F"/>
    <w:rsid w:val="001F2533"/>
    <w:rsid w:val="001F7B9D"/>
    <w:rsid w:val="0021005D"/>
    <w:rsid w:val="0025523E"/>
    <w:rsid w:val="002D005B"/>
    <w:rsid w:val="002D449F"/>
    <w:rsid w:val="0030322C"/>
    <w:rsid w:val="00306A61"/>
    <w:rsid w:val="003321EB"/>
    <w:rsid w:val="003E3A67"/>
    <w:rsid w:val="003E3F64"/>
    <w:rsid w:val="003F20DA"/>
    <w:rsid w:val="0040720A"/>
    <w:rsid w:val="00427224"/>
    <w:rsid w:val="00463963"/>
    <w:rsid w:val="0047429E"/>
    <w:rsid w:val="004E577D"/>
    <w:rsid w:val="00546D69"/>
    <w:rsid w:val="005661CB"/>
    <w:rsid w:val="00571150"/>
    <w:rsid w:val="005777B8"/>
    <w:rsid w:val="005A4F6A"/>
    <w:rsid w:val="00601E9B"/>
    <w:rsid w:val="00602888"/>
    <w:rsid w:val="00647934"/>
    <w:rsid w:val="006B29DB"/>
    <w:rsid w:val="00715F48"/>
    <w:rsid w:val="00721D45"/>
    <w:rsid w:val="00723134"/>
    <w:rsid w:val="008206D4"/>
    <w:rsid w:val="00876CDF"/>
    <w:rsid w:val="0089128C"/>
    <w:rsid w:val="00895983"/>
    <w:rsid w:val="008D1EB9"/>
    <w:rsid w:val="0091051D"/>
    <w:rsid w:val="009131F4"/>
    <w:rsid w:val="009C7AEE"/>
    <w:rsid w:val="009D4264"/>
    <w:rsid w:val="009F766C"/>
    <w:rsid w:val="00A03A44"/>
    <w:rsid w:val="00A33BC4"/>
    <w:rsid w:val="00AA3885"/>
    <w:rsid w:val="00AA6F06"/>
    <w:rsid w:val="00AF1422"/>
    <w:rsid w:val="00B01C06"/>
    <w:rsid w:val="00B62C77"/>
    <w:rsid w:val="00B714C7"/>
    <w:rsid w:val="00B953B1"/>
    <w:rsid w:val="00BD7333"/>
    <w:rsid w:val="00D05020"/>
    <w:rsid w:val="00D13B6A"/>
    <w:rsid w:val="00D21FCB"/>
    <w:rsid w:val="00D60824"/>
    <w:rsid w:val="00D80A66"/>
    <w:rsid w:val="00DA6262"/>
    <w:rsid w:val="00DB2FE3"/>
    <w:rsid w:val="00E447E7"/>
    <w:rsid w:val="00EC61EE"/>
    <w:rsid w:val="00F034CE"/>
    <w:rsid w:val="00F812A7"/>
    <w:rsid w:val="00F866BC"/>
    <w:rsid w:val="00FB1028"/>
    <w:rsid w:val="00FC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40DF7-EECE-40D4-B7F6-746175B3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PA Report"/>
    <w:qFormat/>
    <w:rsid w:val="00F866BC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ListParagraph"/>
    <w:next w:val="Normal"/>
    <w:link w:val="Heading1Char"/>
    <w:autoRedefine/>
    <w:uiPriority w:val="99"/>
    <w:qFormat/>
    <w:rsid w:val="00F866BC"/>
    <w:pPr>
      <w:numPr>
        <w:numId w:val="1"/>
      </w:numPr>
      <w:spacing w:before="840" w:after="120"/>
      <w:outlineLvl w:val="0"/>
    </w:pPr>
    <w:rPr>
      <w:b/>
      <w:sz w:val="28"/>
    </w:rPr>
  </w:style>
  <w:style w:type="paragraph" w:styleId="Heading2">
    <w:name w:val="heading 2"/>
    <w:basedOn w:val="ListParagraph"/>
    <w:next w:val="Normal"/>
    <w:link w:val="Heading2Char"/>
    <w:uiPriority w:val="99"/>
    <w:qFormat/>
    <w:rsid w:val="00F866BC"/>
    <w:pPr>
      <w:numPr>
        <w:ilvl w:val="1"/>
        <w:numId w:val="1"/>
      </w:numPr>
      <w:contextualSpacing w:val="0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uiPriority w:val="99"/>
    <w:qFormat/>
    <w:rsid w:val="00F866BC"/>
    <w:pPr>
      <w:numPr>
        <w:ilvl w:val="2"/>
        <w:numId w:val="1"/>
      </w:numPr>
      <w:tabs>
        <w:tab w:val="left" w:pos="720"/>
      </w:tabs>
      <w:spacing w:after="120"/>
      <w:outlineLvl w:val="2"/>
    </w:pPr>
    <w:rPr>
      <w:b/>
      <w:i/>
    </w:rPr>
  </w:style>
  <w:style w:type="paragraph" w:styleId="Heading4">
    <w:name w:val="heading 4"/>
    <w:basedOn w:val="Heading3"/>
    <w:next w:val="Normal"/>
    <w:link w:val="Heading4Char"/>
    <w:autoRedefine/>
    <w:uiPriority w:val="99"/>
    <w:qFormat/>
    <w:rsid w:val="00F866BC"/>
    <w:pPr>
      <w:numPr>
        <w:ilvl w:val="3"/>
      </w:numPr>
      <w:spacing w:after="24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866BC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66BC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66BC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866BC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866BC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866BC"/>
    <w:rPr>
      <w:rFonts w:asciiTheme="minorHAnsi" w:eastAsiaTheme="minorEastAsia" w:hAnsiTheme="minorHAnsi" w:cstheme="minorBidi"/>
      <w:b/>
      <w:sz w:val="28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F866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866BC"/>
    <w:rPr>
      <w:rFonts w:asciiTheme="minorHAnsi" w:eastAsiaTheme="minorEastAsia" w:hAnsiTheme="minorHAnsi" w:cstheme="minorBidi"/>
      <w:b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F866BC"/>
    <w:rPr>
      <w:rFonts w:asciiTheme="minorHAnsi" w:eastAsiaTheme="minorEastAsia" w:hAnsiTheme="minorHAnsi" w:cstheme="minorBidi"/>
      <w:b/>
      <w:i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rsid w:val="00F866BC"/>
    <w:rPr>
      <w:rFonts w:asciiTheme="minorHAnsi" w:eastAsiaTheme="minorEastAsia" w:hAnsiTheme="minorHAnsi" w:cstheme="minorBidi"/>
      <w:b/>
      <w:i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rsid w:val="00F866BC"/>
    <w:rPr>
      <w:rFonts w:ascii="Cambria" w:eastAsiaTheme="minorEastAsia" w:hAnsi="Cambria" w:cstheme="minorBidi"/>
      <w:color w:val="243F60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rsid w:val="00F866BC"/>
    <w:rPr>
      <w:rFonts w:ascii="Cambria" w:eastAsiaTheme="minorEastAsia" w:hAnsi="Cambria" w:cstheme="minorBidi"/>
      <w:i/>
      <w:iCs/>
      <w:color w:val="243F60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rsid w:val="00F866BC"/>
    <w:rPr>
      <w:rFonts w:ascii="Cambria" w:eastAsiaTheme="minorEastAsia" w:hAnsi="Cambria" w:cstheme="minorBidi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F866BC"/>
    <w:rPr>
      <w:rFonts w:ascii="Cambria" w:eastAsiaTheme="minorEastAsia" w:hAnsi="Cambria" w:cstheme="minorBidi"/>
      <w:color w:val="404040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9"/>
    <w:rsid w:val="00F866BC"/>
    <w:rPr>
      <w:rFonts w:ascii="Cambria" w:eastAsiaTheme="minorEastAsia" w:hAnsi="Cambria" w:cstheme="minorBidi"/>
      <w:i/>
      <w:iCs/>
      <w:color w:val="404040"/>
      <w:sz w:val="20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rsid w:val="00F866BC"/>
    <w:pPr>
      <w:tabs>
        <w:tab w:val="left" w:pos="440"/>
        <w:tab w:val="right" w:leader="dot" w:pos="9350"/>
      </w:tabs>
      <w:spacing w:after="200"/>
      <w:ind w:left="864" w:right="432" w:hanging="864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rsid w:val="00F866BC"/>
    <w:pPr>
      <w:tabs>
        <w:tab w:val="left" w:pos="880"/>
        <w:tab w:val="right" w:leader="dot" w:pos="9350"/>
      </w:tabs>
      <w:spacing w:after="100"/>
      <w:ind w:left="220"/>
    </w:pPr>
    <w:rPr>
      <w:rFonts w:eastAsia="Times New Roman"/>
      <w:noProof/>
    </w:rPr>
  </w:style>
  <w:style w:type="paragraph" w:styleId="TOC3">
    <w:name w:val="toc 3"/>
    <w:basedOn w:val="Normal"/>
    <w:next w:val="Normal"/>
    <w:autoRedefine/>
    <w:uiPriority w:val="39"/>
    <w:rsid w:val="00F866BC"/>
    <w:pPr>
      <w:tabs>
        <w:tab w:val="left" w:pos="1320"/>
        <w:tab w:val="right" w:leader="dot" w:pos="9350"/>
      </w:tabs>
      <w:spacing w:after="120"/>
      <w:ind w:left="864" w:right="864" w:firstLine="43"/>
    </w:pPr>
    <w:rPr>
      <w:rFonts w:eastAsia="Times New Roman"/>
      <w:noProof/>
    </w:rPr>
  </w:style>
  <w:style w:type="paragraph" w:styleId="TOC4">
    <w:name w:val="toc 4"/>
    <w:basedOn w:val="Normal"/>
    <w:next w:val="Normal"/>
    <w:autoRedefine/>
    <w:uiPriority w:val="99"/>
    <w:rsid w:val="00F866BC"/>
    <w:pPr>
      <w:tabs>
        <w:tab w:val="right" w:leader="dot" w:pos="9350"/>
      </w:tabs>
      <w:spacing w:after="100"/>
      <w:ind w:left="450"/>
      <w:jc w:val="center"/>
    </w:pPr>
    <w:rPr>
      <w:b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rsid w:val="00F866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66BC"/>
    <w:rPr>
      <w:rFonts w:asciiTheme="minorHAnsi" w:eastAsiaTheme="minorEastAsia" w:hAnsiTheme="minorHAnsi" w:cstheme="minorBidi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uiPriority w:val="99"/>
    <w:rsid w:val="00F86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66BC"/>
    <w:rPr>
      <w:rFonts w:asciiTheme="minorHAnsi" w:eastAsiaTheme="minorEastAsia" w:hAnsiTheme="minorHAnsi" w:cstheme="minorBidi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F86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6BC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F86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6BC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Caption">
    <w:name w:val="caption"/>
    <w:basedOn w:val="Normal"/>
    <w:next w:val="Normal"/>
    <w:uiPriority w:val="35"/>
    <w:qFormat/>
    <w:rsid w:val="00F866BC"/>
    <w:pPr>
      <w:spacing w:after="120"/>
    </w:pPr>
    <w:rPr>
      <w:b/>
      <w:bCs/>
    </w:rPr>
  </w:style>
  <w:style w:type="paragraph" w:styleId="TableofFigures">
    <w:name w:val="table of figures"/>
    <w:basedOn w:val="Normal"/>
    <w:next w:val="Normal"/>
    <w:uiPriority w:val="99"/>
    <w:rsid w:val="00F866BC"/>
  </w:style>
  <w:style w:type="character" w:styleId="FootnoteReference">
    <w:name w:val="footnote reference"/>
    <w:basedOn w:val="DefaultParagraphFont"/>
    <w:uiPriority w:val="99"/>
    <w:rsid w:val="00F866B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866BC"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F866BC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F866B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866B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66BC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rsid w:val="00F866B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866BC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F866BC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F866B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6BC"/>
    <w:rPr>
      <w:rFonts w:ascii="Consolas" w:eastAsiaTheme="minorEastAsia" w:hAnsi="Consolas" w:cstheme="minorBidi"/>
      <w:sz w:val="21"/>
      <w:szCs w:val="21"/>
      <w:lang w:eastAsia="ja-JP"/>
    </w:rPr>
  </w:style>
  <w:style w:type="paragraph" w:styleId="NormalWeb">
    <w:name w:val="Normal (Web)"/>
    <w:basedOn w:val="Normal"/>
    <w:uiPriority w:val="99"/>
    <w:semiHidden/>
    <w:rsid w:val="00F866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6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6BC"/>
    <w:rPr>
      <w:rFonts w:asciiTheme="minorHAnsi" w:eastAsiaTheme="minorEastAsia" w:hAnsiTheme="minorHAnsi" w:cstheme="minorBidi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86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BC"/>
    <w:rPr>
      <w:rFonts w:ascii="Tahoma" w:eastAsiaTheme="minorEastAsia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99"/>
    <w:rsid w:val="00F866B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866BC"/>
    <w:rPr>
      <w:rFonts w:cs="Times New Roman"/>
      <w:color w:val="808080"/>
    </w:rPr>
  </w:style>
  <w:style w:type="paragraph" w:styleId="NoSpacing">
    <w:name w:val="No Spacing"/>
    <w:uiPriority w:val="99"/>
    <w:qFormat/>
    <w:rsid w:val="00F866BC"/>
    <w:rPr>
      <w:rFonts w:ascii="Calibri" w:hAnsi="Calibri"/>
      <w:szCs w:val="24"/>
    </w:rPr>
  </w:style>
  <w:style w:type="table" w:styleId="ColorfulList-Accent1">
    <w:name w:val="Colorful List Accent 1"/>
    <w:basedOn w:val="TableNormal"/>
    <w:uiPriority w:val="99"/>
    <w:rsid w:val="00F866BC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ColorfulShading-Accent2">
    <w:name w:val="Colorful Shading Accent 2"/>
    <w:basedOn w:val="TableNormal"/>
    <w:uiPriority w:val="99"/>
    <w:rsid w:val="00F866BC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LightShading-Accent3">
    <w:name w:val="Light Shading Accent 3"/>
    <w:basedOn w:val="TableNormal"/>
    <w:uiPriority w:val="99"/>
    <w:rsid w:val="00F866BC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2-Accent5">
    <w:name w:val="Medium Shading 2 Accent 5"/>
    <w:basedOn w:val="TableNormal"/>
    <w:uiPriority w:val="99"/>
    <w:rsid w:val="00F866BC"/>
    <w:rPr>
      <w:rFonts w:ascii="Calibri" w:eastAsia="Times New Roman" w:hAnsi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99"/>
    <w:qFormat/>
    <w:rsid w:val="00F866BC"/>
    <w:rPr>
      <w:rFonts w:eastAsia="Times New Roman" w:cs="Times New Roman"/>
      <w:i/>
      <w:iCs/>
      <w:color w:val="808080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F866BC"/>
    <w:pPr>
      <w:numPr>
        <w:numId w:val="0"/>
      </w:numPr>
      <w:outlineLvl w:val="9"/>
    </w:pPr>
  </w:style>
  <w:style w:type="paragraph" w:customStyle="1" w:styleId="BBCoverlevel2">
    <w:name w:val="BBCover_level2"/>
    <w:basedOn w:val="Normal"/>
    <w:uiPriority w:val="99"/>
    <w:rsid w:val="00F866BC"/>
    <w:rPr>
      <w:rFonts w:ascii="Arial" w:eastAsia="Times New Roman" w:hAnsi="Arial" w:cs="Arial"/>
      <w:bCs/>
      <w:sz w:val="36"/>
      <w:szCs w:val="36"/>
    </w:rPr>
  </w:style>
  <w:style w:type="paragraph" w:customStyle="1" w:styleId="00-Head1">
    <w:name w:val="00-Head1"/>
    <w:basedOn w:val="Normal"/>
    <w:uiPriority w:val="99"/>
    <w:rsid w:val="00F866BC"/>
    <w:pPr>
      <w:tabs>
        <w:tab w:val="left" w:pos="27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  <w:tab w:val="left" w:pos="19800"/>
        <w:tab w:val="left" w:pos="20520"/>
        <w:tab w:val="left" w:pos="21240"/>
        <w:tab w:val="left" w:pos="21960"/>
        <w:tab w:val="left" w:pos="22680"/>
        <w:tab w:val="left" w:pos="23400"/>
        <w:tab w:val="left" w:pos="24120"/>
        <w:tab w:val="left" w:pos="24840"/>
        <w:tab w:val="left" w:pos="25560"/>
        <w:tab w:val="left" w:pos="26280"/>
        <w:tab w:val="left" w:pos="27000"/>
        <w:tab w:val="left" w:pos="27720"/>
        <w:tab w:val="left" w:pos="28440"/>
      </w:tabs>
      <w:spacing w:after="240"/>
      <w:jc w:val="center"/>
    </w:pPr>
    <w:rPr>
      <w:rFonts w:eastAsia="Times New Roman"/>
      <w:b/>
      <w:szCs w:val="20"/>
    </w:rPr>
  </w:style>
  <w:style w:type="paragraph" w:customStyle="1" w:styleId="DecimalAligned">
    <w:name w:val="Decimal Aligned"/>
    <w:basedOn w:val="Normal"/>
    <w:uiPriority w:val="99"/>
    <w:rsid w:val="00F866BC"/>
    <w:pPr>
      <w:tabs>
        <w:tab w:val="decimal" w:pos="360"/>
      </w:tabs>
    </w:pPr>
    <w:rPr>
      <w:rFonts w:ascii="Calibri" w:eastAsia="Times New Roman" w:hAnsi="Calibri"/>
    </w:rPr>
  </w:style>
  <w:style w:type="table" w:customStyle="1" w:styleId="LightShading1">
    <w:name w:val="Light Shading1"/>
    <w:uiPriority w:val="99"/>
    <w:rsid w:val="00F866B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2">
    <w:name w:val="Light Shading2"/>
    <w:uiPriority w:val="99"/>
    <w:rsid w:val="00F866B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HLevel1">
    <w:name w:val="BHLevel1"/>
    <w:basedOn w:val="Normal"/>
    <w:next w:val="Normal"/>
    <w:uiPriority w:val="99"/>
    <w:rsid w:val="00F866BC"/>
    <w:pPr>
      <w:spacing w:before="480" w:after="240"/>
      <w:jc w:val="center"/>
      <w:outlineLvl w:val="0"/>
    </w:pPr>
    <w:rPr>
      <w:b/>
      <w:caps/>
      <w:color w:val="000000"/>
      <w:sz w:val="40"/>
      <w:szCs w:val="40"/>
    </w:rPr>
  </w:style>
  <w:style w:type="paragraph" w:customStyle="1" w:styleId="BHLevel2">
    <w:name w:val="BHLevel2"/>
    <w:basedOn w:val="Normal"/>
    <w:next w:val="Normal"/>
    <w:uiPriority w:val="99"/>
    <w:rsid w:val="00F866BC"/>
    <w:pPr>
      <w:spacing w:before="480" w:after="240"/>
      <w:jc w:val="center"/>
      <w:outlineLvl w:val="1"/>
    </w:pPr>
    <w:rPr>
      <w:b/>
      <w:smallCaps/>
      <w:color w:val="1F497D"/>
      <w:sz w:val="36"/>
      <w:szCs w:val="36"/>
    </w:rPr>
  </w:style>
  <w:style w:type="paragraph" w:customStyle="1" w:styleId="BHLevel3">
    <w:name w:val="BHLevel3"/>
    <w:basedOn w:val="Normal"/>
    <w:next w:val="Normal"/>
    <w:uiPriority w:val="99"/>
    <w:rsid w:val="00F866BC"/>
    <w:pPr>
      <w:spacing w:before="480" w:after="240"/>
      <w:jc w:val="center"/>
      <w:outlineLvl w:val="2"/>
    </w:pPr>
    <w:rPr>
      <w:b/>
      <w:color w:val="4F81BD"/>
      <w:sz w:val="30"/>
      <w:szCs w:val="30"/>
    </w:rPr>
  </w:style>
  <w:style w:type="paragraph" w:customStyle="1" w:styleId="BHLevel4">
    <w:name w:val="BHLevel4"/>
    <w:basedOn w:val="Normal"/>
    <w:next w:val="Normal"/>
    <w:uiPriority w:val="99"/>
    <w:rsid w:val="00F866BC"/>
    <w:pPr>
      <w:spacing w:before="480" w:after="240"/>
      <w:outlineLvl w:val="3"/>
    </w:pPr>
    <w:rPr>
      <w:b/>
      <w:color w:val="C0504D"/>
      <w:sz w:val="28"/>
      <w:szCs w:val="28"/>
    </w:rPr>
  </w:style>
  <w:style w:type="paragraph" w:customStyle="1" w:styleId="BHLevel5">
    <w:name w:val="BHLevel5"/>
    <w:basedOn w:val="Normal"/>
    <w:next w:val="Normal"/>
    <w:uiPriority w:val="99"/>
    <w:rsid w:val="00F866BC"/>
    <w:pPr>
      <w:spacing w:before="480" w:after="240"/>
      <w:outlineLvl w:val="4"/>
    </w:pPr>
    <w:rPr>
      <w:b/>
      <w:i/>
      <w:color w:val="000000"/>
      <w:sz w:val="26"/>
      <w:szCs w:val="26"/>
    </w:rPr>
  </w:style>
  <w:style w:type="paragraph" w:customStyle="1" w:styleId="BHLevel6">
    <w:name w:val="BHLevel6"/>
    <w:basedOn w:val="Normal"/>
    <w:next w:val="Normal"/>
    <w:uiPriority w:val="99"/>
    <w:rsid w:val="00F866BC"/>
    <w:pPr>
      <w:spacing w:before="480" w:after="240"/>
      <w:outlineLvl w:val="5"/>
    </w:pPr>
    <w:rPr>
      <w:i/>
      <w:color w:val="4BACC6"/>
    </w:rPr>
  </w:style>
  <w:style w:type="paragraph" w:customStyle="1" w:styleId="BHNormal">
    <w:name w:val="BHNormal"/>
    <w:uiPriority w:val="99"/>
    <w:rsid w:val="00F866BC"/>
    <w:rPr>
      <w:szCs w:val="24"/>
    </w:rPr>
  </w:style>
  <w:style w:type="paragraph" w:customStyle="1" w:styleId="BRC1">
    <w:name w:val="BRC1"/>
    <w:basedOn w:val="Normal"/>
    <w:uiPriority w:val="99"/>
    <w:rsid w:val="00F866BC"/>
    <w:pPr>
      <w:jc w:val="center"/>
    </w:pPr>
    <w:rPr>
      <w:b/>
      <w:bCs/>
      <w:sz w:val="28"/>
      <w:szCs w:val="28"/>
    </w:rPr>
  </w:style>
  <w:style w:type="table" w:customStyle="1" w:styleId="LightShading3">
    <w:name w:val="Light Shading3"/>
    <w:uiPriority w:val="99"/>
    <w:rsid w:val="00F866B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List1">
    <w:name w:val="Colorful List1"/>
    <w:uiPriority w:val="99"/>
    <w:rsid w:val="00F866BC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Style1">
    <w:name w:val="Style1"/>
    <w:basedOn w:val="TableNormal"/>
    <w:uiPriority w:val="99"/>
    <w:qFormat/>
    <w:rsid w:val="00F866BC"/>
    <w:tblPr>
      <w:tblStyleRowBandSize w:val="1"/>
    </w:tbl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LightShading4">
    <w:name w:val="Light Shading4"/>
    <w:basedOn w:val="TableNormal"/>
    <w:uiPriority w:val="60"/>
    <w:rsid w:val="00F866BC"/>
    <w:rPr>
      <w:color w:val="000000" w:themeColor="text1" w:themeShade="BF"/>
    </w:rPr>
    <w:tblPr>
      <w:tblStyleRow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Stephanie A</dc:creator>
  <cp:keywords/>
  <dc:description/>
  <cp:lastModifiedBy>Snyder, Emily</cp:lastModifiedBy>
  <cp:revision>4</cp:revision>
  <dcterms:created xsi:type="dcterms:W3CDTF">2016-09-29T18:19:00Z</dcterms:created>
  <dcterms:modified xsi:type="dcterms:W3CDTF">2016-09-29T19:34:00Z</dcterms:modified>
</cp:coreProperties>
</file>